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bookmarkStart w:id="1" w:name="_GoBack"/>
      <w:bookmarkEnd w:id="1"/>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2" w:name="_Toc7509890"/>
      <w:r w:rsidRPr="00127064">
        <w:t>Overview</w:t>
      </w:r>
      <w:bookmarkEnd w:id="0"/>
      <w:bookmarkEnd w:id="2"/>
    </w:p>
    <w:p w14:paraId="5378A7AA" w14:textId="59DD9167"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2773C">
        <w:rPr>
          <w:rStyle w:val="FootnoteReference"/>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30E345D"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w:t>
      </w:r>
      <w:r w:rsidR="00A71901">
        <w:rPr>
          <w:szCs w:val="24"/>
        </w:rPr>
        <w:t>the United States</w:t>
      </w:r>
      <w:r w:rsidRPr="00607963">
        <w:rPr>
          <w:szCs w:val="24"/>
        </w:rPr>
        <w:t>.</w:t>
      </w:r>
    </w:p>
    <w:p w14:paraId="366A6D2C" w14:textId="1E114751" w:rsidR="00E06158" w:rsidRDefault="00281101" w:rsidP="00281101">
      <w:pPr>
        <w:pStyle w:val="Heading2"/>
      </w:pPr>
      <w:bookmarkStart w:id="5" w:name="_Toc7509892"/>
      <w:r>
        <w:t>Data</w:t>
      </w:r>
      <w:bookmarkEnd w:id="5"/>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6"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6"/>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16EB60D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7" w:name="_Toc7509896"/>
      <w:r>
        <w:t>Results</w:t>
      </w:r>
      <w:bookmarkEnd w:id="7"/>
      <w:r>
        <w:rPr>
          <w:rFonts w:cs="Calibri"/>
          <w:szCs w:val="24"/>
        </w:rPr>
        <w:t xml:space="preserve"> </w:t>
      </w:r>
    </w:p>
    <w:p w14:paraId="2AF4D6D4" w14:textId="4526E50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0"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0"/>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10"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2"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1"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1"/>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2"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2"/>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69B69D12"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D32A76">
        <w:rPr>
          <w:rFonts w:cs="Calibri"/>
          <w:bCs/>
          <w:color w:val="000000" w:themeColor="text1"/>
          <w:szCs w:val="24"/>
        </w:rPr>
        <w:t>,</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Pr="000377CB">
        <w:rPr>
          <w:rFonts w:cs="Calibri"/>
          <w:szCs w:val="24"/>
        </w:rPr>
        <w:t xml:space="preserve"> </w:t>
      </w:r>
    </w:p>
    <w:p w14:paraId="3B3CE69B" w14:textId="167ADE47"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p>
    <w:p w14:paraId="617183C1" w14:textId="55771B94"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Pr="000377CB">
        <w:rPr>
          <w:rFonts w:cs="Calibri"/>
          <w:szCs w:val="24"/>
        </w:rPr>
        <w:t xml:space="preserve"> Further, alcohol consumption increases during warm temperature anomalies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Pr="000377CB">
        <w:rPr>
          <w:rFonts w:cs="Calibri"/>
          <w:szCs w:val="24"/>
        </w:rPr>
        <w:t xml:space="preserve"> potentially also explaining why teenagers, who are more likely than other age groups to crash while intoxicated</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Pr="000377CB">
        <w:rPr>
          <w:rFonts w:cs="Calibri"/>
          <w:szCs w:val="24"/>
        </w:rPr>
        <w:t xml:space="preserve"> With more people generally outdoors in warmer weather</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Pr="000377CB">
        <w:rPr>
          <w:rFonts w:cs="Calibri"/>
          <w:szCs w:val="24"/>
        </w:rPr>
        <w:t xml:space="preserve"> this could lead to more fatal collisions.</w:t>
      </w:r>
    </w:p>
    <w:p w14:paraId="3DF65A53" w14:textId="6A20060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Pr="000377CB">
        <w:rPr>
          <w:rFonts w:cs="Calibri"/>
          <w:szCs w:val="24"/>
        </w:rPr>
        <w:t xml:space="preserve"> These effects could be compounded by the greater anger levels linked to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Pr="000377CB">
        <w:rPr>
          <w:rFonts w:cs="Calibri"/>
          <w:szCs w:val="24"/>
        </w:rPr>
        <w:t xml:space="preserve"> Nonetheless, links between temperature and mental health requires further investigation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3"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4" w:name="_Ref7260430"/>
                            <w:bookmarkStart w:id="15" w:name="_Toc7509904"/>
                            <w:bookmarkStart w:id="1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4"/>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2" w:name="_Ref7260430"/>
                      <w:bookmarkStart w:id="23" w:name="_Toc7509904"/>
                      <w:bookmarkStart w:id="24"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2"/>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3"/>
                      <w:bookmarkEnd w:id="24"/>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17" w:name="_Toc7509905"/>
                            <w:bookmarkStart w:id="1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7" w:name="_Toc7509905"/>
                      <w:bookmarkStart w:id="2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7"/>
                      <w:bookmarkEnd w:id="28"/>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19" w:name="_Toc7509906"/>
                            <w:bookmarkStart w:id="2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1" w:name="_Toc7509906"/>
                      <w:bookmarkStart w:id="3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1"/>
                      <w:bookmarkEnd w:id="32"/>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21" w:name="_Toc7509907"/>
                            <w:bookmarkStart w:id="2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5" w:name="_Toc7509907"/>
                      <w:bookmarkStart w:id="3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23" w:name="_Ref7260437"/>
                            <w:bookmarkStart w:id="24" w:name="_Toc7509908"/>
                            <w:bookmarkStart w:id="25"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23"/>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0" w:name="_Ref7260437"/>
                      <w:bookmarkStart w:id="41" w:name="_Toc7509908"/>
                      <w:bookmarkStart w:id="42"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0"/>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1"/>
                      <w:bookmarkEnd w:id="42"/>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26" w:name="_Ref7260386"/>
                            <w:bookmarkStart w:id="27" w:name="_Toc7509909"/>
                            <w:bookmarkStart w:id="2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2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6" w:name="_Ref7260386"/>
                      <w:bookmarkStart w:id="47" w:name="_Toc7509909"/>
                      <w:bookmarkStart w:id="4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7"/>
                      <w:bookmarkEnd w:id="48"/>
                    </w:p>
                  </w:txbxContent>
                </v:textbox>
              </v:shape>
            </w:pict>
          </mc:Fallback>
        </mc:AlternateContent>
      </w:r>
    </w:p>
    <w:bookmarkEnd w:id="3"/>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The imperative for climate action to protect health.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CE79F6" w14:textId="77777777" w:rsidR="000A7534" w:rsidRDefault="000A7534">
      <w:pPr>
        <w:spacing w:after="0" w:line="240" w:lineRule="auto"/>
      </w:pPr>
      <w:r>
        <w:separator/>
      </w:r>
    </w:p>
    <w:p w14:paraId="6029B353" w14:textId="77777777" w:rsidR="000A7534" w:rsidRDefault="000A7534"/>
  </w:endnote>
  <w:endnote w:type="continuationSeparator" w:id="0">
    <w:p w14:paraId="0B5C2F1B" w14:textId="77777777" w:rsidR="000A7534" w:rsidRDefault="000A7534">
      <w:pPr>
        <w:spacing w:after="0" w:line="240" w:lineRule="auto"/>
      </w:pPr>
      <w:r>
        <w:continuationSeparator/>
      </w:r>
    </w:p>
    <w:p w14:paraId="6A87C3E5" w14:textId="77777777" w:rsidR="000A7534" w:rsidRDefault="000A7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5419AA" w14:textId="77777777" w:rsidR="000A7534" w:rsidRDefault="000A7534" w:rsidP="00402F30">
      <w:pPr>
        <w:spacing w:after="0" w:line="240" w:lineRule="auto"/>
      </w:pPr>
      <w:r>
        <w:separator/>
      </w:r>
    </w:p>
  </w:footnote>
  <w:footnote w:type="continuationSeparator" w:id="0">
    <w:p w14:paraId="4677B9F3" w14:textId="77777777" w:rsidR="000A7534" w:rsidRDefault="000A7534">
      <w:pPr>
        <w:spacing w:after="0" w:line="240" w:lineRule="auto"/>
      </w:pPr>
      <w:r>
        <w:continuationSeparator/>
      </w:r>
    </w:p>
    <w:p w14:paraId="7A257CDC" w14:textId="77777777" w:rsidR="000A7534" w:rsidRDefault="000A7534"/>
  </w:footnote>
  <w:footnote w:id="1">
    <w:p w14:paraId="09B10195" w14:textId="2878B83A" w:rsidR="00402F30" w:rsidRPr="003914B4" w:rsidRDefault="00293CB3" w:rsidP="00402F30">
      <w:pPr>
        <w:spacing w:line="240" w:lineRule="auto"/>
        <w:rPr>
          <w:sz w:val="20"/>
          <w:szCs w:val="20"/>
        </w:rPr>
      </w:pPr>
      <w:r w:rsidRPr="00C2773C">
        <w:rPr>
          <w:rStyle w:val="FootnoteReference"/>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34"/>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5B32"/>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0A2"/>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1901"/>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885"/>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73C"/>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A76"/>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6BA48F3-070A-7C4B-BC02-30D577F0E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23013</Words>
  <Characters>128185</Characters>
  <Application>Microsoft Office Word</Application>
  <DocSecurity>0</DocSecurity>
  <Lines>2289</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2019-05-11T17:09:00Z</cp:lastPrinted>
  <dcterms:created xsi:type="dcterms:W3CDTF">2019-05-15T23:46:00Z</dcterms:created>
  <dcterms:modified xsi:type="dcterms:W3CDTF">2019-05-20T18:50:00Z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