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171E8734" w14:textId="77777777" w:rsidR="002D50B7"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0935A52B" w14:textId="55DAD6D5" w:rsidR="002D50B7" w:rsidRDefault="002D50B7">
          <w:pPr>
            <w:pStyle w:val="TOC2"/>
            <w:tabs>
              <w:tab w:val="right" w:leader="dot" w:pos="9010"/>
            </w:tabs>
            <w:rPr>
              <w:rFonts w:eastAsiaTheme="minorEastAsia" w:cstheme="minorBidi"/>
              <w:b w:val="0"/>
              <w:bCs w:val="0"/>
              <w:noProof/>
              <w:sz w:val="24"/>
              <w:szCs w:val="24"/>
            </w:rPr>
          </w:pPr>
          <w:hyperlink w:anchor="_Toc6407366" w:history="1">
            <w:r w:rsidRPr="002D3543">
              <w:rPr>
                <w:rStyle w:val="Hyperlink"/>
                <w:noProof/>
              </w:rPr>
              <w:t>List of figures</w:t>
            </w:r>
            <w:r>
              <w:rPr>
                <w:noProof/>
                <w:webHidden/>
              </w:rPr>
              <w:tab/>
            </w:r>
            <w:r>
              <w:rPr>
                <w:noProof/>
                <w:webHidden/>
              </w:rPr>
              <w:fldChar w:fldCharType="begin"/>
            </w:r>
            <w:r>
              <w:rPr>
                <w:noProof/>
                <w:webHidden/>
              </w:rPr>
              <w:instrText xml:space="preserve"> PAGEREF _Toc6407366 \h </w:instrText>
            </w:r>
            <w:r>
              <w:rPr>
                <w:noProof/>
                <w:webHidden/>
              </w:rPr>
            </w:r>
            <w:r>
              <w:rPr>
                <w:noProof/>
                <w:webHidden/>
              </w:rPr>
              <w:fldChar w:fldCharType="separate"/>
            </w:r>
            <w:r>
              <w:rPr>
                <w:noProof/>
                <w:webHidden/>
              </w:rPr>
              <w:t>1</w:t>
            </w:r>
            <w:r>
              <w:rPr>
                <w:noProof/>
                <w:webHidden/>
              </w:rPr>
              <w:fldChar w:fldCharType="end"/>
            </w:r>
          </w:hyperlink>
        </w:p>
        <w:p w14:paraId="6A0E1CD7" w14:textId="665ACF86" w:rsidR="002D50B7" w:rsidRDefault="002D50B7">
          <w:pPr>
            <w:pStyle w:val="TOC2"/>
            <w:tabs>
              <w:tab w:val="right" w:leader="dot" w:pos="9010"/>
            </w:tabs>
            <w:rPr>
              <w:rFonts w:eastAsiaTheme="minorEastAsia" w:cstheme="minorBidi"/>
              <w:b w:val="0"/>
              <w:bCs w:val="0"/>
              <w:noProof/>
              <w:sz w:val="24"/>
              <w:szCs w:val="24"/>
            </w:rPr>
          </w:pPr>
          <w:hyperlink w:anchor="_Toc6407367" w:history="1">
            <w:r w:rsidRPr="002D3543">
              <w:rPr>
                <w:rStyle w:val="Hyperlink"/>
                <w:noProof/>
              </w:rPr>
              <w:t>List of tables</w:t>
            </w:r>
            <w:r>
              <w:rPr>
                <w:noProof/>
                <w:webHidden/>
              </w:rPr>
              <w:tab/>
            </w:r>
            <w:r>
              <w:rPr>
                <w:noProof/>
                <w:webHidden/>
              </w:rPr>
              <w:fldChar w:fldCharType="begin"/>
            </w:r>
            <w:r>
              <w:rPr>
                <w:noProof/>
                <w:webHidden/>
              </w:rPr>
              <w:instrText xml:space="preserve"> PAGEREF _Toc6407367 \h </w:instrText>
            </w:r>
            <w:r>
              <w:rPr>
                <w:noProof/>
                <w:webHidden/>
              </w:rPr>
            </w:r>
            <w:r>
              <w:rPr>
                <w:noProof/>
                <w:webHidden/>
              </w:rPr>
              <w:fldChar w:fldCharType="separate"/>
            </w:r>
            <w:r>
              <w:rPr>
                <w:noProof/>
                <w:webHidden/>
              </w:rPr>
              <w:t>1</w:t>
            </w:r>
            <w:r>
              <w:rPr>
                <w:noProof/>
                <w:webHidden/>
              </w:rPr>
              <w:fldChar w:fldCharType="end"/>
            </w:r>
          </w:hyperlink>
        </w:p>
        <w:p w14:paraId="3A75431D" w14:textId="0081695A" w:rsidR="002D50B7" w:rsidRDefault="002D50B7">
          <w:pPr>
            <w:pStyle w:val="TOC2"/>
            <w:tabs>
              <w:tab w:val="right" w:leader="dot" w:pos="9010"/>
            </w:tabs>
            <w:rPr>
              <w:rFonts w:eastAsiaTheme="minorEastAsia" w:cstheme="minorBidi"/>
              <w:b w:val="0"/>
              <w:bCs w:val="0"/>
              <w:noProof/>
              <w:sz w:val="24"/>
              <w:szCs w:val="24"/>
            </w:rPr>
          </w:pPr>
          <w:hyperlink w:anchor="_Toc6407368" w:history="1">
            <w:r w:rsidRPr="002D3543">
              <w:rPr>
                <w:rStyle w:val="Hyperlink"/>
                <w:noProof/>
              </w:rPr>
              <w:t>List of equations</w:t>
            </w:r>
            <w:r>
              <w:rPr>
                <w:noProof/>
                <w:webHidden/>
              </w:rPr>
              <w:tab/>
            </w:r>
            <w:r>
              <w:rPr>
                <w:noProof/>
                <w:webHidden/>
              </w:rPr>
              <w:fldChar w:fldCharType="begin"/>
            </w:r>
            <w:r>
              <w:rPr>
                <w:noProof/>
                <w:webHidden/>
              </w:rPr>
              <w:instrText xml:space="preserve"> PAGEREF _Toc6407368 \h </w:instrText>
            </w:r>
            <w:r>
              <w:rPr>
                <w:noProof/>
                <w:webHidden/>
              </w:rPr>
            </w:r>
            <w:r>
              <w:rPr>
                <w:noProof/>
                <w:webHidden/>
              </w:rPr>
              <w:fldChar w:fldCharType="separate"/>
            </w:r>
            <w:r>
              <w:rPr>
                <w:noProof/>
                <w:webHidden/>
              </w:rPr>
              <w:t>1</w:t>
            </w:r>
            <w:r>
              <w:rPr>
                <w:noProof/>
                <w:webHidden/>
              </w:rPr>
              <w:fldChar w:fldCharType="end"/>
            </w:r>
          </w:hyperlink>
        </w:p>
        <w:p w14:paraId="3F9C95AA" w14:textId="50CFC8E1" w:rsidR="002D50B7" w:rsidRDefault="002D50B7">
          <w:pPr>
            <w:pStyle w:val="TOC1"/>
            <w:rPr>
              <w:rFonts w:eastAsiaTheme="minorEastAsia" w:cstheme="minorBidi"/>
              <w:b w:val="0"/>
              <w:bCs w:val="0"/>
              <w:noProof/>
            </w:rPr>
          </w:pPr>
          <w:hyperlink w:anchor="_Toc6407369" w:history="1">
            <w:r w:rsidRPr="002D3543">
              <w:rPr>
                <w:rStyle w:val="Hyperlink"/>
                <w:noProof/>
              </w:rPr>
              <w:t>1. Anomalous temperature and cardiorespiratory mortality in the USA: age-, sex- and state-specific impacts</w:t>
            </w:r>
            <w:r>
              <w:rPr>
                <w:noProof/>
                <w:webHidden/>
              </w:rPr>
              <w:tab/>
            </w:r>
            <w:r>
              <w:rPr>
                <w:noProof/>
                <w:webHidden/>
              </w:rPr>
              <w:fldChar w:fldCharType="begin"/>
            </w:r>
            <w:r>
              <w:rPr>
                <w:noProof/>
                <w:webHidden/>
              </w:rPr>
              <w:instrText xml:space="preserve"> PAGEREF _Toc6407369 \h </w:instrText>
            </w:r>
            <w:r>
              <w:rPr>
                <w:noProof/>
                <w:webHidden/>
              </w:rPr>
            </w:r>
            <w:r>
              <w:rPr>
                <w:noProof/>
                <w:webHidden/>
              </w:rPr>
              <w:fldChar w:fldCharType="separate"/>
            </w:r>
            <w:r>
              <w:rPr>
                <w:noProof/>
                <w:webHidden/>
              </w:rPr>
              <w:t>2</w:t>
            </w:r>
            <w:r>
              <w:rPr>
                <w:noProof/>
                <w:webHidden/>
              </w:rPr>
              <w:fldChar w:fldCharType="end"/>
            </w:r>
          </w:hyperlink>
        </w:p>
        <w:p w14:paraId="75266456" w14:textId="35BB6FDD" w:rsidR="002D50B7" w:rsidRDefault="002D50B7">
          <w:pPr>
            <w:pStyle w:val="TOC2"/>
            <w:tabs>
              <w:tab w:val="right" w:leader="dot" w:pos="9010"/>
            </w:tabs>
            <w:rPr>
              <w:rFonts w:eastAsiaTheme="minorEastAsia" w:cstheme="minorBidi"/>
              <w:b w:val="0"/>
              <w:bCs w:val="0"/>
              <w:noProof/>
              <w:sz w:val="24"/>
              <w:szCs w:val="24"/>
            </w:rPr>
          </w:pPr>
          <w:hyperlink w:anchor="_Toc6407370" w:history="1">
            <w:r w:rsidRPr="002D3543">
              <w:rPr>
                <w:rStyle w:val="Hyperlink"/>
                <w:noProof/>
              </w:rPr>
              <w:t>Overview</w:t>
            </w:r>
            <w:r>
              <w:rPr>
                <w:noProof/>
                <w:webHidden/>
              </w:rPr>
              <w:tab/>
            </w:r>
            <w:r>
              <w:rPr>
                <w:noProof/>
                <w:webHidden/>
              </w:rPr>
              <w:fldChar w:fldCharType="begin"/>
            </w:r>
            <w:r>
              <w:rPr>
                <w:noProof/>
                <w:webHidden/>
              </w:rPr>
              <w:instrText xml:space="preserve"> PAGEREF _Toc6407370 \h </w:instrText>
            </w:r>
            <w:r>
              <w:rPr>
                <w:noProof/>
                <w:webHidden/>
              </w:rPr>
            </w:r>
            <w:r>
              <w:rPr>
                <w:noProof/>
                <w:webHidden/>
              </w:rPr>
              <w:fldChar w:fldCharType="separate"/>
            </w:r>
            <w:r>
              <w:rPr>
                <w:noProof/>
                <w:webHidden/>
              </w:rPr>
              <w:t>2</w:t>
            </w:r>
            <w:r>
              <w:rPr>
                <w:noProof/>
                <w:webHidden/>
              </w:rPr>
              <w:fldChar w:fldCharType="end"/>
            </w:r>
          </w:hyperlink>
        </w:p>
        <w:p w14:paraId="5CE41F51" w14:textId="0E0747A7" w:rsidR="002D50B7" w:rsidRDefault="002D50B7">
          <w:pPr>
            <w:pStyle w:val="TOC2"/>
            <w:tabs>
              <w:tab w:val="right" w:leader="dot" w:pos="9010"/>
            </w:tabs>
            <w:rPr>
              <w:rFonts w:eastAsiaTheme="minorEastAsia" w:cstheme="minorBidi"/>
              <w:b w:val="0"/>
              <w:bCs w:val="0"/>
              <w:noProof/>
              <w:sz w:val="24"/>
              <w:szCs w:val="24"/>
            </w:rPr>
          </w:pPr>
          <w:hyperlink w:anchor="_Toc6407371" w:history="1">
            <w:r w:rsidRPr="002D3543">
              <w:rPr>
                <w:rStyle w:val="Hyperlink"/>
                <w:noProof/>
              </w:rPr>
              <w:t>Introduction</w:t>
            </w:r>
            <w:r>
              <w:rPr>
                <w:noProof/>
                <w:webHidden/>
              </w:rPr>
              <w:tab/>
            </w:r>
            <w:r>
              <w:rPr>
                <w:noProof/>
                <w:webHidden/>
              </w:rPr>
              <w:fldChar w:fldCharType="begin"/>
            </w:r>
            <w:r>
              <w:rPr>
                <w:noProof/>
                <w:webHidden/>
              </w:rPr>
              <w:instrText xml:space="preserve"> PAGEREF _Toc6407371 \h </w:instrText>
            </w:r>
            <w:r>
              <w:rPr>
                <w:noProof/>
                <w:webHidden/>
              </w:rPr>
            </w:r>
            <w:r>
              <w:rPr>
                <w:noProof/>
                <w:webHidden/>
              </w:rPr>
              <w:fldChar w:fldCharType="separate"/>
            </w:r>
            <w:r>
              <w:rPr>
                <w:noProof/>
                <w:webHidden/>
              </w:rPr>
              <w:t>2</w:t>
            </w:r>
            <w:r>
              <w:rPr>
                <w:noProof/>
                <w:webHidden/>
              </w:rPr>
              <w:fldChar w:fldCharType="end"/>
            </w:r>
          </w:hyperlink>
        </w:p>
        <w:p w14:paraId="36924BCE" w14:textId="3E84C885" w:rsidR="002D50B7" w:rsidRDefault="002D50B7">
          <w:pPr>
            <w:pStyle w:val="TOC2"/>
            <w:tabs>
              <w:tab w:val="right" w:leader="dot" w:pos="9010"/>
            </w:tabs>
            <w:rPr>
              <w:rFonts w:eastAsiaTheme="minorEastAsia" w:cstheme="minorBidi"/>
              <w:b w:val="0"/>
              <w:bCs w:val="0"/>
              <w:noProof/>
              <w:sz w:val="24"/>
              <w:szCs w:val="24"/>
            </w:rPr>
          </w:pPr>
          <w:hyperlink w:anchor="_Toc6407372" w:history="1">
            <w:r w:rsidRPr="002D3543">
              <w:rPr>
                <w:rStyle w:val="Hyperlink"/>
                <w:noProof/>
              </w:rPr>
              <w:t>Data</w:t>
            </w:r>
            <w:r>
              <w:rPr>
                <w:noProof/>
                <w:webHidden/>
              </w:rPr>
              <w:tab/>
            </w:r>
            <w:r>
              <w:rPr>
                <w:noProof/>
                <w:webHidden/>
              </w:rPr>
              <w:fldChar w:fldCharType="begin"/>
            </w:r>
            <w:r>
              <w:rPr>
                <w:noProof/>
                <w:webHidden/>
              </w:rPr>
              <w:instrText xml:space="preserve"> PAGEREF _Toc6407372 \h </w:instrText>
            </w:r>
            <w:r>
              <w:rPr>
                <w:noProof/>
                <w:webHidden/>
              </w:rPr>
            </w:r>
            <w:r>
              <w:rPr>
                <w:noProof/>
                <w:webHidden/>
              </w:rPr>
              <w:fldChar w:fldCharType="separate"/>
            </w:r>
            <w:r>
              <w:rPr>
                <w:noProof/>
                <w:webHidden/>
              </w:rPr>
              <w:t>2</w:t>
            </w:r>
            <w:r>
              <w:rPr>
                <w:noProof/>
                <w:webHidden/>
              </w:rPr>
              <w:fldChar w:fldCharType="end"/>
            </w:r>
          </w:hyperlink>
        </w:p>
        <w:p w14:paraId="2572EE76" w14:textId="7E7590E9" w:rsidR="002D50B7" w:rsidRDefault="002D50B7">
          <w:pPr>
            <w:pStyle w:val="TOC2"/>
            <w:tabs>
              <w:tab w:val="right" w:leader="dot" w:pos="9010"/>
            </w:tabs>
            <w:rPr>
              <w:rFonts w:eastAsiaTheme="minorEastAsia" w:cstheme="minorBidi"/>
              <w:b w:val="0"/>
              <w:bCs w:val="0"/>
              <w:noProof/>
              <w:sz w:val="24"/>
              <w:szCs w:val="24"/>
            </w:rPr>
          </w:pPr>
          <w:hyperlink w:anchor="_Toc6407373" w:history="1">
            <w:r w:rsidRPr="002D3543">
              <w:rPr>
                <w:rStyle w:val="Hyperlink"/>
                <w:noProof/>
              </w:rPr>
              <w:t>Statistical methods</w:t>
            </w:r>
            <w:r>
              <w:rPr>
                <w:noProof/>
                <w:webHidden/>
              </w:rPr>
              <w:tab/>
            </w:r>
            <w:r>
              <w:rPr>
                <w:noProof/>
                <w:webHidden/>
              </w:rPr>
              <w:fldChar w:fldCharType="begin"/>
            </w:r>
            <w:r>
              <w:rPr>
                <w:noProof/>
                <w:webHidden/>
              </w:rPr>
              <w:instrText xml:space="preserve"> PAGEREF _Toc6407373 \h </w:instrText>
            </w:r>
            <w:r>
              <w:rPr>
                <w:noProof/>
                <w:webHidden/>
              </w:rPr>
            </w:r>
            <w:r>
              <w:rPr>
                <w:noProof/>
                <w:webHidden/>
              </w:rPr>
              <w:fldChar w:fldCharType="separate"/>
            </w:r>
            <w:r>
              <w:rPr>
                <w:noProof/>
                <w:webHidden/>
              </w:rPr>
              <w:t>4</w:t>
            </w:r>
            <w:r>
              <w:rPr>
                <w:noProof/>
                <w:webHidden/>
              </w:rPr>
              <w:fldChar w:fldCharType="end"/>
            </w:r>
          </w:hyperlink>
        </w:p>
        <w:p w14:paraId="4532E96D" w14:textId="61054A07" w:rsidR="002D50B7" w:rsidRDefault="002D50B7">
          <w:pPr>
            <w:pStyle w:val="TOC2"/>
            <w:tabs>
              <w:tab w:val="right" w:leader="dot" w:pos="9010"/>
            </w:tabs>
            <w:rPr>
              <w:rFonts w:eastAsiaTheme="minorEastAsia" w:cstheme="minorBidi"/>
              <w:b w:val="0"/>
              <w:bCs w:val="0"/>
              <w:noProof/>
              <w:sz w:val="24"/>
              <w:szCs w:val="24"/>
            </w:rPr>
          </w:pPr>
          <w:hyperlink w:anchor="_Toc6407374" w:history="1">
            <w:r w:rsidRPr="002D3543">
              <w:rPr>
                <w:rStyle w:val="Hyperlink"/>
                <w:noProof/>
              </w:rPr>
              <w:t>Results</w:t>
            </w:r>
            <w:r>
              <w:rPr>
                <w:noProof/>
                <w:webHidden/>
              </w:rPr>
              <w:tab/>
            </w:r>
            <w:r>
              <w:rPr>
                <w:noProof/>
                <w:webHidden/>
              </w:rPr>
              <w:fldChar w:fldCharType="begin"/>
            </w:r>
            <w:r>
              <w:rPr>
                <w:noProof/>
                <w:webHidden/>
              </w:rPr>
              <w:instrText xml:space="preserve"> PAGEREF _Toc6407374 \h </w:instrText>
            </w:r>
            <w:r>
              <w:rPr>
                <w:noProof/>
                <w:webHidden/>
              </w:rPr>
            </w:r>
            <w:r>
              <w:rPr>
                <w:noProof/>
                <w:webHidden/>
              </w:rPr>
              <w:fldChar w:fldCharType="separate"/>
            </w:r>
            <w:r>
              <w:rPr>
                <w:noProof/>
                <w:webHidden/>
              </w:rPr>
              <w:t>9</w:t>
            </w:r>
            <w:r>
              <w:rPr>
                <w:noProof/>
                <w:webHidden/>
              </w:rPr>
              <w:fldChar w:fldCharType="end"/>
            </w:r>
          </w:hyperlink>
        </w:p>
        <w:p w14:paraId="4D31DC27" w14:textId="77E041BE" w:rsidR="002D50B7" w:rsidRDefault="002D50B7">
          <w:pPr>
            <w:pStyle w:val="TOC2"/>
            <w:tabs>
              <w:tab w:val="right" w:leader="dot" w:pos="9010"/>
            </w:tabs>
            <w:rPr>
              <w:rFonts w:eastAsiaTheme="minorEastAsia" w:cstheme="minorBidi"/>
              <w:b w:val="0"/>
              <w:bCs w:val="0"/>
              <w:noProof/>
              <w:sz w:val="24"/>
              <w:szCs w:val="24"/>
            </w:rPr>
          </w:pPr>
          <w:hyperlink w:anchor="_Toc6407375" w:history="1">
            <w:r w:rsidRPr="002D3543">
              <w:rPr>
                <w:rStyle w:val="Hyperlink"/>
                <w:noProof/>
              </w:rPr>
              <w:t>Discussion</w:t>
            </w:r>
            <w:r>
              <w:rPr>
                <w:noProof/>
                <w:webHidden/>
              </w:rPr>
              <w:tab/>
            </w:r>
            <w:r>
              <w:rPr>
                <w:noProof/>
                <w:webHidden/>
              </w:rPr>
              <w:fldChar w:fldCharType="begin"/>
            </w:r>
            <w:r>
              <w:rPr>
                <w:noProof/>
                <w:webHidden/>
              </w:rPr>
              <w:instrText xml:space="preserve"> PAGEREF _Toc6407375 \h </w:instrText>
            </w:r>
            <w:r>
              <w:rPr>
                <w:noProof/>
                <w:webHidden/>
              </w:rPr>
            </w:r>
            <w:r>
              <w:rPr>
                <w:noProof/>
                <w:webHidden/>
              </w:rPr>
              <w:fldChar w:fldCharType="separate"/>
            </w:r>
            <w:r>
              <w:rPr>
                <w:noProof/>
                <w:webHidden/>
              </w:rPr>
              <w:t>10</w:t>
            </w:r>
            <w:r>
              <w:rPr>
                <w:noProof/>
                <w:webHidden/>
              </w:rPr>
              <w:fldChar w:fldCharType="end"/>
            </w:r>
          </w:hyperlink>
        </w:p>
        <w:p w14:paraId="0CD7B10B" w14:textId="73523F96" w:rsidR="002D50B7" w:rsidRDefault="002D50B7">
          <w:pPr>
            <w:pStyle w:val="TOC2"/>
            <w:tabs>
              <w:tab w:val="right" w:leader="dot" w:pos="9010"/>
            </w:tabs>
            <w:rPr>
              <w:rFonts w:eastAsiaTheme="minorEastAsia" w:cstheme="minorBidi"/>
              <w:b w:val="0"/>
              <w:bCs w:val="0"/>
              <w:noProof/>
              <w:sz w:val="24"/>
              <w:szCs w:val="24"/>
            </w:rPr>
          </w:pPr>
          <w:hyperlink w:anchor="_Toc6407376" w:history="1">
            <w:r w:rsidRPr="002D3543">
              <w:rPr>
                <w:rStyle w:val="Hyperlink"/>
                <w:noProof/>
              </w:rPr>
              <w:t>References</w:t>
            </w:r>
            <w:r>
              <w:rPr>
                <w:noProof/>
                <w:webHidden/>
              </w:rPr>
              <w:tab/>
            </w:r>
            <w:r>
              <w:rPr>
                <w:noProof/>
                <w:webHidden/>
              </w:rPr>
              <w:fldChar w:fldCharType="begin"/>
            </w:r>
            <w:r>
              <w:rPr>
                <w:noProof/>
                <w:webHidden/>
              </w:rPr>
              <w:instrText xml:space="preserve"> PAGEREF _Toc6407376 \h </w:instrText>
            </w:r>
            <w:r>
              <w:rPr>
                <w:noProof/>
                <w:webHidden/>
              </w:rPr>
            </w:r>
            <w:r>
              <w:rPr>
                <w:noProof/>
                <w:webHidden/>
              </w:rPr>
              <w:fldChar w:fldCharType="separate"/>
            </w:r>
            <w:r>
              <w:rPr>
                <w:noProof/>
                <w:webHidden/>
              </w:rPr>
              <w:t>16</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14BDFF52" w14:textId="77777777" w:rsidR="006851BD" w:rsidRDefault="00061A3A" w:rsidP="00061A3A">
      <w:pPr>
        <w:pStyle w:val="Heading2"/>
        <w:suppressLineNumbers/>
        <w:rPr>
          <w:noProof/>
        </w:rPr>
      </w:pPr>
      <w:bookmarkStart w:id="0" w:name="_Toc6407366"/>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6BD35CDE" w14:textId="76F87015" w:rsidR="00BB73E3" w:rsidRDefault="006851BD" w:rsidP="006851BD">
      <w:r>
        <w:rPr>
          <w:noProof/>
          <w:lang w:val="en-US"/>
        </w:rPr>
        <w:t>No table of figures entries found.</w:t>
      </w:r>
      <w:r w:rsidR="00B82FF5" w:rsidRPr="00755632">
        <w:fldChar w:fldCharType="end"/>
      </w:r>
    </w:p>
    <w:p w14:paraId="70DF581C" w14:textId="77777777" w:rsidR="004B4DC1" w:rsidRDefault="00061A3A" w:rsidP="005660AA">
      <w:pPr>
        <w:pStyle w:val="Heading2"/>
        <w:suppressLineNumbers/>
        <w:rPr>
          <w:noProof/>
        </w:rPr>
      </w:pPr>
      <w:bookmarkStart w:id="1" w:name="_Toc6407367"/>
      <w:r>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27AA872D" w:rsidR="001A4B51" w:rsidRDefault="004B4DC1" w:rsidP="006851BD">
      <w:r>
        <w:rPr>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6407368"/>
      <w:r>
        <w:t>List of equations</w:t>
      </w:r>
      <w:bookmarkEnd w:id="2"/>
    </w:p>
    <w:p w14:paraId="02019DD7" w14:textId="6AD99147" w:rsidR="006675AE" w:rsidRDefault="002D35A5" w:rsidP="006851BD">
      <w:r>
        <w:fldChar w:fldCharType="begin"/>
      </w:r>
      <w:r>
        <w:instrText xml:space="preserve"> TOC \h \z \c "Equation" </w:instrText>
      </w:r>
      <w:r>
        <w:fldChar w:fldCharType="separate"/>
      </w:r>
      <w:r w:rsidR="004B4DC1">
        <w:rPr>
          <w:noProof/>
          <w:lang w:val="en-US"/>
        </w:rPr>
        <w:t>No table of figures entries found.</w:t>
      </w:r>
      <w:r>
        <w:fldChar w:fldCharType="end"/>
      </w:r>
      <w:r w:rsidR="00C0748B" w:rsidRPr="00755632">
        <w:br w:type="page"/>
      </w:r>
      <w:bookmarkStart w:id="3" w:name="_GoBack"/>
      <w:bookmarkEnd w:id="3"/>
    </w:p>
    <w:p w14:paraId="661D8067" w14:textId="4E7E3FBE" w:rsidR="004B4DC1" w:rsidRDefault="004B4DC1" w:rsidP="004B4DC1">
      <w:pPr>
        <w:pStyle w:val="Heading1"/>
      </w:pPr>
      <w:bookmarkStart w:id="4" w:name="_Toc6045006"/>
      <w:bookmarkStart w:id="5" w:name="_Toc6407369"/>
      <w:r>
        <w:lastRenderedPageBreak/>
        <w:t>1. A</w:t>
      </w:r>
      <w:r w:rsidRPr="00636C9B">
        <w:t xml:space="preserve">nomalous temperature </w:t>
      </w:r>
      <w:r>
        <w:t>and</w:t>
      </w:r>
      <w:r w:rsidRPr="00636C9B">
        <w:t xml:space="preserve"> </w:t>
      </w:r>
      <w:r w:rsidR="005955C9">
        <w:t>cardiorespiratory</w:t>
      </w:r>
      <w:r w:rsidRPr="00636C9B">
        <w:t xml:space="preserve"> mortality in the USA</w:t>
      </w:r>
      <w:r>
        <w:t>: age-, sex- and state-specific impacts</w:t>
      </w:r>
      <w:bookmarkEnd w:id="5"/>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6" w:name="_Toc6407370"/>
      <w:r w:rsidRPr="00127064">
        <w:t>Overview</w:t>
      </w:r>
      <w:bookmarkEnd w:id="4"/>
      <w:bookmarkEnd w:id="6"/>
    </w:p>
    <w:p w14:paraId="646EA9F8" w14:textId="759EB34C" w:rsidR="00B971FF" w:rsidRDefault="00161129" w:rsidP="00113E25">
      <w:pPr>
        <w:spacing w:line="480" w:lineRule="auto"/>
        <w:ind w:firstLine="720"/>
        <w:jc w:val="both"/>
        <w:rPr>
          <w:rFonts w:cs="Calibri"/>
          <w:sz w:val="24"/>
          <w:szCs w:val="24"/>
        </w:rPr>
      </w:pPr>
      <w:bookmarkStart w:id="7" w:name="_Toc6045007"/>
      <w:r w:rsidRPr="000377CB">
        <w:rPr>
          <w:rFonts w:cs="Calibri"/>
          <w:sz w:val="24"/>
          <w:szCs w:val="24"/>
        </w:rPr>
        <w:t>Temperatures which deviate from long-term norms will be more frequent as the global climate changes, and may be associated with adverse health consequences</w:t>
      </w:r>
      <w:r w:rsidR="0001634A" w:rsidRPr="000377CB">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2015)","previouslyFormattedCitation":"&lt;sup&gt;1&lt;/sup&gt;"},"properties":{"noteIndex":0},"schema":"https://github.com/citation-style-language/schema/raw/master/csl-citation.json"}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(Gasparrini et al., 2015)</w:t>
      </w:r>
      <w:r w:rsidRPr="000377CB">
        <w:rPr>
          <w:rFonts w:cs="Calibri"/>
          <w:sz w:val="24"/>
          <w:szCs w:val="24"/>
        </w:rPr>
        <w:fldChar w:fldCharType="end"/>
      </w:r>
      <w:r w:rsidR="0001634A" w:rsidRPr="000377CB">
        <w:rPr>
          <w:rFonts w:cs="Calibri"/>
          <w:sz w:val="24"/>
          <w:szCs w:val="24"/>
        </w:rPr>
        <w:t>.</w:t>
      </w:r>
      <w:r w:rsidRPr="000377CB">
        <w:rPr>
          <w:rFonts w:cs="Calibri"/>
          <w:sz w:val="24"/>
          <w:szCs w:val="24"/>
        </w:rPr>
        <w:t xml:space="preserve"> There is limited data on how such deviations affect deaths from different </w:t>
      </w:r>
      <w:r w:rsidR="006470AF">
        <w:rPr>
          <w:rFonts w:cs="Calibri"/>
          <w:sz w:val="24"/>
          <w:szCs w:val="24"/>
        </w:rPr>
        <w:t>cardiorespiratory causes of death</w:t>
      </w:r>
      <w:r w:rsidRPr="000377CB">
        <w:rPr>
          <w:rFonts w:cs="Calibri"/>
          <w:sz w:val="24"/>
          <w:szCs w:val="24"/>
        </w:rPr>
        <w:t>, especially by</w:t>
      </w:r>
      <w:r w:rsidR="006470AF">
        <w:rPr>
          <w:rFonts w:cs="Calibri"/>
          <w:sz w:val="24"/>
          <w:szCs w:val="24"/>
        </w:rPr>
        <w:t xml:space="preserve"> </w:t>
      </w:r>
      <w:r w:rsidRPr="000377CB">
        <w:rPr>
          <w:rFonts w:cs="Calibri"/>
          <w:sz w:val="24"/>
          <w:szCs w:val="24"/>
        </w:rPr>
        <w:t xml:space="preserve">month of year, age and sex. Here, we used data on mortality and temperature over a 37-year period (1980-2016) in the entire contiguous United States and formulated a Bayesian spatio-temporal model to estimate how deviations from the long-term norm of mean monthly temperature (anomalous temperatures) affect deaths from different </w:t>
      </w:r>
      <w:r w:rsidR="00EA06EB">
        <w:rPr>
          <w:rFonts w:cs="Calibri"/>
          <w:sz w:val="24"/>
          <w:szCs w:val="24"/>
        </w:rPr>
        <w:t>cardiorespiratory diseases</w:t>
      </w:r>
      <w:r w:rsidRPr="000377CB">
        <w:rPr>
          <w:rFonts w:cs="Calibri"/>
          <w:sz w:val="24"/>
          <w:szCs w:val="24"/>
        </w:rPr>
        <w:t xml:space="preserve"> by age groups and sex. </w:t>
      </w:r>
      <w:r w:rsidR="00EA06EB">
        <w:rPr>
          <w:rFonts w:cs="Calibri"/>
          <w:sz w:val="24"/>
          <w:szCs w:val="24"/>
        </w:rPr>
        <w:t xml:space="preserve"> We also examined whether associations varied by state. </w:t>
      </w:r>
      <w:r w:rsidRPr="000377CB">
        <w:rPr>
          <w:rFonts w:cs="Calibri"/>
          <w:sz w:val="24"/>
          <w:szCs w:val="24"/>
        </w:rPr>
        <w:t xml:space="preserve">We found that a 1°C anomalously warm year would be associated with an estimated </w:t>
      </w:r>
      <w:bookmarkStart w:id="8" w:name="_Toc6045013"/>
      <w:bookmarkEnd w:id="7"/>
      <w:r w:rsidR="00C57544">
        <w:rPr>
          <w:rFonts w:cs="Calibri"/>
          <w:sz w:val="24"/>
          <w:szCs w:val="24"/>
        </w:rPr>
        <w:t>…</w:t>
      </w:r>
    </w:p>
    <w:p w14:paraId="2C8ED6BF" w14:textId="49E9BD10" w:rsidR="000377CB" w:rsidRDefault="000377CB" w:rsidP="000377CB">
      <w:pPr>
        <w:pStyle w:val="Heading2"/>
      </w:pPr>
      <w:bookmarkStart w:id="9" w:name="_Toc6407371"/>
      <w:r>
        <w:t>Introduction</w:t>
      </w:r>
      <w:bookmarkEnd w:id="9"/>
    </w:p>
    <w:p w14:paraId="2706E774" w14:textId="61A58A5D" w:rsidR="00814E76" w:rsidRPr="00814E76" w:rsidRDefault="00FA717E" w:rsidP="00814E76">
      <w:r>
        <w:t>[[[To complete]]]]</w:t>
      </w:r>
    </w:p>
    <w:p w14:paraId="366A6D2C" w14:textId="7FABEA47" w:rsidR="00E06158" w:rsidRPr="000377CB" w:rsidRDefault="00281101" w:rsidP="00281101">
      <w:pPr>
        <w:pStyle w:val="Heading2"/>
        <w:rPr>
          <w:rFonts w:ascii="Calibri" w:hAnsi="Calibri"/>
        </w:rPr>
      </w:pPr>
      <w:bookmarkStart w:id="10" w:name="_Toc6407372"/>
      <w:r>
        <w:t>Data</w:t>
      </w:r>
      <w:bookmarkEnd w:id="10"/>
    </w:p>
    <w:p w14:paraId="480B6BA4" w14:textId="230C50B0" w:rsidR="00CB5EEE" w:rsidRPr="006851BD" w:rsidRDefault="00B971FF"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We used vital registration data on all injury deaths in the contiguous USA</w:t>
      </w:r>
      <w:r w:rsidRPr="000377CB">
        <w:rPr>
          <w:rFonts w:cs="Calibri"/>
          <w:sz w:val="24"/>
          <w:szCs w:val="24"/>
        </w:rPr>
        <w:t xml:space="preserve"> </w:t>
      </w:r>
      <w:r w:rsidRPr="000377CB">
        <w:rPr>
          <w:rFonts w:cs="Calibri"/>
          <w:color w:val="000000" w:themeColor="text1"/>
          <w:sz w:val="24"/>
          <w:szCs w:val="24"/>
        </w:rPr>
        <w:t xml:space="preserve">from 1980 to 2016, with information on sex, age at death, underlying cause of death and state of residence. During this period, </w:t>
      </w:r>
      <w:r w:rsidR="00A7282A">
        <w:rPr>
          <w:rFonts w:cs="Calibri"/>
          <w:color w:val="000000" w:themeColor="text1"/>
          <w:sz w:val="24"/>
          <w:szCs w:val="24"/>
        </w:rPr>
        <w:t>XX</w:t>
      </w:r>
      <w:r w:rsidRPr="000377CB">
        <w:rPr>
          <w:rFonts w:cs="Calibri"/>
          <w:color w:val="000000" w:themeColor="text1"/>
          <w:sz w:val="24"/>
          <w:szCs w:val="24"/>
        </w:rPr>
        <w:t xml:space="preserve"> boys and men and </w:t>
      </w:r>
      <w:r w:rsidR="00A7282A">
        <w:rPr>
          <w:rFonts w:cs="Calibri"/>
          <w:color w:val="000000" w:themeColor="text1"/>
          <w:sz w:val="24"/>
          <w:szCs w:val="24"/>
        </w:rPr>
        <w:t>XX</w:t>
      </w:r>
      <w:r w:rsidRPr="000377CB">
        <w:rPr>
          <w:rFonts w:cs="Calibri"/>
          <w:color w:val="000000" w:themeColor="text1"/>
          <w:sz w:val="24"/>
          <w:szCs w:val="24"/>
        </w:rPr>
        <w:t xml:space="preserve"> girls and women died from </w:t>
      </w:r>
      <w:r w:rsidR="00A7282A">
        <w:rPr>
          <w:rFonts w:cs="Calibri"/>
          <w:color w:val="000000" w:themeColor="text1"/>
          <w:sz w:val="24"/>
          <w:szCs w:val="24"/>
        </w:rPr>
        <w:t xml:space="preserve">cardiorespiratory diseases </w:t>
      </w:r>
      <w:r w:rsidRPr="000377CB">
        <w:rPr>
          <w:rFonts w:cs="Calibri"/>
          <w:color w:val="000000" w:themeColor="text1"/>
          <w:sz w:val="24"/>
          <w:szCs w:val="24"/>
        </w:rPr>
        <w:t xml:space="preserve">in the contiguous USA (i.e., excluding Alaska and Hawaii), accounting for </w:t>
      </w:r>
      <w:r w:rsidR="006B63AF">
        <w:rPr>
          <w:rFonts w:cs="Calibri"/>
          <w:color w:val="000000" w:themeColor="text1"/>
          <w:sz w:val="24"/>
          <w:szCs w:val="24"/>
        </w:rPr>
        <w:t>XX</w:t>
      </w:r>
      <w:r w:rsidRPr="000377CB">
        <w:rPr>
          <w:rFonts w:cs="Calibri"/>
          <w:color w:val="000000" w:themeColor="text1"/>
          <w:sz w:val="24"/>
          <w:szCs w:val="24"/>
        </w:rPr>
        <w:t xml:space="preserve">% and </w:t>
      </w:r>
      <w:r w:rsidR="006B63AF">
        <w:rPr>
          <w:rFonts w:cs="Calibri"/>
          <w:color w:val="000000" w:themeColor="text1"/>
          <w:sz w:val="24"/>
          <w:szCs w:val="24"/>
        </w:rPr>
        <w:t>XX</w:t>
      </w:r>
      <w:r w:rsidRPr="000377CB">
        <w:rPr>
          <w:rFonts w:cs="Calibri"/>
          <w:color w:val="000000" w:themeColor="text1"/>
          <w:sz w:val="24"/>
          <w:szCs w:val="24"/>
        </w:rPr>
        <w:t xml:space="preserve">% of all male and female deaths respectively. </w:t>
      </w:r>
      <w:r w:rsidR="006B63AF">
        <w:rPr>
          <w:rFonts w:cs="Calibri"/>
          <w:color w:val="000000" w:themeColor="text1"/>
          <w:sz w:val="24"/>
          <w:szCs w:val="24"/>
        </w:rPr>
        <w:t>XX</w:t>
      </w:r>
      <w:r w:rsidRPr="000377CB">
        <w:rPr>
          <w:rFonts w:cs="Calibri"/>
          <w:color w:val="000000" w:themeColor="text1"/>
          <w:sz w:val="24"/>
          <w:szCs w:val="24"/>
        </w:rPr>
        <w:t xml:space="preserve">% of male injury deaths and </w:t>
      </w:r>
      <w:r w:rsidR="006B63AF">
        <w:rPr>
          <w:rFonts w:cs="Calibri"/>
          <w:color w:val="000000" w:themeColor="text1"/>
          <w:sz w:val="24"/>
          <w:szCs w:val="24"/>
        </w:rPr>
        <w:t>XX</w:t>
      </w:r>
      <w:r w:rsidRPr="000377CB">
        <w:rPr>
          <w:rFonts w:cs="Calibri"/>
          <w:color w:val="000000" w:themeColor="text1"/>
          <w:sz w:val="24"/>
          <w:szCs w:val="24"/>
        </w:rPr>
        <w:t xml:space="preserve">% of female injury deaths were in those aged </w:t>
      </w:r>
      <w:r w:rsidR="006B63AF">
        <w:rPr>
          <w:rFonts w:cs="Calibri"/>
          <w:color w:val="000000" w:themeColor="text1"/>
          <w:sz w:val="24"/>
          <w:szCs w:val="24"/>
        </w:rPr>
        <w:t>XX</w:t>
      </w:r>
      <w:r w:rsidRPr="000377CB">
        <w:rPr>
          <w:rFonts w:cs="Calibri"/>
          <w:color w:val="000000" w:themeColor="text1"/>
          <w:sz w:val="24"/>
          <w:szCs w:val="24"/>
        </w:rPr>
        <w:t xml:space="preserve"> years and older, and over </w:t>
      </w:r>
      <w:r w:rsidR="006B63AF">
        <w:rPr>
          <w:rFonts w:cs="Calibri"/>
          <w:color w:val="000000" w:themeColor="text1"/>
          <w:sz w:val="24"/>
          <w:szCs w:val="24"/>
        </w:rPr>
        <w:t>XX</w:t>
      </w:r>
      <w:r w:rsidRPr="000377CB">
        <w:rPr>
          <w:rFonts w:cs="Calibri"/>
          <w:color w:val="000000" w:themeColor="text1"/>
          <w:sz w:val="24"/>
          <w:szCs w:val="24"/>
        </w:rPr>
        <w:t xml:space="preserve"> (</w:t>
      </w:r>
      <w:r w:rsidR="006B63AF">
        <w:rPr>
          <w:rFonts w:cs="Calibri"/>
          <w:color w:val="000000" w:themeColor="text1"/>
          <w:sz w:val="24"/>
          <w:szCs w:val="24"/>
        </w:rPr>
        <w:t>XX</w:t>
      </w:r>
      <w:r w:rsidRPr="000377CB">
        <w:rPr>
          <w:rFonts w:cs="Calibri"/>
          <w:color w:val="000000" w:themeColor="text1"/>
          <w:sz w:val="24"/>
          <w:szCs w:val="24"/>
        </w:rPr>
        <w:t xml:space="preserve">%) of male injury deaths were in those aged </w:t>
      </w:r>
      <w:r w:rsidR="006B63AF">
        <w:rPr>
          <w:rFonts w:cs="Calibri"/>
          <w:color w:val="000000" w:themeColor="text1"/>
          <w:sz w:val="24"/>
          <w:szCs w:val="24"/>
        </w:rPr>
        <w:t>XX-XX</w:t>
      </w:r>
      <w:r w:rsidRPr="000377CB">
        <w:rPr>
          <w:rFonts w:cs="Calibri"/>
          <w:color w:val="000000" w:themeColor="text1"/>
          <w:sz w:val="24"/>
          <w:szCs w:val="24"/>
        </w:rPr>
        <w:t xml:space="preserve"> years (Figure 1). </w:t>
      </w:r>
      <w:proofErr w:type="gramStart"/>
      <w:r w:rsidR="001813C6">
        <w:rPr>
          <w:rFonts w:cs="Calibri"/>
          <w:color w:val="000000" w:themeColor="text1"/>
          <w:sz w:val="24"/>
          <w:szCs w:val="24"/>
        </w:rPr>
        <w:t>Similarly</w:t>
      </w:r>
      <w:proofErr w:type="gramEnd"/>
      <w:r w:rsidR="001813C6">
        <w:rPr>
          <w:rFonts w:cs="Calibri"/>
          <w:color w:val="000000" w:themeColor="text1"/>
          <w:sz w:val="24"/>
          <w:szCs w:val="24"/>
        </w:rPr>
        <w:t xml:space="preserve"> to</w:t>
      </w:r>
      <w:r w:rsidRPr="000377CB">
        <w:rPr>
          <w:rFonts w:cs="Calibri"/>
          <w:color w:val="000000" w:themeColor="text1"/>
          <w:sz w:val="24"/>
          <w:szCs w:val="24"/>
        </w:rPr>
        <w:t xml:space="preserve"> males, </w:t>
      </w:r>
      <w:r w:rsidRPr="000377CB">
        <w:rPr>
          <w:rFonts w:cs="Calibri"/>
          <w:color w:val="000000" w:themeColor="text1"/>
          <w:sz w:val="24"/>
          <w:szCs w:val="24"/>
        </w:rPr>
        <w:lastRenderedPageBreak/>
        <w:t xml:space="preserve">there was </w:t>
      </w:r>
      <w:r w:rsidR="00AA1366">
        <w:rPr>
          <w:rFonts w:cs="Calibri"/>
          <w:color w:val="000000" w:themeColor="text1"/>
          <w:sz w:val="24"/>
          <w:szCs w:val="24"/>
        </w:rPr>
        <w:t>an age</w:t>
      </w:r>
      <w:r w:rsidRPr="000377CB">
        <w:rPr>
          <w:rFonts w:cs="Calibri"/>
          <w:color w:val="000000" w:themeColor="text1"/>
          <w:sz w:val="24"/>
          <w:szCs w:val="24"/>
        </w:rPr>
        <w:t xml:space="preserve"> gradient in females after </w:t>
      </w:r>
      <w:r w:rsidR="001813C6">
        <w:rPr>
          <w:rFonts w:cs="Calibri"/>
          <w:color w:val="000000" w:themeColor="text1"/>
          <w:sz w:val="24"/>
          <w:szCs w:val="24"/>
        </w:rPr>
        <w:t>XX</w:t>
      </w:r>
      <w:r w:rsidRPr="000377CB">
        <w:rPr>
          <w:rFonts w:cs="Calibri"/>
          <w:color w:val="000000" w:themeColor="text1"/>
          <w:sz w:val="24"/>
          <w:szCs w:val="24"/>
        </w:rPr>
        <w:t xml:space="preserve"> years of age, with women aged </w:t>
      </w:r>
      <w:r w:rsidR="001813C6">
        <w:rPr>
          <w:rFonts w:cs="Calibri"/>
          <w:color w:val="000000" w:themeColor="text1"/>
          <w:sz w:val="24"/>
          <w:szCs w:val="24"/>
        </w:rPr>
        <w:t>XX</w:t>
      </w:r>
      <w:r w:rsidRPr="000377CB">
        <w:rPr>
          <w:rFonts w:cs="Calibri"/>
          <w:color w:val="000000" w:themeColor="text1"/>
          <w:sz w:val="24"/>
          <w:szCs w:val="24"/>
        </w:rPr>
        <w:t xml:space="preserve"> years and </w:t>
      </w:r>
      <w:r w:rsidR="00066718">
        <w:rPr>
          <w:rFonts w:cs="Calibri"/>
          <w:color w:val="000000" w:themeColor="text1"/>
          <w:sz w:val="24"/>
          <w:szCs w:val="24"/>
        </w:rPr>
        <w:t>XX-</w:t>
      </w:r>
      <w:r w:rsidR="00C7430D">
        <w:rPr>
          <w:rFonts w:cs="Calibri"/>
          <w:color w:val="000000" w:themeColor="text1"/>
          <w:sz w:val="24"/>
          <w:szCs w:val="24"/>
        </w:rPr>
        <w:t>X</w:t>
      </w:r>
      <w:r w:rsidR="00066718">
        <w:rPr>
          <w:rFonts w:cs="Calibri"/>
          <w:color w:val="000000" w:themeColor="text1"/>
          <w:sz w:val="24"/>
          <w:szCs w:val="24"/>
        </w:rPr>
        <w:t>X</w:t>
      </w:r>
      <w:r w:rsidRPr="000377CB">
        <w:rPr>
          <w:rFonts w:cs="Calibri"/>
          <w:color w:val="000000" w:themeColor="text1"/>
          <w:sz w:val="24"/>
          <w:szCs w:val="24"/>
        </w:rPr>
        <w:t xml:space="preserve"> years, along with the age groups in between, having similar numbers of injury deaths.</w:t>
      </w:r>
    </w:p>
    <w:p w14:paraId="5BD91F86" w14:textId="52B66923" w:rsidR="00CB5EEE" w:rsidRPr="000377CB" w:rsidRDefault="00CB5EEE" w:rsidP="006851BD">
      <w:pPr>
        <w:spacing w:line="480" w:lineRule="auto"/>
        <w:ind w:firstLine="720"/>
        <w:jc w:val="both"/>
        <w:rPr>
          <w:rStyle w:val="apple-style-span"/>
          <w:rFonts w:cs="Calibri"/>
          <w:color w:val="000000" w:themeColor="text1"/>
          <w:sz w:val="24"/>
          <w:szCs w:val="24"/>
        </w:rPr>
      </w:pPr>
      <w:r w:rsidRPr="000377CB">
        <w:rPr>
          <w:rStyle w:val="apple-style-span"/>
          <w:rFonts w:cs="Calibri"/>
          <w:color w:val="000000" w:themeColor="text1"/>
          <w:sz w:val="24"/>
          <w:szCs w:val="24"/>
        </w:rPr>
        <w:t>We used data on deaths by sex, age, underlying cause of death and state of residence in the contiguous USA from 1980 to 2016 through the National Center for Health Statistics (NCHS) (</w:t>
      </w:r>
      <w:hyperlink r:id="rId8" w:history="1">
        <w:r w:rsidRPr="000377CB">
          <w:rPr>
            <w:rStyle w:val="Hyperlink"/>
            <w:rFonts w:cs="Calibri"/>
            <w:sz w:val="24"/>
            <w:szCs w:val="24"/>
          </w:rPr>
          <w:t>https://www.cdc.gov/nchs/nvss/dvs_data_release.htm</w:t>
        </w:r>
      </w:hyperlink>
      <w:r w:rsidRPr="000377CB">
        <w:rPr>
          <w:rStyle w:val="apple-style-span"/>
          <w:rFonts w:cs="Calibri"/>
          <w:color w:val="000000" w:themeColor="text1"/>
          <w:sz w:val="24"/>
          <w:szCs w:val="24"/>
        </w:rPr>
        <w:t xml:space="preserve">) and on population from the NCHS bridged-race dataset </w:t>
      </w:r>
      <w:r w:rsidRPr="000377CB">
        <w:rPr>
          <w:rFonts w:cs="Calibri"/>
          <w:color w:val="000000" w:themeColor="text1"/>
          <w:sz w:val="24"/>
          <w:szCs w:val="24"/>
        </w:rPr>
        <w:t>for 1990 to 2016 (</w:t>
      </w:r>
      <w:hyperlink r:id="rId9" w:history="1">
        <w:r w:rsidRPr="000377CB">
          <w:rPr>
            <w:rStyle w:val="Hyperlink"/>
            <w:rFonts w:cs="Calibri"/>
            <w:sz w:val="24"/>
            <w:szCs w:val="24"/>
          </w:rPr>
          <w:t>https://www.cdc.gov/nchs/nvss/bridged_race.htm</w:t>
        </w:r>
      </w:hyperlink>
      <w:r w:rsidRPr="000377CB">
        <w:rPr>
          <w:rFonts w:cs="Calibri"/>
          <w:color w:val="000000" w:themeColor="text1"/>
          <w:sz w:val="24"/>
          <w:szCs w:val="24"/>
        </w:rPr>
        <w:t>) and from the US Census Bureau prior to 1990 (</w:t>
      </w:r>
      <w:hyperlink r:id="rId10" w:history="1">
        <w:r w:rsidRPr="000377CB">
          <w:rPr>
            <w:rStyle w:val="Hyperlink"/>
            <w:rFonts w:cs="Calibri"/>
            <w:sz w:val="24"/>
            <w:szCs w:val="24"/>
          </w:rPr>
          <w:t>https://www.census.gov/data/developers/data-sets/popest-popproj/popest.html</w:t>
        </w:r>
      </w:hyperlink>
      <w:r w:rsidRPr="000377CB">
        <w:rPr>
          <w:rStyle w:val="Hyperlink"/>
          <w:rFonts w:cs="Calibri"/>
          <w:sz w:val="24"/>
          <w:szCs w:val="24"/>
        </w:rPr>
        <w:t>)</w:t>
      </w:r>
      <w:r w:rsidRPr="000377CB">
        <w:rPr>
          <w:rFonts w:cs="Calibri"/>
          <w:color w:val="000000" w:themeColor="text1"/>
          <w:sz w:val="24"/>
          <w:szCs w:val="24"/>
        </w:rPr>
        <w:t>. We calculated monthly population counts through linear interpolation, assigning each yearly count to July.</w:t>
      </w:r>
    </w:p>
    <w:p w14:paraId="630415C8" w14:textId="3B0A87B9" w:rsidR="00CB5EEE" w:rsidRPr="000377CB" w:rsidRDefault="00CB5EEE" w:rsidP="00E729FA">
      <w:pPr>
        <w:spacing w:line="480" w:lineRule="auto"/>
        <w:ind w:firstLine="720"/>
        <w:jc w:val="both"/>
        <w:rPr>
          <w:rFonts w:cs="Calibri"/>
          <w:color w:val="000000" w:themeColor="text1"/>
          <w:sz w:val="24"/>
          <w:szCs w:val="24"/>
        </w:rPr>
      </w:pPr>
      <w:r w:rsidRPr="000377CB">
        <w:rPr>
          <w:rFonts w:cs="Calibri"/>
          <w:color w:val="000000" w:themeColor="text1"/>
          <w:sz w:val="24"/>
          <w:szCs w:val="24"/>
        </w:rPr>
        <w:t>The underlying cause of death was coded according to the international classification of diseases (ICD) system (9</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from 1980 to 1998 and 10</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thereafter). The 5.7 million </w:t>
      </w:r>
      <w:r w:rsidRPr="000377CB">
        <w:rPr>
          <w:rStyle w:val="apple-style-span"/>
          <w:rFonts w:cs="Calibri"/>
          <w:color w:val="000000" w:themeColor="text1"/>
          <w:sz w:val="24"/>
          <w:szCs w:val="24"/>
        </w:rPr>
        <w:t xml:space="preserve">injury deaths fell into six categories: </w:t>
      </w:r>
      <w:r w:rsidR="00006AD1">
        <w:rPr>
          <w:rStyle w:val="apple-style-span"/>
          <w:rFonts w:cs="Calibri"/>
          <w:color w:val="000000" w:themeColor="text1"/>
          <w:sz w:val="24"/>
          <w:szCs w:val="24"/>
        </w:rPr>
        <w:t>ischaemic heart disease</w:t>
      </w:r>
      <w:r w:rsidRPr="000377CB">
        <w:rPr>
          <w:rStyle w:val="apple-style-span"/>
          <w:rFonts w:cs="Calibri"/>
          <w:color w:val="000000" w:themeColor="text1"/>
          <w:sz w:val="24"/>
          <w:szCs w:val="24"/>
        </w:rPr>
        <w:t>, drownings, assault, intentional self-harm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433ECD69" w14:textId="4532E4C0" w:rsidR="00CB5EEE" w:rsidRPr="000377CB" w:rsidRDefault="00CB5EEE" w:rsidP="00E97E74">
      <w:pPr>
        <w:spacing w:line="480" w:lineRule="auto"/>
        <w:ind w:firstLine="720"/>
        <w:jc w:val="both"/>
        <w:rPr>
          <w:rFonts w:cs="Calibri"/>
          <w:color w:val="000000" w:themeColor="text1"/>
          <w:sz w:val="24"/>
          <w:szCs w:val="24"/>
        </w:rPr>
      </w:pPr>
      <w:r w:rsidRPr="000377CB">
        <w:rPr>
          <w:rFonts w:cs="Calibri"/>
          <w:color w:val="000000" w:themeColor="text1"/>
          <w:sz w:val="24"/>
          <w:szCs w:val="24"/>
        </w:rPr>
        <w:t>We obtained data on temperature from ERA-Interim, which combines predictions from a physical model with in-situ and satellite measurements</w:t>
      </w:r>
      <w:r w:rsidR="00C77DA4">
        <w:rPr>
          <w:rFonts w:cs="Calibri"/>
          <w:color w:val="000000" w:themeColor="text1"/>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(Dee et al., 2011)</w:t>
      </w:r>
      <w:r w:rsidRPr="000377CB">
        <w:rPr>
          <w:rFonts w:cs="Calibri"/>
          <w:sz w:val="24"/>
          <w:szCs w:val="24"/>
        </w:rPr>
        <w:fldChar w:fldCharType="end"/>
      </w:r>
      <w:r w:rsidR="00C77DA4">
        <w:rPr>
          <w:rFonts w:cs="Calibri"/>
          <w:sz w:val="24"/>
          <w:szCs w:val="24"/>
        </w:rPr>
        <w:t>.</w:t>
      </w:r>
      <w:r w:rsidRPr="000377CB">
        <w:rPr>
          <w:rFonts w:cs="Calibri"/>
          <w:color w:val="000000" w:themeColor="text1"/>
          <w:sz w:val="24"/>
          <w:szCs w:val="24"/>
        </w:rPr>
        <w:t xml:space="preserve"> We used gridded four-times-daily estimates at a resolution of 80 km to generate monthly population-weighted temperature by state throughout the analysis period. </w:t>
      </w:r>
    </w:p>
    <w:p w14:paraId="52CCE3BB" w14:textId="243A9D0E" w:rsidR="00CB5EEE" w:rsidRPr="00E97E74" w:rsidRDefault="00CB5EEE" w:rsidP="00E97E74">
      <w:pPr>
        <w:spacing w:line="480" w:lineRule="auto"/>
        <w:ind w:firstLine="720"/>
        <w:jc w:val="both"/>
        <w:rPr>
          <w:rFonts w:cs="Calibri"/>
          <w:color w:val="000000" w:themeColor="text1"/>
          <w:sz w:val="24"/>
          <w:szCs w:val="24"/>
        </w:rPr>
      </w:pPr>
      <w:r w:rsidRPr="000377CB">
        <w:rPr>
          <w:rFonts w:cs="Calibri"/>
          <w:sz w:val="24"/>
          <w:szCs w:val="24"/>
        </w:rPr>
        <w:lastRenderedPageBreak/>
        <w:t>To calculate the magnitude of temperature anomaly by state and month, we first calculated 30-year (long-term) norm temperatures (from 1980-2009) for each month in each state. We calculated for 30 years because it is the duration used in climate assessments</w:t>
      </w:r>
      <w:r w:rsidR="009349B0">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(Wallace &amp; Hobbs, 2006)</w:t>
      </w:r>
      <w:r w:rsidRPr="000377CB">
        <w:rPr>
          <w:rFonts w:cs="Calibri"/>
          <w:sz w:val="24"/>
          <w:szCs w:val="24"/>
        </w:rPr>
        <w:fldChar w:fldCharType="end"/>
      </w:r>
      <w:r w:rsidR="009349B0">
        <w:rPr>
          <w:rFonts w:cs="Calibri"/>
          <w:sz w:val="24"/>
          <w:szCs w:val="24"/>
        </w:rPr>
        <w:t>.</w:t>
      </w:r>
      <w:r w:rsidRPr="000377CB">
        <w:rPr>
          <w:rFonts w:cs="Calibri"/>
          <w:sz w:val="24"/>
          <w:szCs w:val="24"/>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1949598C" w14:textId="77777777" w:rsidR="00CB5EEE" w:rsidRPr="000377CB" w:rsidRDefault="00CB5EEE" w:rsidP="00E97E74">
      <w:pPr>
        <w:pStyle w:val="Heading2"/>
      </w:pPr>
      <w:bookmarkStart w:id="11" w:name="_Toc6407373"/>
      <w:r w:rsidRPr="000377CB">
        <w:t>Statistical methods</w:t>
      </w:r>
      <w:bookmarkEnd w:id="11"/>
    </w:p>
    <w:p w14:paraId="61612A4A" w14:textId="16B921B2"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formulated a Bayesian spatio-temporal model 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(Lozano et al., 2012; Parks et al., 2018; Rau, 2004)</w:t>
      </w:r>
      <w:r w:rsidRPr="000377CB">
        <w:rPr>
          <w:rFonts w:cs="Calibri"/>
          <w:color w:val="000000" w:themeColor="text1"/>
          <w:sz w:val="24"/>
          <w:szCs w:val="24"/>
        </w:rPr>
        <w:fldChar w:fldCharType="end"/>
      </w:r>
      <w:r w:rsidRPr="000377CB">
        <w:rPr>
          <w:rFonts w:cs="Calibri"/>
          <w:color w:val="000000" w:themeColor="text1"/>
          <w:sz w:val="24"/>
          <w:szCs w:val="24"/>
        </w:rPr>
        <w:t xml:space="preserve"> as might their associations with temperature.</w:t>
      </w:r>
    </w:p>
    <w:p w14:paraId="081CF101" w14:textId="74D77D11"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modelled the number of deaths in each year as following a Poisson distribution:</w:t>
      </w:r>
    </w:p>
    <w:p w14:paraId="615B274B" w14:textId="3FD6CAAE" w:rsidR="00CB5EEE" w:rsidRPr="000377CB" w:rsidRDefault="00053F3E" w:rsidP="00CB5EEE">
      <w:pPr>
        <w:spacing w:line="480" w:lineRule="auto"/>
        <w:jc w:val="both"/>
        <w:rPr>
          <w:rFonts w:cs="Calibri"/>
          <w:color w:val="000000" w:themeColor="text1"/>
          <w:sz w:val="24"/>
          <w:szCs w:val="24"/>
        </w:rPr>
      </w:pPr>
      <m:oMathPara>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deaths</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Poisson(</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population</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m:t>
          </m:r>
        </m:oMath>
      </m:oMathPara>
    </w:p>
    <w:p w14:paraId="60A49D77" w14:textId="5026F1B1" w:rsidR="00CB5EEE" w:rsidRPr="000377CB" w:rsidRDefault="00CB5EEE" w:rsidP="00CB5EEE">
      <w:pPr>
        <w:spacing w:line="480" w:lineRule="auto"/>
        <w:jc w:val="both"/>
        <w:rPr>
          <w:rFonts w:cs="Calibri"/>
          <w:color w:val="000000" w:themeColor="text1"/>
          <w:sz w:val="24"/>
          <w:szCs w:val="24"/>
        </w:rPr>
      </w:pPr>
      <w:r w:rsidRPr="000377CB">
        <w:rPr>
          <w:rFonts w:cs="Calibri"/>
          <w:color w:val="000000" w:themeColor="text1"/>
          <w:sz w:val="24"/>
          <w:szCs w:val="24"/>
        </w:rPr>
        <w:t>with log-transformed death rates modelled as a sum of components that depend on location (state) of death, month of year, overall time (month and year) and temperature anomaly:</w:t>
      </w:r>
    </w:p>
    <w:p w14:paraId="1311BCBE" w14:textId="3C682660" w:rsidR="00CB5EEE" w:rsidRPr="003A4AB3" w:rsidRDefault="00053F3E" w:rsidP="003A4AB3">
      <w:pPr>
        <w:spacing w:line="240" w:lineRule="auto"/>
        <w:jc w:val="both"/>
        <w:rPr>
          <w:rFonts w:cs="Calibri"/>
          <w:color w:val="000000" w:themeColor="text1"/>
          <w:sz w:val="24"/>
          <w:szCs w:val="24"/>
        </w:rPr>
      </w:pPr>
      <m:oMathPara>
        <m:oMath>
          <m:func>
            <m:funcPr>
              <m:ctrlPr>
                <w:rPr>
                  <w:rFonts w:ascii="Cambria Math" w:hAnsi="Cambria Math" w:cs="Calibri"/>
                  <w:i/>
                  <w:color w:val="000000" w:themeColor="text1"/>
                  <w:sz w:val="24"/>
                  <w:szCs w:val="24"/>
                </w:rPr>
              </m:ctrlPr>
            </m:funcPr>
            <m:fName>
              <m:r>
                <m:rPr>
                  <m:sty m:val="p"/>
                </m:rPr>
                <w:rPr>
                  <w:rFonts w:ascii="Cambria Math" w:hAnsi="Cambria Math" w:cs="Calibri"/>
                  <w:color w:val="000000" w:themeColor="text1"/>
                  <w:sz w:val="24"/>
                  <w:szCs w:val="24"/>
                </w:rPr>
                <m:t>log</m:t>
              </m:r>
            </m:fName>
            <m:e>
              <m:d>
                <m:dPr>
                  <m:ctrlPr>
                    <w:rPr>
                      <w:rFonts w:ascii="Cambria Math" w:hAnsi="Cambria Math" w:cs="Calibri"/>
                      <w:i/>
                      <w:color w:val="000000" w:themeColor="text1"/>
                      <w:sz w:val="24"/>
                      <w:szCs w:val="24"/>
                    </w:rPr>
                  </m:ctrlPr>
                </m:d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m:t>
                  </m:r>
                </m:e>
              </m:d>
            </m:e>
          </m:func>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m:t>
              </m:r>
              <m:r>
                <w:rPr>
                  <w:rFonts w:ascii="Cambria Math" w:hAnsi="Cambria Math" w:cs="Calibri"/>
                  <w:color w:val="000000" w:themeColor="text1"/>
                  <w:sz w:val="24"/>
                  <w:szCs w:val="24"/>
                </w:rPr>
                <m:t>-</m:t>
              </m:r>
              <m:r>
                <w:rPr>
                  <w:rFonts w:ascii="Cambria Math" w:hAnsi="Cambria Math" w:cs="Calibri"/>
                  <w:sz w:val="24"/>
                  <w:szCs w:val="24"/>
                </w:rPr>
                <m:t>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state-month-year</m:t>
              </m:r>
            </m:sub>
          </m:sSub>
          <m:r>
            <m:rPr>
              <m:aln/>
            </m:rPr>
            <w:rPr>
              <w:rFonts w:ascii="Cambria Math" w:eastAsiaTheme="minorEastAsia" w:hAnsi="Cambria Math" w:cs="Calibri"/>
              <w:color w:val="FFFFFF" w:themeColor="background1"/>
              <w:sz w:val="24"/>
              <w:szCs w:val="24"/>
            </w:rPr>
            <m:t>+</m:t>
          </m:r>
        </m:oMath>
      </m:oMathPara>
    </w:p>
    <w:p w14:paraId="6AFF308A" w14:textId="3DFA8BED" w:rsidR="00CB5EEE" w:rsidRPr="003A4AB3" w:rsidRDefault="00CB5EEE" w:rsidP="003A4AB3">
      <w:pPr>
        <w:spacing w:line="480" w:lineRule="auto"/>
        <w:ind w:firstLine="720"/>
        <w:jc w:val="both"/>
        <w:rPr>
          <w:rFonts w:cs="Calibri"/>
          <w:sz w:val="24"/>
          <w:szCs w:val="24"/>
        </w:rPr>
      </w:pPr>
      <w:r w:rsidRPr="000377CB">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0377CB">
        <w:rPr>
          <w:rFonts w:eastAsiaTheme="minorEastAsia"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0377CB">
        <w:rPr>
          <w:rFonts w:eastAsiaTheme="minorEastAsia" w:cs="Calibri"/>
          <w:sz w:val="24"/>
          <w:szCs w:val="24"/>
        </w:rPr>
        <w:t xml:space="preserve"> the common time slope</w:t>
      </w:r>
      <w:r w:rsidRPr="000377CB">
        <w:rPr>
          <w:rFonts w:cs="Calibri"/>
          <w:sz w:val="24"/>
          <w:szCs w:val="24"/>
        </w:rPr>
        <w:t>.</w:t>
      </w:r>
      <w:r w:rsidRPr="000377CB">
        <w:rPr>
          <w:rFonts w:cs="Calibri"/>
          <w:color w:val="000000" w:themeColor="text1"/>
          <w:sz w:val="24"/>
          <w:szCs w:val="24"/>
        </w:rPr>
        <w:t xml:space="preserve"> Death rates also vary by month, which may be partly related to temperature and partly due to other factors, and tend to do so smoothly across adjacent months</w:t>
      </w:r>
      <w:r w:rsidR="009349B0">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(Parks et al., 2018)</w:t>
      </w:r>
      <w:r w:rsidRPr="000377CB">
        <w:rPr>
          <w:rFonts w:cs="Calibri"/>
          <w:color w:val="000000" w:themeColor="text1"/>
          <w:sz w:val="24"/>
          <w:szCs w:val="24"/>
        </w:rPr>
        <w:fldChar w:fldCharType="end"/>
      </w:r>
      <w:r w:rsidR="009349B0">
        <w:rPr>
          <w:rFonts w:cs="Calibri"/>
          <w:color w:val="000000" w:themeColor="text1"/>
          <w:sz w:val="24"/>
          <w:szCs w:val="24"/>
        </w:rPr>
        <w:t>.</w:t>
      </w:r>
      <w:r w:rsidRPr="000377CB">
        <w:rPr>
          <w:rFonts w:cs="Calibri"/>
          <w:color w:val="000000" w:themeColor="text1"/>
          <w:sz w:val="24"/>
          <w:szCs w:val="24"/>
        </w:rPr>
        <w:t xml:space="preserve"> Therefore, we allowed each month of the year to systematically have a different mortality level and trend, </w:t>
      </w:r>
      <w:r w:rsidRPr="000377CB">
        <w:rPr>
          <w:rFonts w:cs="Calibri"/>
          <w:sz w:val="24"/>
          <w:szCs w:val="24"/>
        </w:rPr>
        <w:t xml:space="preserve">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0377CB">
        <w:rPr>
          <w:rFonts w:eastAsiaTheme="minorEastAsia"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0377CB">
        <w:rPr>
          <w:rFonts w:eastAsiaTheme="minorEastAsia" w:cs="Calibri"/>
          <w:sz w:val="24"/>
          <w:szCs w:val="24"/>
        </w:rPr>
        <w:t xml:space="preserve"> the month-specific time slope</w:t>
      </w:r>
      <w:r w:rsidRPr="000377CB">
        <w:rPr>
          <w:rFonts w:cs="Calibri"/>
          <w:color w:val="000000" w:themeColor="text1"/>
          <w:sz w:val="24"/>
          <w:szCs w:val="24"/>
        </w:rPr>
        <w:t>. We used a random walk for the month terms to smooth the coefficients, widely used to characterise smoothly varying associations</w:t>
      </w:r>
      <w:r w:rsidRPr="000377CB">
        <w:rPr>
          <w:rFonts w:cs="Calibri"/>
          <w:sz w:val="24"/>
          <w:szCs w:val="24"/>
        </w:rPr>
        <w:t>.</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Pr="000377CB">
        <w:rPr>
          <w:rFonts w:cs="Calibri"/>
          <w:color w:val="000000" w:themeColor="text1"/>
          <w:sz w:val="24"/>
          <w:szCs w:val="24"/>
        </w:rPr>
        <w:t xml:space="preserve"> The random walk had a cyclic structure, so that December was adjacent to January. </w:t>
      </w:r>
    </w:p>
    <w:p w14:paraId="1237E330" w14:textId="1FBB458F" w:rsid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We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Pr="000377CB">
        <w:rPr>
          <w:rFonts w:eastAsiaTheme="minorEastAsia"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Pr="000377CB">
        <w:rPr>
          <w:rFonts w:eastAsiaTheme="minorEastAsia" w:cs="Calibri"/>
          <w:sz w:val="24"/>
          <w:szCs w:val="24"/>
        </w:rPr>
        <w:t xml:space="preserve"> the state-specific time slope</w:t>
      </w:r>
      <w:r w:rsidRPr="000377CB">
        <w:rPr>
          <w:rFonts w:cs="Calibri"/>
          <w:color w:val="000000" w:themeColor="text1"/>
          <w:sz w:val="24"/>
          <w:szCs w:val="24"/>
        </w:rPr>
        <w:t xml:space="preserve">. These terms measure deviations of each state from national </w:t>
      </w:r>
      <w:proofErr w:type="gramStart"/>
      <w:r w:rsidRPr="000377CB">
        <w:rPr>
          <w:rFonts w:cs="Calibri"/>
          <w:color w:val="000000" w:themeColor="text1"/>
          <w:sz w:val="24"/>
          <w:szCs w:val="24"/>
        </w:rPr>
        <w:t>values, and</w:t>
      </w:r>
      <w:proofErr w:type="gramEnd"/>
      <w:r w:rsidRPr="000377CB">
        <w:rPr>
          <w:rFonts w:cs="Calibri"/>
          <w:color w:val="000000" w:themeColor="text1"/>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D9577F">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(Besag, 1974)</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w:t>
      </w:r>
      <w:r w:rsidRPr="000377CB">
        <w:rPr>
          <w:rFonts w:cs="Calibri"/>
          <w:sz w:val="24"/>
          <w:szCs w:val="24"/>
        </w:rPr>
        <w:t xml:space="preserve"> We also included state-month interactions for intercepts and slopes (</w:t>
      </w:r>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oMath>
      <w:r w:rsidRPr="000377CB">
        <w:rPr>
          <w:rFonts w:eastAsiaTheme="minorEastAsia" w:cs="Calibri"/>
          <w:color w:val="000000" w:themeColor="text1"/>
          <w:sz w:val="24"/>
          <w:szCs w:val="24"/>
        </w:rPr>
        <w:t>)</w:t>
      </w:r>
      <w:r w:rsidRPr="000377CB">
        <w:rPr>
          <w:rFonts w:cs="Calibri"/>
          <w:sz w:val="24"/>
          <w:szCs w:val="24"/>
        </w:rPr>
        <w:t xml:space="preserve">, to allow variation in </w:t>
      </w:r>
      <w:r w:rsidRPr="000377CB">
        <w:rPr>
          <w:rFonts w:cs="Calibri"/>
          <w:sz w:val="24"/>
          <w:szCs w:val="24"/>
        </w:rPr>
        <w:lastRenderedPageBreak/>
        <w:t xml:space="preserve">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D9577F">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00D9577F">
        <w:rPr>
          <w:rFonts w:cs="Calibri"/>
          <w:sz w:val="24"/>
          <w:szCs w:val="24"/>
        </w:rPr>
        <w:t xml:space="preserve">. </w:t>
      </w:r>
      <w:r w:rsidRPr="000377CB">
        <w:rPr>
          <w:rFonts w:cs="Calibri"/>
          <w:color w:val="000000" w:themeColor="text1"/>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Pr="000377CB">
        <w:rPr>
          <w:rFonts w:cs="Calibri"/>
          <w:color w:val="000000" w:themeColor="text1"/>
          <w:sz w:val="24"/>
          <w:szCs w:val="24"/>
          <w:lang w:val="en-US"/>
        </w:rPr>
        <w:t xml:space="preserve">) captured the variation unaccounted for by other terms in the model, modelled as </w:t>
      </w:r>
      <w:proofErr w:type="gramStart"/>
      <w:r w:rsidRPr="000377CB">
        <w:rPr>
          <w:rFonts w:cs="Calibri"/>
          <w:i/>
          <w:color w:val="000000" w:themeColor="text1"/>
          <w:sz w:val="24"/>
          <w:szCs w:val="24"/>
          <w:lang w:val="en-US"/>
        </w:rPr>
        <w:t>N</w:t>
      </w:r>
      <w:r w:rsidRPr="000377CB">
        <w:rPr>
          <w:rFonts w:cs="Calibri"/>
          <w:color w:val="000000" w:themeColor="text1"/>
          <w:sz w:val="24"/>
          <w:szCs w:val="24"/>
          <w:lang w:val="en-US"/>
        </w:rPr>
        <w:t>(</w:t>
      </w:r>
      <w:proofErr w:type="gramEnd"/>
      <w:r w:rsidRPr="000377CB">
        <w:rPr>
          <w:rFonts w:cs="Calibri"/>
          <w:color w:val="000000" w:themeColor="text1"/>
          <w:sz w:val="24"/>
          <w:szCs w:val="24"/>
          <w:lang w:val="en-US"/>
        </w:rPr>
        <w:t>0,</w:t>
      </w:r>
      <m:oMath>
        <m:sSubSup>
          <m:sSubSupPr>
            <m:ctrlPr>
              <w:rPr>
                <w:rFonts w:ascii="Cambria Math" w:hAnsi="Cambria Math" w:cs="Calibri"/>
                <w:i/>
                <w:color w:val="000000" w:themeColor="text1"/>
                <w:sz w:val="24"/>
                <w:szCs w:val="24"/>
                <w:lang w:val="en-US"/>
              </w:rPr>
            </m:ctrlPr>
          </m:sSubSupPr>
          <m:e>
            <m:r>
              <w:rPr>
                <w:rFonts w:ascii="Cambria Math" w:hAnsi="Cambria Math" w:cs="Calibri"/>
                <w:color w:val="000000" w:themeColor="text1"/>
                <w:sz w:val="24"/>
                <w:szCs w:val="24"/>
                <w:lang w:val="en-US"/>
              </w:rPr>
              <m:t>σ</m:t>
            </m:r>
          </m:e>
          <m:sub>
            <m:r>
              <w:rPr>
                <w:rFonts w:ascii="Cambria Math" w:hAnsi="Cambria Math" w:cs="Calibri"/>
                <w:color w:val="000000" w:themeColor="text1"/>
                <w:sz w:val="24"/>
                <w:szCs w:val="24"/>
                <w:lang w:val="en-US"/>
              </w:rPr>
              <m:t>ϵ</m:t>
            </m:r>
          </m:sub>
          <m:sup>
            <m:r>
              <w:rPr>
                <w:rFonts w:ascii="Cambria Math" w:hAnsi="Cambria Math" w:cs="Calibri"/>
                <w:color w:val="000000" w:themeColor="text1"/>
                <w:sz w:val="24"/>
                <w:szCs w:val="24"/>
                <w:lang w:val="en-US"/>
              </w:rPr>
              <m:t>2</m:t>
            </m:r>
          </m:sup>
        </m:sSubSup>
      </m:oMath>
      <w:r w:rsidRPr="000377CB">
        <w:rPr>
          <w:rFonts w:cs="Calibri"/>
          <w:color w:val="000000" w:themeColor="text1"/>
          <w:sz w:val="24"/>
          <w:szCs w:val="24"/>
          <w:lang w:val="en-US"/>
        </w:rPr>
        <w:t>).</w:t>
      </w:r>
      <w:r w:rsidR="003A4AB3">
        <w:rPr>
          <w:rFonts w:cs="Calibri"/>
          <w:sz w:val="24"/>
          <w:szCs w:val="24"/>
        </w:rPr>
        <w:tab/>
      </w:r>
    </w:p>
    <w:p w14:paraId="2A65D1F8" w14:textId="471BD7F0" w:rsidR="00CB5EEE" w:rsidRP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Finally, we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0377CB">
        <w:rPr>
          <w:rFonts w:cs="Calibri"/>
          <w:color w:val="000000" w:themeColor="text1"/>
          <w:sz w:val="24"/>
          <w:szCs w:val="24"/>
        </w:rPr>
        <w:t>. The</w:t>
      </w:r>
      <w:r w:rsidRPr="000377CB">
        <w:rPr>
          <w:rFonts w:cs="Calibri"/>
          <w:sz w:val="24"/>
          <w:szCs w:val="24"/>
        </w:rPr>
        <w:t xml:space="preserv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0377CB">
        <w:rPr>
          <w:rFonts w:eastAsiaTheme="minorEastAsia" w:cs="Calibri"/>
          <w:sz w:val="24"/>
          <w:szCs w:val="24"/>
        </w:rPr>
        <w:t xml:space="preserve"> </w:t>
      </w:r>
      <w:r w:rsidRPr="000377CB">
        <w:rPr>
          <w:rFonts w:cs="Calibri"/>
          <w:sz w:val="24"/>
          <w:szCs w:val="24"/>
        </w:rPr>
        <w:t>represent the logarithm of the rate ratio per 1°C increase in anomaly</w:t>
      </w:r>
      <w:r w:rsidRPr="000377CB">
        <w:rPr>
          <w:rFonts w:cs="Calibri"/>
          <w:color w:val="000000" w:themeColor="text1"/>
          <w:sz w:val="24"/>
          <w:szCs w:val="24"/>
        </w:rPr>
        <w:t>;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w:t>
      </w:r>
      <w:r w:rsidRPr="000377CB">
        <w:rPr>
          <w:rFonts w:cs="Calibri"/>
          <w:color w:val="000000" w:themeColor="text1"/>
          <w:sz w:val="24"/>
          <w:szCs w:val="24"/>
          <w:lang w:val="en-US"/>
        </w:rPr>
        <w:t xml:space="preserve"> We fitted the models using integrated nested Laplace approximation (INLA), using the R-INLA software, which offers orders of computational efficiency improvement in Bayesian inference compared to traditional MCMC for latent Gaussian models.</w:t>
      </w:r>
      <w:r w:rsidRPr="000377CB">
        <w:rPr>
          <w:rFonts w:cs="Calibri"/>
          <w:color w:val="000000" w:themeColor="text1"/>
          <w:sz w:val="24"/>
          <w:szCs w:val="24"/>
          <w:lang w:val="en-US"/>
        </w:rPr>
        <w:fldChar w:fldCharType="begin" w:fldLock="1"/>
      </w:r>
      <w:r w:rsidRPr="000377CB">
        <w:rPr>
          <w:rFonts w:cs="Calibri"/>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Pr="000377CB">
        <w:rPr>
          <w:rFonts w:cs="Calibri"/>
          <w:color w:val="000000" w:themeColor="text1"/>
          <w:sz w:val="24"/>
          <w:szCs w:val="24"/>
          <w:lang w:val="en-US"/>
        </w:rPr>
        <w:fldChar w:fldCharType="separate"/>
      </w:r>
      <w:r w:rsidRPr="000377CB">
        <w:rPr>
          <w:rFonts w:cs="Calibri"/>
          <w:noProof/>
          <w:color w:val="000000" w:themeColor="text1"/>
          <w:sz w:val="24"/>
          <w:szCs w:val="24"/>
          <w:lang w:val="en-US"/>
        </w:rPr>
        <w:t>(Rue, Martino, &amp; Chopin, 2009)</w:t>
      </w:r>
      <w:r w:rsidRPr="000377CB">
        <w:rPr>
          <w:rFonts w:cs="Calibri"/>
          <w:color w:val="000000" w:themeColor="text1"/>
          <w:sz w:val="24"/>
          <w:szCs w:val="24"/>
          <w:lang w:val="en-US"/>
        </w:rPr>
        <w:fldChar w:fldCharType="end"/>
      </w:r>
    </w:p>
    <w:p w14:paraId="4CC115DC" w14:textId="6697A4DF"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We estimated the mortality impact of a national year-round temperature anomaly of 1°C in each month and state, </w:t>
      </w:r>
      <w:r w:rsidRPr="000377CB">
        <w:rPr>
          <w:rFonts w:cs="Calibri"/>
          <w:sz w:val="24"/>
          <w:szCs w:val="24"/>
        </w:rPr>
        <w:t>realistic in our lifetimes under current projections of global climate change</w:t>
      </w:r>
      <w:r w:rsidR="00D9577F">
        <w:rPr>
          <w:rFonts w:cs="Calibri"/>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(IPCC, 2018)</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as well as within the range of anomaly size experienced by some states (Figure 4).</w:t>
      </w:r>
      <w:r w:rsidRPr="000377CB">
        <w:rPr>
          <w:rFonts w:cs="Calibri"/>
          <w:sz w:val="24"/>
          <w:szCs w:val="24"/>
        </w:rPr>
        <w:t xml:space="preserve"> </w:t>
      </w:r>
      <w:r w:rsidRPr="000377CB">
        <w:rPr>
          <w:rFonts w:cs="Calibri"/>
          <w:color w:val="000000" w:themeColor="text1"/>
          <w:sz w:val="24"/>
          <w:szCs w:val="24"/>
        </w:rPr>
        <w:t>For this calculation, we multiplied the actual death counts for each month, sex, state and age group in 2016 by the corresponding excess relative risk, equivalent to the exponential of the coefficient of the temperature anomaly term from the above analysis.</w:t>
      </w:r>
    </w:p>
    <w:p w14:paraId="41AD82FF" w14:textId="77777777"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The uncertainty in our results were obtained from 5000 draws from the posterior marginal of each month’s excess relative risk. The reported 95% Credible Intervals (CrIs), </w:t>
      </w:r>
      <w:r w:rsidRPr="000377CB">
        <w:rPr>
          <w:rFonts w:cs="Calibri"/>
          <w:color w:val="000000" w:themeColor="text1"/>
          <w:sz w:val="24"/>
          <w:szCs w:val="24"/>
        </w:rPr>
        <w:lastRenderedPageBreak/>
        <w:t>quoted in brackets where appropriate, are the 2.5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to 97.5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percentiles of the sampled values.</w:t>
      </w:r>
    </w:p>
    <w:p w14:paraId="5BD03B91" w14:textId="77777777" w:rsidR="00CB5EEE" w:rsidRPr="000377CB" w:rsidRDefault="00CB5EEE" w:rsidP="003A4AB3">
      <w:pPr>
        <w:spacing w:line="480" w:lineRule="auto"/>
        <w:ind w:firstLine="720"/>
        <w:jc w:val="both"/>
        <w:rPr>
          <w:rFonts w:cs="Calibri"/>
          <w:sz w:val="24"/>
          <w:szCs w:val="24"/>
        </w:rPr>
      </w:pPr>
      <w:r w:rsidRPr="000377CB">
        <w:rPr>
          <w:rFonts w:cs="Calibri"/>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74479BFD" w14:textId="77777777" w:rsidR="00CB5EEE" w:rsidRPr="000377CB" w:rsidRDefault="00CB5EEE" w:rsidP="00CB5EEE">
      <w:pPr>
        <w:spacing w:line="480" w:lineRule="auto"/>
        <w:jc w:val="both"/>
        <w:rPr>
          <w:rFonts w:cs="Calibri"/>
          <w:sz w:val="24"/>
          <w:szCs w:val="24"/>
        </w:rPr>
      </w:pPr>
      <w:r w:rsidRPr="000377CB">
        <w:rPr>
          <w:rFonts w:cs="Calibri"/>
          <w:sz w:val="24"/>
          <w:szCs w:val="24"/>
        </w:rPr>
        <w:t>Together with temperature anomaly based on daily mean temperatures, we also included a second measure of anomaly in the model. The additional measures were related to extreme anomalous temperature:</w:t>
      </w:r>
    </w:p>
    <w:p w14:paraId="7A381D03" w14:textId="6717BA7B"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color w:val="000000" w:themeColor="text1"/>
          <w:sz w:val="24"/>
          <w:szCs w:val="24"/>
        </w:rPr>
        <w:t>temperature anomaly based on</w:t>
      </w:r>
      <w:r w:rsidRPr="003A4AB3" w:rsidDel="00F36612">
        <w:rPr>
          <w:rFonts w:cs="Calibri"/>
          <w:color w:val="000000" w:themeColor="text1"/>
          <w:sz w:val="24"/>
          <w:szCs w:val="24"/>
        </w:rPr>
        <w:t xml:space="preserve"> </w:t>
      </w:r>
      <w:r w:rsidRPr="003A4AB3">
        <w:rPr>
          <w:rFonts w:cs="Calibri"/>
          <w:color w:val="000000" w:themeColor="text1"/>
          <w:sz w:val="24"/>
          <w:szCs w:val="24"/>
        </w:rPr>
        <w:t>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(°C) of daily mean temperatures within a month, compared to 30-year (long-term) norm of 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for each state and month </w:t>
      </w:r>
    </w:p>
    <w:p w14:paraId="55BDEFB4" w14:textId="2C1064BC"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days in a month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72A1B0B8" w14:textId="77777777"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3+ day episodes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0E6BA521" w14:textId="40056500" w:rsidR="00B971FF" w:rsidRPr="000377CB" w:rsidRDefault="00CB5EEE" w:rsidP="003A4AB3">
      <w:pPr>
        <w:spacing w:line="480" w:lineRule="auto"/>
        <w:ind w:firstLine="360"/>
        <w:jc w:val="both"/>
        <w:rPr>
          <w:rFonts w:cs="Calibri"/>
          <w:color w:val="000000" w:themeColor="text1"/>
          <w:sz w:val="24"/>
          <w:szCs w:val="24"/>
        </w:rPr>
      </w:pPr>
      <w:r w:rsidRPr="000377CB">
        <w:rPr>
          <w:rFonts w:cs="Calibri"/>
          <w:sz w:val="24"/>
          <w:szCs w:val="24"/>
        </w:rPr>
        <w:t xml:space="preserve">The correlations among the variables and anomaly based on mean were between 0.6 and 0.89 (Supplementary Table 3). The estimated rate ratios of temperature anomaly based on daily means (i.e., the anomaly measure used in the main analysis) were robust to the addition of alternative measures of anomaly, while the coefficients of the additional measures were </w:t>
      </w:r>
      <w:r w:rsidRPr="000377CB">
        <w:rPr>
          <w:rFonts w:cs="Calibri"/>
          <w:sz w:val="24"/>
          <w:szCs w:val="24"/>
        </w:rPr>
        <w:lastRenderedPageBreak/>
        <w:t>generally not significant and with large credible intervals. Therefore, we did not include the alternative additional measures of extreme anomalous temperature in the main analysis.</w:t>
      </w:r>
    </w:p>
    <w:p w14:paraId="76C84221" w14:textId="3247A8DE" w:rsidR="00B971FF" w:rsidRPr="000377CB" w:rsidRDefault="00B971FF" w:rsidP="00E03939">
      <w:pPr>
        <w:spacing w:line="480" w:lineRule="auto"/>
        <w:ind w:firstLine="360"/>
        <w:jc w:val="both"/>
        <w:rPr>
          <w:rFonts w:cs="Calibri"/>
          <w:color w:val="000000" w:themeColor="text1"/>
          <w:sz w:val="24"/>
          <w:szCs w:val="24"/>
        </w:rPr>
      </w:pPr>
      <w:r w:rsidRPr="000377CB">
        <w:rPr>
          <w:rFonts w:cs="Calibri"/>
          <w:color w:val="000000" w:themeColor="text1"/>
          <w:sz w:val="24"/>
          <w:szCs w:val="24"/>
        </w:rPr>
        <w:t>We first defined a measure of anomalous temperature for each state and month compared to</w:t>
      </w:r>
      <w:r w:rsidRPr="000377CB">
        <w:rPr>
          <w:rFonts w:cs="Calibri"/>
          <w:sz w:val="24"/>
          <w:szCs w:val="24"/>
        </w:rPr>
        <w:t xml:space="preserve"> long-term norm temperature of the state in that month (Figure 3)</w:t>
      </w:r>
      <w:r w:rsidRPr="000377CB">
        <w:rPr>
          <w:rFonts w:cs="Calibri"/>
          <w:color w:val="000000" w:themeColor="text1"/>
          <w:sz w:val="24"/>
          <w:szCs w:val="24"/>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0377CB">
        <w:rPr>
          <w:rFonts w:cs="Calibri"/>
          <w:bCs/>
          <w:color w:val="000000" w:themeColor="text1"/>
          <w:sz w:val="24"/>
          <w:szCs w:val="24"/>
        </w:rPr>
        <w:t>°C</w:t>
      </w:r>
      <w:r w:rsidRPr="000377CB">
        <w:rPr>
          <w:rFonts w:cs="Calibri"/>
          <w:color w:val="000000" w:themeColor="text1"/>
          <w:sz w:val="24"/>
          <w:szCs w:val="24"/>
        </w:rPr>
        <w:t xml:space="preserve"> for Florida in September, to 3.4</w:t>
      </w:r>
      <w:r w:rsidRPr="000377CB">
        <w:rPr>
          <w:rFonts w:cs="Calibri"/>
          <w:bCs/>
          <w:color w:val="000000" w:themeColor="text1"/>
          <w:sz w:val="24"/>
          <w:szCs w:val="24"/>
        </w:rPr>
        <w:t>°C</w:t>
      </w:r>
      <w:r w:rsidRPr="000377CB">
        <w:rPr>
          <w:rFonts w:cs="Calibri"/>
          <w:color w:val="000000" w:themeColor="text1"/>
          <w:sz w:val="24"/>
          <w:szCs w:val="24"/>
        </w:rPr>
        <w:t xml:space="preserve"> for North Dakota in February (Figure 4). The average size of anomaly had a median value of 1.2</w:t>
      </w:r>
      <w:r w:rsidRPr="000377CB">
        <w:rPr>
          <w:rFonts w:cs="Calibri"/>
          <w:bCs/>
          <w:color w:val="000000" w:themeColor="text1"/>
          <w:sz w:val="24"/>
          <w:szCs w:val="24"/>
        </w:rPr>
        <w:t xml:space="preserve">°C across all states and months, with 27% less than 1°C and 90% less than </w:t>
      </w:r>
      <w:r w:rsidRPr="000377CB">
        <w:rPr>
          <w:rFonts w:cs="Calibri"/>
          <w:color w:val="000000" w:themeColor="text1"/>
          <w:sz w:val="24"/>
          <w:szCs w:val="24"/>
        </w:rPr>
        <w:t>2</w:t>
      </w:r>
      <w:r w:rsidRPr="000377CB">
        <w:rPr>
          <w:rFonts w:cs="Calibri"/>
          <w:bCs/>
          <w:color w:val="000000" w:themeColor="text1"/>
          <w:sz w:val="24"/>
          <w:szCs w:val="24"/>
        </w:rPr>
        <w:t>°C (Figure 4)</w:t>
      </w:r>
      <w:r w:rsidRPr="000377CB">
        <w:rPr>
          <w:rFonts w:cs="Calibri"/>
          <w:color w:val="000000" w:themeColor="text1"/>
          <w:sz w:val="24"/>
          <w:szCs w:val="24"/>
        </w:rPr>
        <w:t>. Temperature anomalies were largest in January and December and smallest in August and September. They were larger in northern and central states than in southern and coastal ones.</w:t>
      </w:r>
    </w:p>
    <w:p w14:paraId="7B9DF3D4" w14:textId="77777777" w:rsidR="00B971FF" w:rsidRPr="000377CB" w:rsidRDefault="00B971FF" w:rsidP="00E03939">
      <w:pPr>
        <w:spacing w:line="480" w:lineRule="auto"/>
        <w:ind w:firstLine="360"/>
        <w:jc w:val="both"/>
        <w:rPr>
          <w:rFonts w:cs="Calibri"/>
          <w:sz w:val="24"/>
          <w:szCs w:val="24"/>
        </w:rPr>
      </w:pPr>
      <w:r w:rsidRPr="000377CB">
        <w:rPr>
          <w:rFonts w:cs="Calibri"/>
          <w:color w:val="000000" w:themeColor="text1"/>
          <w:sz w:val="24"/>
          <w:szCs w:val="24"/>
        </w:rPr>
        <w:t>We then analysed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 Analyses were done separately by injury type, sex and age group. We used the resultant risk estimates and the age-sex-specific death rates from each injury in 2016, to calculate additional deaths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 by type of injury, sex, age group, state and month.</w:t>
      </w:r>
      <w:r w:rsidRPr="000377CB">
        <w:rPr>
          <w:rFonts w:cs="Calibri"/>
          <w:sz w:val="24"/>
          <w:szCs w:val="24"/>
        </w:rPr>
        <w:t xml:space="preserve"> </w:t>
      </w:r>
    </w:p>
    <w:p w14:paraId="75A0185A" w14:textId="5F73751F" w:rsidR="00B971FF" w:rsidRDefault="002A14D7" w:rsidP="002A14D7">
      <w:pPr>
        <w:pStyle w:val="Heading2"/>
      </w:pPr>
      <w:bookmarkStart w:id="12" w:name="_Toc6407374"/>
      <w:r>
        <w:lastRenderedPageBreak/>
        <w:t>Results</w:t>
      </w:r>
      <w:bookmarkEnd w:id="12"/>
    </w:p>
    <w:p w14:paraId="7CAC7D87" w14:textId="77777777" w:rsidR="006851BD" w:rsidRPr="000377CB" w:rsidRDefault="006851BD" w:rsidP="006851BD">
      <w:pPr>
        <w:spacing w:line="480" w:lineRule="auto"/>
        <w:ind w:firstLine="720"/>
        <w:jc w:val="both"/>
        <w:rPr>
          <w:rFonts w:cs="Calibri"/>
          <w:sz w:val="24"/>
          <w:szCs w:val="24"/>
        </w:rPr>
      </w:pPr>
      <w:r w:rsidRPr="000377CB">
        <w:rPr>
          <w:rFonts w:cs="Calibri"/>
          <w:color w:val="000000" w:themeColor="text1"/>
          <w:sz w:val="24"/>
          <w:szCs w:val="24"/>
        </w:rPr>
        <w:t xml:space="preserve">Injuries from transport, falls, drownings, assault, and intentional self-harm accounted for 79.0% of injury deaths in males and 72.1% in females. The remainder were from a heterogeneous group of “other unintentional injuries” (Figure 1), within which </w:t>
      </w:r>
      <w:r w:rsidRPr="000377CB">
        <w:rPr>
          <w:rFonts w:cs="Calibri"/>
          <w:sz w:val="24"/>
          <w:szCs w:val="24"/>
        </w:rPr>
        <w:t xml:space="preserve">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0058AA2B" w14:textId="77777777" w:rsidR="006851BD" w:rsidRPr="000377CB" w:rsidRDefault="006851BD" w:rsidP="006851BD">
      <w:pPr>
        <w:spacing w:line="480" w:lineRule="auto"/>
        <w:ind w:firstLine="720"/>
        <w:jc w:val="both"/>
        <w:rPr>
          <w:rFonts w:cs="Calibri"/>
          <w:sz w:val="24"/>
          <w:szCs w:val="24"/>
        </w:rPr>
      </w:pPr>
      <w:r w:rsidRPr="000377CB">
        <w:rPr>
          <w:rFonts w:cs="Calibri"/>
          <w:sz w:val="24"/>
          <w:szCs w:val="24"/>
        </w:rPr>
        <w:t>There was a decline in age-standardised death rates of three out of five major injuries (transport, drownings and assault) from 1980 to 2016 (Figure 2). In contrast, age-standardised 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and drownings peaked in summer months but deaths from other major injuries did not have clear seasonal patterns.</w:t>
      </w:r>
    </w:p>
    <w:p w14:paraId="6B6118D3" w14:textId="4F7A0414" w:rsidR="006851BD" w:rsidRPr="006851BD" w:rsidRDefault="006851BD"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With few exceptions</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(Burke et al., 2018; Shi, Kloog, Zanobetti, Liu, &amp; Schwartz, 2015)</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current climate change risk assessments typically extrapolate from changes in mortality in relation to daily temperature</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2012)","previouslyFormattedCitation":"&lt;sup&gt;1,4,5,14,15&lt;/sup&gt;"},"properties":{"noteIndex":0},"schema":"https://github.com/citation-style-language/schema/raw/master/csl-citation.json"}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(Basu, 2009; Gasparrini et al., 2015, 2017; Huang et al., 2011; Ye et al., 2012)</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19D33D24" w14:textId="77777777" w:rsidR="00B971FF" w:rsidRPr="000377CB" w:rsidRDefault="00B971FF" w:rsidP="002A14D7">
      <w:pPr>
        <w:spacing w:line="480" w:lineRule="auto"/>
        <w:ind w:firstLine="720"/>
        <w:jc w:val="both"/>
        <w:rPr>
          <w:rFonts w:cs="Calibri"/>
          <w:sz w:val="24"/>
          <w:szCs w:val="24"/>
        </w:rPr>
      </w:pPr>
      <w:r w:rsidRPr="006851BD">
        <w:rPr>
          <w:rFonts w:cs="Calibri"/>
          <w:sz w:val="24"/>
          <w:szCs w:val="24"/>
          <w:highlight w:val="yellow"/>
        </w:rPr>
        <w:lastRenderedPageBreak/>
        <w:t>Based on these calculations</w:t>
      </w:r>
      <w:r w:rsidRPr="000377CB">
        <w:rPr>
          <w:rFonts w:cs="Calibri"/>
          <w:sz w:val="24"/>
          <w:szCs w:val="24"/>
        </w:rPr>
        <w:t xml:space="preserve">, there would be an estimated 941 (95% </w:t>
      </w:r>
      <w:proofErr w:type="spellStart"/>
      <w:r w:rsidRPr="000377CB">
        <w:rPr>
          <w:rFonts w:cs="Calibri"/>
          <w:sz w:val="24"/>
          <w:szCs w:val="24"/>
        </w:rPr>
        <w:t>CrI</w:t>
      </w:r>
      <w:proofErr w:type="spellEnd"/>
      <w:r w:rsidRPr="000377CB">
        <w:rPr>
          <w:rFonts w:cs="Calibri"/>
          <w:sz w:val="24"/>
          <w:szCs w:val="24"/>
        </w:rPr>
        <w:t xml:space="preserve"> 831, 1,053) excess injury deaths, equivalent to 0.47% of all injury deaths in 2016,</w:t>
      </w:r>
      <w:r w:rsidRPr="000377CB">
        <w:rPr>
          <w:rFonts w:cs="Calibri"/>
          <w:color w:val="000000" w:themeColor="text1"/>
          <w:sz w:val="24"/>
          <w:szCs w:val="24"/>
        </w:rPr>
        <w:t xml:space="preserve">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w:t>
      </w:r>
      <w:r w:rsidRPr="000377CB">
        <w:rPr>
          <w:rFonts w:cs="Calibri"/>
          <w:sz w:val="24"/>
          <w:szCs w:val="24"/>
        </w:rPr>
        <w:t xml:space="preserve"> (Figure 5). Deaths from drowning, transport, assault and intentional self-harm would be predicted to increase, partly offset by a decline in deaths from falls in middle and older ages and in winter months (Figure 5).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6295434D" w14:textId="536DE269" w:rsidR="00B971FF" w:rsidRDefault="00B971FF" w:rsidP="002A14D7">
      <w:pPr>
        <w:spacing w:line="480" w:lineRule="auto"/>
        <w:ind w:firstLine="720"/>
        <w:jc w:val="both"/>
        <w:rPr>
          <w:rFonts w:cs="Calibri"/>
          <w:sz w:val="24"/>
          <w:szCs w:val="24"/>
        </w:rPr>
      </w:pPr>
      <w:r w:rsidRPr="000377CB">
        <w:rPr>
          <w:rFonts w:cs="Calibri"/>
          <w:sz w:val="24"/>
          <w:szCs w:val="24"/>
        </w:rPr>
        <w:t xml:space="preserve">Proportionally, deaths from drownings are predicted to increase more than those of other injury types, by as much 8.3% (7.3, 9.3) in men aged 15-24 years (Supplementary Figure 1); the smallest proportional increase was that of assault and intentional self-harm (less than 2% in all age and sex groups). There was a larger percent increase in transport deaths for males than for females, especially in young and middle-ages (~e.g., </w:t>
      </w:r>
      <w:r w:rsidRPr="000377CB">
        <w:rPr>
          <w:rFonts w:eastAsia="Times New Roman" w:cs="Calibri"/>
          <w:color w:val="000000"/>
          <w:sz w:val="24"/>
          <w:szCs w:val="24"/>
        </w:rPr>
        <w:t>1.25% (0.90, 1.60)</w:t>
      </w:r>
      <w:r w:rsidRPr="000377CB">
        <w:rPr>
          <w:rFonts w:cs="Calibri"/>
          <w:sz w:val="24"/>
          <w:szCs w:val="24"/>
        </w:rPr>
        <w:t xml:space="preserve"> for </w:t>
      </w:r>
      <w:proofErr w:type="gramStart"/>
      <w:r w:rsidRPr="000377CB">
        <w:rPr>
          <w:rFonts w:cs="Calibri"/>
          <w:sz w:val="24"/>
          <w:szCs w:val="24"/>
        </w:rPr>
        <w:t>25-34 year old</w:t>
      </w:r>
      <w:proofErr w:type="gramEnd"/>
      <w:r w:rsidRPr="000377CB">
        <w:rPr>
          <w:rFonts w:cs="Calibri"/>
          <w:sz w:val="24"/>
          <w:szCs w:val="24"/>
        </w:rPr>
        <w:t xml:space="preserve"> men versus 0.23% (-0.28, 0.76) for women of the same age) (Supplementary Figure 1).</w:t>
      </w:r>
    </w:p>
    <w:p w14:paraId="3993A80B" w14:textId="4B3A853F" w:rsidR="00A756E7" w:rsidRPr="00A756E7" w:rsidRDefault="00A756E7" w:rsidP="00A756E7">
      <w:pPr>
        <w:pStyle w:val="ListParagraph"/>
        <w:numPr>
          <w:ilvl w:val="0"/>
          <w:numId w:val="45"/>
        </w:numPr>
        <w:spacing w:line="480" w:lineRule="auto"/>
        <w:jc w:val="both"/>
        <w:rPr>
          <w:rFonts w:cs="Calibri"/>
          <w:sz w:val="24"/>
          <w:szCs w:val="24"/>
        </w:rPr>
      </w:pPr>
      <w:r>
        <w:rPr>
          <w:rFonts w:cs="Calibri"/>
          <w:sz w:val="24"/>
          <w:szCs w:val="24"/>
        </w:rPr>
        <w:t>Add subnational exploration also</w:t>
      </w:r>
    </w:p>
    <w:p w14:paraId="6C45DB60" w14:textId="7648F00D" w:rsidR="000732F9" w:rsidRPr="000377CB" w:rsidRDefault="000732F9" w:rsidP="000732F9">
      <w:pPr>
        <w:pStyle w:val="Heading2"/>
        <w:rPr>
          <w:rFonts w:ascii="Calibri" w:hAnsi="Calibri"/>
        </w:rPr>
      </w:pPr>
      <w:bookmarkStart w:id="13" w:name="_Toc6407375"/>
      <w:r>
        <w:t>Discussion</w:t>
      </w:r>
      <w:bookmarkEnd w:id="13"/>
    </w:p>
    <w:p w14:paraId="2C33E344" w14:textId="6BDFACB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 xml:space="preserve">°C higher </w:t>
      </w:r>
      <w:r w:rsidRPr="000377CB">
        <w:rPr>
          <w:rFonts w:cs="Calibri"/>
          <w:bCs/>
          <w:color w:val="000000" w:themeColor="text1"/>
          <w:sz w:val="24"/>
          <w:szCs w:val="24"/>
        </w:rPr>
        <w:lastRenderedPageBreak/>
        <w:t>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01634A" w:rsidRPr="000377CB">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310E00DD"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4CB15BBD"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t>
      </w:r>
      <w:r w:rsidRPr="000377CB">
        <w:rPr>
          <w:rFonts w:cs="Calibri"/>
          <w:sz w:val="24"/>
          <w:szCs w:val="24"/>
        </w:rPr>
        <w:lastRenderedPageBreak/>
        <w:t>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22356D97"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w:t>
      </w:r>
      <w:r w:rsidRPr="000377CB">
        <w:rPr>
          <w:rFonts w:cs="Calibri"/>
          <w:sz w:val="24"/>
          <w:szCs w:val="24"/>
        </w:rPr>
        <w:lastRenderedPageBreak/>
        <w:t xml:space="preserve">results due to other factors, although it is unlikely that such factors will have the same anomalies as temperature, even if their average space and time patterns are the same. </w:t>
      </w:r>
    </w:p>
    <w:p w14:paraId="04D8665F" w14:textId="0CD6287F" w:rsidR="00B971FF" w:rsidRPr="009B0930" w:rsidRDefault="00B971FF" w:rsidP="009B0930">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68B82F39" w14:textId="77777777" w:rsidR="00176A25" w:rsidRDefault="00176A25">
      <w:pPr>
        <w:spacing w:after="0" w:line="240" w:lineRule="auto"/>
        <w:rPr>
          <w:rFonts w:asciiTheme="majorHAnsi" w:eastAsiaTheme="majorEastAsia" w:hAnsiTheme="majorHAnsi" w:cstheme="majorBidi"/>
          <w:color w:val="2F5496" w:themeColor="accent1" w:themeShade="BF"/>
          <w:sz w:val="26"/>
          <w:szCs w:val="26"/>
        </w:rPr>
      </w:pPr>
      <w:r>
        <w:br w:type="page"/>
      </w:r>
    </w:p>
    <w:p w14:paraId="3A7A213E" w14:textId="77777777" w:rsidR="00176A25" w:rsidRDefault="00176A25" w:rsidP="006675AE">
      <w:pPr>
        <w:pStyle w:val="Heading2"/>
        <w:sectPr w:rsidR="00176A25" w:rsidSect="0083190B">
          <w:footerReference w:type="even" r:id="rId11"/>
          <w:footerReference w:type="default" r:id="rId12"/>
          <w:pgSz w:w="11900" w:h="16840"/>
          <w:pgMar w:top="1440" w:right="1440" w:bottom="1440" w:left="1440" w:header="720" w:footer="720" w:gutter="0"/>
          <w:lnNumType w:countBy="1" w:restart="continuous"/>
          <w:cols w:space="720"/>
          <w:docGrid w:linePitch="360"/>
        </w:sectPr>
      </w:pPr>
    </w:p>
    <w:p w14:paraId="4D061780" w14:textId="0AA0FA9F" w:rsidR="00ED27D7" w:rsidRDefault="00ED27D7" w:rsidP="00580788">
      <w:pPr>
        <w:jc w:val="center"/>
        <w:sectPr w:rsidR="00ED27D7" w:rsidSect="00176A25">
          <w:pgSz w:w="16840" w:h="1190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CBB6F1D" wp14:editId="2FE01D00">
            <wp:extent cx="8095615" cy="572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imate_month_params_excess_risk_ordered_janjuly_males_1e_1980_2016_t2m_meanc3_Cardiopulmonary.pdf"/>
                    <pic:cNvPicPr/>
                  </pic:nvPicPr>
                  <pic:blipFill>
                    <a:blip r:embed="rId13">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168FC6FD" w14:textId="66835DD7" w:rsidR="00176A25" w:rsidRDefault="0079618C" w:rsidP="00580788">
      <w:pPr>
        <w:jc w:val="center"/>
        <w:sectPr w:rsidR="00176A25" w:rsidSect="00176A25">
          <w:pgSz w:w="16840" w:h="1190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8B3FB3D" wp14:editId="6FAE99B7">
            <wp:extent cx="8095615" cy="572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imate_month_params_excess_risk_ordered_janjuly_males_1e_1980_2016_t2m_meanc3_Cardiopulmonary.pdf"/>
                    <pic:cNvPicPr/>
                  </pic:nvPicPr>
                  <pic:blipFill>
                    <a:blip r:embed="rId14">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368CC578" w14:textId="71EFC61A" w:rsidR="006675AE" w:rsidRPr="00127064" w:rsidRDefault="006675AE" w:rsidP="006675AE">
      <w:pPr>
        <w:pStyle w:val="Heading2"/>
      </w:pPr>
      <w:bookmarkStart w:id="14" w:name="_Toc6407376"/>
      <w:r w:rsidRPr="00127064">
        <w:lastRenderedPageBreak/>
        <w:t>References</w:t>
      </w:r>
      <w:bookmarkEnd w:id="8"/>
      <w:bookmarkEnd w:id="14"/>
    </w:p>
    <w:p w14:paraId="2EE99C03" w14:textId="4E52254E" w:rsidR="0001634A" w:rsidRPr="0001634A" w:rsidRDefault="006675AE" w:rsidP="0001634A">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01634A" w:rsidRPr="0001634A">
        <w:rPr>
          <w:rFonts w:cs="Calibri"/>
          <w:noProof/>
          <w:sz w:val="24"/>
          <w:lang w:val="en-US"/>
        </w:rPr>
        <w:t xml:space="preserve">Ambrose, A. F., Paul, G., &amp; Hausdorff, J. M. (2013). Risk factors for falls among older adults: A review of the literature. </w:t>
      </w:r>
      <w:r w:rsidR="0001634A" w:rsidRPr="0001634A">
        <w:rPr>
          <w:rFonts w:cs="Calibri"/>
          <w:i/>
          <w:iCs/>
          <w:noProof/>
          <w:sz w:val="24"/>
          <w:lang w:val="en-US"/>
        </w:rPr>
        <w:t>Maturitas</w:t>
      </w:r>
      <w:r w:rsidR="0001634A" w:rsidRPr="0001634A">
        <w:rPr>
          <w:rFonts w:cs="Calibri"/>
          <w:noProof/>
          <w:sz w:val="24"/>
          <w:lang w:val="en-US"/>
        </w:rPr>
        <w:t>. https://doi.org/10.1016/j.maturitas.2013.02.009</w:t>
      </w:r>
    </w:p>
    <w:p w14:paraId="5312F6D4"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Anderson, C. A. (1989). Temperature and aggression: Ubiquitous effects of heat on occurrence of human violence. </w:t>
      </w:r>
      <w:r w:rsidRPr="0001634A">
        <w:rPr>
          <w:rFonts w:cs="Calibri"/>
          <w:i/>
          <w:iCs/>
          <w:noProof/>
          <w:sz w:val="24"/>
          <w:lang w:val="en-US"/>
        </w:rPr>
        <w:t>Psychological Bulletin</w:t>
      </w:r>
      <w:r w:rsidRPr="0001634A">
        <w:rPr>
          <w:rFonts w:cs="Calibri"/>
          <w:noProof/>
          <w:sz w:val="24"/>
          <w:lang w:val="en-US"/>
        </w:rPr>
        <w:t>. https://doi.org/10.1037/0033-2909.106.1.74</w:t>
      </w:r>
    </w:p>
    <w:p w14:paraId="199417C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Baron, R. A., &amp; Bell, P. A. (1976). Aggression and heat: The influence of ambient temperature, negative affect, and a cooling drink on physical aggression. </w:t>
      </w:r>
      <w:r w:rsidRPr="0001634A">
        <w:rPr>
          <w:rFonts w:cs="Calibri"/>
          <w:i/>
          <w:iCs/>
          <w:noProof/>
          <w:sz w:val="24"/>
          <w:lang w:val="en-US"/>
        </w:rPr>
        <w:t>Journal of Personality and Social Psychology</w:t>
      </w:r>
      <w:r w:rsidRPr="0001634A">
        <w:rPr>
          <w:rFonts w:cs="Calibri"/>
          <w:noProof/>
          <w:sz w:val="24"/>
          <w:lang w:val="en-US"/>
        </w:rPr>
        <w:t>. https://doi.org/10.1037/0022-3514.33.3.245</w:t>
      </w:r>
    </w:p>
    <w:p w14:paraId="616020CD"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Basu, R. (2009). High ambient temperature and mortality: A review of epidemiologic studies from 2001 to 2008. </w:t>
      </w:r>
      <w:r w:rsidRPr="0001634A">
        <w:rPr>
          <w:rFonts w:cs="Calibri"/>
          <w:i/>
          <w:iCs/>
          <w:noProof/>
          <w:sz w:val="24"/>
          <w:lang w:val="en-US"/>
        </w:rPr>
        <w:t>Environmental Health: A Global Access Science Source</w:t>
      </w:r>
      <w:r w:rsidRPr="0001634A">
        <w:rPr>
          <w:rFonts w:cs="Calibri"/>
          <w:noProof/>
          <w:sz w:val="24"/>
          <w:lang w:val="en-US"/>
        </w:rPr>
        <w:t xml:space="preserve">, </w:t>
      </w:r>
      <w:r w:rsidRPr="0001634A">
        <w:rPr>
          <w:rFonts w:cs="Calibri"/>
          <w:i/>
          <w:iCs/>
          <w:noProof/>
          <w:sz w:val="24"/>
          <w:lang w:val="en-US"/>
        </w:rPr>
        <w:t>8</w:t>
      </w:r>
      <w:r w:rsidRPr="0001634A">
        <w:rPr>
          <w:rFonts w:cs="Calibri"/>
          <w:noProof/>
          <w:sz w:val="24"/>
          <w:lang w:val="en-US"/>
        </w:rPr>
        <w:t>(1), 40. https://doi.org/10.1186/1476-069X-8-40</w:t>
      </w:r>
    </w:p>
    <w:p w14:paraId="3FD742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Berry, H. L., Waite, T. D., Dear, K. B. G., Capon, A. G., &amp; Murray, V. (2018). The case for systems thinking about climate change and mental health. </w:t>
      </w:r>
      <w:r w:rsidRPr="0001634A">
        <w:rPr>
          <w:rFonts w:cs="Calibri"/>
          <w:i/>
          <w:iCs/>
          <w:noProof/>
          <w:sz w:val="24"/>
          <w:lang w:val="en-US"/>
        </w:rPr>
        <w:t>Nature Climate Change</w:t>
      </w:r>
      <w:r w:rsidRPr="0001634A">
        <w:rPr>
          <w:rFonts w:cs="Calibri"/>
          <w:noProof/>
          <w:sz w:val="24"/>
          <w:lang w:val="en-US"/>
        </w:rPr>
        <w:t>. https://doi.org/10.1038/s41558-018-0102-4</w:t>
      </w:r>
    </w:p>
    <w:p w14:paraId="4021BCA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Besag, J. (1974). Spatial interaction and the statistical snalysis of lattice systems.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https://doi.org/10.2307/2984812</w:t>
      </w:r>
    </w:p>
    <w:p w14:paraId="694FDFF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01634A">
        <w:rPr>
          <w:rFonts w:cs="Calibri"/>
          <w:i/>
          <w:iCs/>
          <w:noProof/>
          <w:sz w:val="24"/>
          <w:lang w:val="en-US"/>
        </w:rPr>
        <w:t>American Journal of Epidemiology</w:t>
      </w:r>
      <w:r w:rsidRPr="0001634A">
        <w:rPr>
          <w:rFonts w:cs="Calibri"/>
          <w:noProof/>
          <w:sz w:val="24"/>
          <w:lang w:val="en-US"/>
        </w:rPr>
        <w:t xml:space="preserve">, </w:t>
      </w:r>
      <w:r w:rsidRPr="0001634A">
        <w:rPr>
          <w:rFonts w:cs="Calibri"/>
          <w:i/>
          <w:iCs/>
          <w:noProof/>
          <w:sz w:val="24"/>
          <w:lang w:val="en-US"/>
        </w:rPr>
        <w:t>185</w:t>
      </w:r>
      <w:r w:rsidRPr="0001634A">
        <w:rPr>
          <w:rFonts w:cs="Calibri"/>
          <w:noProof/>
          <w:sz w:val="24"/>
          <w:lang w:val="en-US"/>
        </w:rPr>
        <w:t>(4), 283–294. https://doi.org/10.1093/aje/kww219</w:t>
      </w:r>
    </w:p>
    <w:p w14:paraId="384FB32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Burke, M., González, F., Baylis, P., Heft-Neal, S., Baysan, C., Basu, S., &amp; Hsiang, S. (2018). Higher temperatures increase suicide rates in the United States and Mexico. </w:t>
      </w:r>
      <w:r w:rsidRPr="0001634A">
        <w:rPr>
          <w:rFonts w:cs="Calibri"/>
          <w:i/>
          <w:iCs/>
          <w:noProof/>
          <w:sz w:val="24"/>
          <w:lang w:val="en-US"/>
        </w:rPr>
        <w:t>Nature Climate Change</w:t>
      </w:r>
      <w:r w:rsidRPr="0001634A">
        <w:rPr>
          <w:rFonts w:cs="Calibri"/>
          <w:noProof/>
          <w:sz w:val="24"/>
          <w:lang w:val="en-US"/>
        </w:rPr>
        <w:t>. https://doi.org/10.1038/s41558-018-0222-x</w:t>
      </w:r>
    </w:p>
    <w:p w14:paraId="6499211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Daanen, H. A. M., Van De Vliert, E., &amp; Huang, X. (2003). Driving performance in cold, warm, and thermoneutral environments. </w:t>
      </w:r>
      <w:r w:rsidRPr="0001634A">
        <w:rPr>
          <w:rFonts w:cs="Calibri"/>
          <w:i/>
          <w:iCs/>
          <w:noProof/>
          <w:sz w:val="24"/>
          <w:lang w:val="en-US"/>
        </w:rPr>
        <w:t>Applied Ergonomics</w:t>
      </w:r>
      <w:r w:rsidRPr="0001634A">
        <w:rPr>
          <w:rFonts w:cs="Calibri"/>
          <w:noProof/>
          <w:sz w:val="24"/>
          <w:lang w:val="en-US"/>
        </w:rPr>
        <w:t>. https://doi.org/10.1016/S0003-6870(03)00055-3</w:t>
      </w:r>
    </w:p>
    <w:p w14:paraId="6196FFC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Datla, S., Sahu, P., Roh, H.-J., &amp; Sharma, S. (2013). A comprehensive analysis of the association of highway traffic with winter weather conditions. </w:t>
      </w:r>
      <w:r w:rsidRPr="0001634A">
        <w:rPr>
          <w:rFonts w:cs="Calibri"/>
          <w:i/>
          <w:iCs/>
          <w:noProof/>
          <w:sz w:val="24"/>
          <w:lang w:val="en-US"/>
        </w:rPr>
        <w:t>Procedia - Social and Behavioral Sciences</w:t>
      </w:r>
      <w:r w:rsidRPr="0001634A">
        <w:rPr>
          <w:rFonts w:cs="Calibri"/>
          <w:noProof/>
          <w:sz w:val="24"/>
          <w:lang w:val="en-US"/>
        </w:rPr>
        <w:t>. https://doi.org/10.1016/j.sbspro.2013.11.143</w:t>
      </w:r>
    </w:p>
    <w:p w14:paraId="78DED3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Dee, D. P., Uppala, S. M., Simmons, A. J., Berrisford, P., Poli, P., Kobayashi, S., … Vitart, F. (2011). The ERA-Interim reanalysis: configuration and performance of the data assimilation system. </w:t>
      </w:r>
      <w:r w:rsidRPr="0001634A">
        <w:rPr>
          <w:rFonts w:cs="Calibri"/>
          <w:i/>
          <w:iCs/>
          <w:noProof/>
          <w:sz w:val="24"/>
          <w:lang w:val="en-US"/>
        </w:rPr>
        <w:t>Quarterly Journal of the Royal Meteorological Society</w:t>
      </w:r>
      <w:r w:rsidRPr="0001634A">
        <w:rPr>
          <w:rFonts w:cs="Calibri"/>
          <w:noProof/>
          <w:sz w:val="24"/>
          <w:lang w:val="en-US"/>
        </w:rPr>
        <w:t xml:space="preserve">, </w:t>
      </w:r>
      <w:r w:rsidRPr="0001634A">
        <w:rPr>
          <w:rFonts w:cs="Calibri"/>
          <w:i/>
          <w:iCs/>
          <w:noProof/>
          <w:sz w:val="24"/>
          <w:lang w:val="en-US"/>
        </w:rPr>
        <w:t>137</w:t>
      </w:r>
      <w:r w:rsidRPr="0001634A">
        <w:rPr>
          <w:rFonts w:cs="Calibri"/>
          <w:noProof/>
          <w:sz w:val="24"/>
          <w:lang w:val="en-US"/>
        </w:rPr>
        <w:t>(656), 553–597. https://doi.org/10.1002/qj.828</w:t>
      </w:r>
    </w:p>
    <w:p w14:paraId="1767924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386</w:t>
      </w:r>
      <w:r w:rsidRPr="0001634A">
        <w:rPr>
          <w:rFonts w:cs="Calibri"/>
          <w:noProof/>
          <w:sz w:val="24"/>
          <w:lang w:val="en-US"/>
        </w:rPr>
        <w:t>(9991), 369–375. https://doi.org/10.1016/S0140-6736(14)62114-0</w:t>
      </w:r>
    </w:p>
    <w:p w14:paraId="7B63B2F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01634A">
        <w:rPr>
          <w:rFonts w:cs="Calibri"/>
          <w:i/>
          <w:iCs/>
          <w:noProof/>
          <w:sz w:val="24"/>
          <w:lang w:val="en-US"/>
        </w:rPr>
        <w:t>The Lancet Planetary Health</w:t>
      </w:r>
      <w:r w:rsidRPr="0001634A">
        <w:rPr>
          <w:rFonts w:cs="Calibri"/>
          <w:noProof/>
          <w:sz w:val="24"/>
          <w:lang w:val="en-US"/>
        </w:rPr>
        <w:t>. https://doi.org/10.1016/S2542-5196(17)30156-0</w:t>
      </w:r>
    </w:p>
    <w:p w14:paraId="3AD498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Glaeser, E. L., Sacerdote, B., &amp; Scheinkman, J. A. (1996). Crime and social interactions. </w:t>
      </w:r>
      <w:r w:rsidRPr="0001634A">
        <w:rPr>
          <w:rFonts w:cs="Calibri"/>
          <w:i/>
          <w:iCs/>
          <w:noProof/>
          <w:sz w:val="24"/>
          <w:lang w:val="en-US"/>
        </w:rPr>
        <w:t>The Quarterly Journal of Economics</w:t>
      </w:r>
      <w:r w:rsidRPr="0001634A">
        <w:rPr>
          <w:rFonts w:cs="Calibri"/>
          <w:noProof/>
          <w:sz w:val="24"/>
          <w:lang w:val="en-US"/>
        </w:rPr>
        <w:t>. https://doi.org/10.2307/2946686</w:t>
      </w:r>
    </w:p>
    <w:p w14:paraId="08F5B9E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Graff Zivin, J., &amp; Neidell, M. (2014). Temperature and the allocation of time: Implications for climate change. </w:t>
      </w:r>
      <w:r w:rsidRPr="0001634A">
        <w:rPr>
          <w:rFonts w:cs="Calibri"/>
          <w:i/>
          <w:iCs/>
          <w:noProof/>
          <w:sz w:val="24"/>
          <w:lang w:val="en-US"/>
        </w:rPr>
        <w:t>Journal of Labor Economics</w:t>
      </w:r>
      <w:r w:rsidRPr="0001634A">
        <w:rPr>
          <w:rFonts w:cs="Calibri"/>
          <w:noProof/>
          <w:sz w:val="24"/>
          <w:lang w:val="en-US"/>
        </w:rPr>
        <w:t>. https://doi.org/10.1086/671766</w:t>
      </w:r>
    </w:p>
    <w:p w14:paraId="55E886F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Haines, A., &amp; Ebi, K. (2019). The imperative for climate action to protect health. </w:t>
      </w:r>
      <w:r w:rsidRPr="0001634A">
        <w:rPr>
          <w:rFonts w:cs="Calibri"/>
          <w:i/>
          <w:iCs/>
          <w:noProof/>
          <w:sz w:val="24"/>
          <w:lang w:val="en-US"/>
        </w:rPr>
        <w:t>New England Journal of Medicine</w:t>
      </w:r>
      <w:r w:rsidRPr="0001634A">
        <w:rPr>
          <w:rFonts w:cs="Calibri"/>
          <w:noProof/>
          <w:sz w:val="24"/>
          <w:lang w:val="en-US"/>
        </w:rPr>
        <w:t>, (380), 263–273.</w:t>
      </w:r>
    </w:p>
    <w:p w14:paraId="548E7B3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Huang, C., Barnett, A. G., Wang, X., Vaneckova, P., Fitzgerald, G., &amp; Tong, S. (2011). Projecting future heat-related mortality under climate change scenarios: A systematic review. </w:t>
      </w:r>
      <w:r w:rsidRPr="0001634A">
        <w:rPr>
          <w:rFonts w:cs="Calibri"/>
          <w:i/>
          <w:iCs/>
          <w:noProof/>
          <w:sz w:val="24"/>
          <w:lang w:val="en-US"/>
        </w:rPr>
        <w:t>Environmental Health Perspectives</w:t>
      </w:r>
      <w:r w:rsidRPr="0001634A">
        <w:rPr>
          <w:rFonts w:cs="Calibri"/>
          <w:noProof/>
          <w:sz w:val="24"/>
          <w:lang w:val="en-US"/>
        </w:rPr>
        <w:t>. https://doi.org/10.1289/ehp.1103456</w:t>
      </w:r>
    </w:p>
    <w:p w14:paraId="791A8DE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IPCC. (2018). IPCC special report on the impacts of global warming of 1.5 °C - Summary for policy makers, (October 2018). Retrieved from http://www.ipcc.ch/report/sr15/</w:t>
      </w:r>
    </w:p>
    <w:p w14:paraId="0AC2C05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01634A">
        <w:rPr>
          <w:rFonts w:cs="Calibri"/>
          <w:i/>
          <w:iCs/>
          <w:noProof/>
          <w:sz w:val="24"/>
          <w:lang w:val="en-US"/>
        </w:rPr>
        <w:t>Journal of the American Geriatrics Society</w:t>
      </w:r>
      <w:r w:rsidRPr="0001634A">
        <w:rPr>
          <w:rFonts w:cs="Calibri"/>
          <w:noProof/>
          <w:sz w:val="24"/>
          <w:lang w:val="en-US"/>
        </w:rPr>
        <w:t>. https://doi.org/10.1111/j.1532-5415.2010.03062.x</w:t>
      </w:r>
    </w:p>
    <w:p w14:paraId="6C59B95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01634A">
        <w:rPr>
          <w:rFonts w:cs="Calibri"/>
          <w:i/>
          <w:iCs/>
          <w:noProof/>
          <w:sz w:val="24"/>
          <w:lang w:val="en-US"/>
        </w:rPr>
        <w:t>The Lancet</w:t>
      </w:r>
      <w:r w:rsidRPr="0001634A">
        <w:rPr>
          <w:rFonts w:cs="Calibri"/>
          <w:noProof/>
          <w:sz w:val="24"/>
          <w:lang w:val="en-US"/>
        </w:rPr>
        <w:t>. https://doi.org/10.1016/S0140-6736(12)61728-0</w:t>
      </w:r>
    </w:p>
    <w:p w14:paraId="4927785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Mackie, R. R., &amp; Hanlon, J. F. . O. (1976). A study of the combined effects of extented driving and heat stress on driver arousal and performance. In </w:t>
      </w:r>
      <w:r w:rsidRPr="0001634A">
        <w:rPr>
          <w:rFonts w:cs="Calibri"/>
          <w:i/>
          <w:iCs/>
          <w:noProof/>
          <w:sz w:val="24"/>
          <w:lang w:val="en-US"/>
        </w:rPr>
        <w:t>Symposium on relationships among theory, physiological correlates, and operational performance</w:t>
      </w:r>
      <w:r w:rsidRPr="0001634A">
        <w:rPr>
          <w:rFonts w:cs="Calibri"/>
          <w:noProof/>
          <w:sz w:val="24"/>
          <w:lang w:val="en-US"/>
        </w:rPr>
        <w:t>. https://doi.org/10.1007/978-1-4684-2529-1_25</w:t>
      </w:r>
    </w:p>
    <w:p w14:paraId="0A3FD39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Majeed, H., &amp; Lee, J. (2017). The impact of climate change on youth depression and mental health. </w:t>
      </w:r>
      <w:r w:rsidRPr="0001634A">
        <w:rPr>
          <w:rFonts w:cs="Calibri"/>
          <w:i/>
          <w:iCs/>
          <w:noProof/>
          <w:sz w:val="24"/>
          <w:lang w:val="en-US"/>
        </w:rPr>
        <w:t>The Lancet Planetary Health</w:t>
      </w:r>
      <w:r w:rsidRPr="0001634A">
        <w:rPr>
          <w:rFonts w:cs="Calibri"/>
          <w:noProof/>
          <w:sz w:val="24"/>
          <w:lang w:val="en-US"/>
        </w:rPr>
        <w:t xml:space="preserve">, </w:t>
      </w:r>
      <w:r w:rsidRPr="0001634A">
        <w:rPr>
          <w:rFonts w:cs="Calibri"/>
          <w:i/>
          <w:iCs/>
          <w:noProof/>
          <w:sz w:val="24"/>
          <w:lang w:val="en-US"/>
        </w:rPr>
        <w:t>1</w:t>
      </w:r>
      <w:r w:rsidRPr="0001634A">
        <w:rPr>
          <w:rFonts w:cs="Calibri"/>
          <w:noProof/>
          <w:sz w:val="24"/>
          <w:lang w:val="en-US"/>
        </w:rPr>
        <w:t>(3), e94–e95. https://doi.org/10.1016/S2542-5196(17)30045-1</w:t>
      </w:r>
    </w:p>
    <w:p w14:paraId="4DA5B7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McMichael, A. J., Woodruff, R. E., &amp; Hales, S. (2006). Climate change and human health: Present and future risks. </w:t>
      </w:r>
      <w:r w:rsidRPr="0001634A">
        <w:rPr>
          <w:rFonts w:cs="Calibri"/>
          <w:i/>
          <w:iCs/>
          <w:noProof/>
          <w:sz w:val="24"/>
          <w:lang w:val="en-US"/>
        </w:rPr>
        <w:t>Lancet</w:t>
      </w:r>
      <w:r w:rsidRPr="0001634A">
        <w:rPr>
          <w:rFonts w:cs="Calibri"/>
          <w:noProof/>
          <w:sz w:val="24"/>
          <w:lang w:val="en-US"/>
        </w:rPr>
        <w:t>. https://doi.org/10.1016/S0140-6736(06)68079-3</w:t>
      </w:r>
    </w:p>
    <w:p w14:paraId="6988184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Opinium. (2018). Brits drink more alcohol in warmer weather. Retrieved January 10, 2019, from https://www.opinium.co.uk/brits-drink-more-alcohol-in-warmer-weather/</w:t>
      </w:r>
    </w:p>
    <w:p w14:paraId="2518EEA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Orru, H., &amp; Åström, D. O. (2017). Increases in external cause mortality due to high and low temperatures: evidence from northeastern Europe. </w:t>
      </w:r>
      <w:r w:rsidRPr="0001634A">
        <w:rPr>
          <w:rFonts w:cs="Calibri"/>
          <w:i/>
          <w:iCs/>
          <w:noProof/>
          <w:sz w:val="24"/>
          <w:lang w:val="en-US"/>
        </w:rPr>
        <w:t>International Journal of Biometeorology</w:t>
      </w:r>
      <w:r w:rsidRPr="0001634A">
        <w:rPr>
          <w:rFonts w:cs="Calibri"/>
          <w:noProof/>
          <w:sz w:val="24"/>
          <w:lang w:val="en-US"/>
        </w:rPr>
        <w:t>. https://doi.org/10.1007/s00484-016-1270-4</w:t>
      </w:r>
    </w:p>
    <w:p w14:paraId="4887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Parks, R. M., Bennett, J. E., Foreman, K. J., Toumi, R., &amp; Ezzati, M. (2018). National and </w:t>
      </w:r>
      <w:r w:rsidRPr="0001634A">
        <w:rPr>
          <w:rFonts w:cs="Calibri"/>
          <w:noProof/>
          <w:sz w:val="24"/>
          <w:lang w:val="en-US"/>
        </w:rPr>
        <w:lastRenderedPageBreak/>
        <w:t xml:space="preserve">regional seasonal dynamics of all-cause and cause-specific mortality in the USA from 1980 to 2016. </w:t>
      </w:r>
      <w:r w:rsidRPr="0001634A">
        <w:rPr>
          <w:rFonts w:cs="Calibri"/>
          <w:i/>
          <w:iCs/>
          <w:noProof/>
          <w:sz w:val="24"/>
          <w:lang w:val="en-US"/>
        </w:rPr>
        <w:t>ELife</w:t>
      </w:r>
      <w:r w:rsidRPr="0001634A">
        <w:rPr>
          <w:rFonts w:cs="Calibri"/>
          <w:noProof/>
          <w:sz w:val="24"/>
          <w:lang w:val="en-US"/>
        </w:rPr>
        <w:t xml:space="preserve">, </w:t>
      </w:r>
      <w:r w:rsidRPr="0001634A">
        <w:rPr>
          <w:rFonts w:cs="Calibri"/>
          <w:i/>
          <w:iCs/>
          <w:noProof/>
          <w:sz w:val="24"/>
          <w:lang w:val="en-US"/>
        </w:rPr>
        <w:t>7</w:t>
      </w:r>
      <w:r w:rsidRPr="0001634A">
        <w:rPr>
          <w:rFonts w:cs="Calibri"/>
          <w:noProof/>
          <w:sz w:val="24"/>
          <w:lang w:val="en-US"/>
        </w:rPr>
        <w:t>. https://doi.org/10.7554/eLife.35500</w:t>
      </w:r>
    </w:p>
    <w:p w14:paraId="1068871F"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Rau, R. (2004). Seasonality in human mortality. A demographic approach. </w:t>
      </w:r>
      <w:r w:rsidRPr="0001634A">
        <w:rPr>
          <w:rFonts w:cs="Calibri"/>
          <w:i/>
          <w:iCs/>
          <w:noProof/>
          <w:sz w:val="24"/>
          <w:lang w:val="en-US"/>
        </w:rPr>
        <w:t>Wirtschafts- Und Sozialwissenschaftlichen Fakultät</w:t>
      </w:r>
      <w:r w:rsidRPr="0001634A">
        <w:rPr>
          <w:rFonts w:cs="Calibri"/>
          <w:noProof/>
          <w:sz w:val="24"/>
          <w:lang w:val="en-US"/>
        </w:rPr>
        <w:t xml:space="preserve">, </w:t>
      </w:r>
      <w:r w:rsidRPr="0001634A">
        <w:rPr>
          <w:rFonts w:cs="Calibri"/>
          <w:i/>
          <w:iCs/>
          <w:noProof/>
          <w:sz w:val="24"/>
          <w:lang w:val="en-US"/>
        </w:rPr>
        <w:t>PhD</w:t>
      </w:r>
      <w:r w:rsidRPr="0001634A">
        <w:rPr>
          <w:rFonts w:cs="Calibri"/>
          <w:noProof/>
          <w:sz w:val="24"/>
          <w:lang w:val="en-US"/>
        </w:rPr>
        <w:t>, 361. https://doi.org/10.1007/978-3-540-44902-7</w:t>
      </w:r>
    </w:p>
    <w:p w14:paraId="15145C6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01634A">
        <w:rPr>
          <w:rFonts w:cs="Calibri"/>
          <w:i/>
          <w:iCs/>
          <w:noProof/>
          <w:sz w:val="24"/>
          <w:lang w:val="en-US"/>
        </w:rPr>
        <w:t>International Archives of Occupational and Environmental Health</w:t>
      </w:r>
      <w:r w:rsidRPr="0001634A">
        <w:rPr>
          <w:rFonts w:cs="Calibri"/>
          <w:noProof/>
          <w:sz w:val="24"/>
          <w:lang w:val="en-US"/>
        </w:rPr>
        <w:t>. https://doi.org/10.1007/s00420-007-0173-4</w:t>
      </w:r>
    </w:p>
    <w:p w14:paraId="49296801"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Datla, S., &amp; Sharma, S. (2013). Effect of snow, temperature and their interaction on highway truck traffic. </w:t>
      </w:r>
      <w:r w:rsidRPr="0001634A">
        <w:rPr>
          <w:rFonts w:cs="Calibri"/>
          <w:i/>
          <w:iCs/>
          <w:noProof/>
          <w:sz w:val="24"/>
          <w:lang w:val="en-US"/>
        </w:rPr>
        <w:t>J. Transport. Techn.</w:t>
      </w:r>
      <w:r w:rsidRPr="0001634A">
        <w:rPr>
          <w:rFonts w:cs="Calibri"/>
          <w:noProof/>
          <w:sz w:val="24"/>
          <w:lang w:val="en-US"/>
        </w:rPr>
        <w:t xml:space="preserve"> https://doi.org/10.4236/jtts.2013.31003</w:t>
      </w:r>
    </w:p>
    <w:p w14:paraId="5487DBF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01634A">
        <w:rPr>
          <w:rFonts w:cs="Calibri"/>
          <w:i/>
          <w:iCs/>
          <w:noProof/>
          <w:sz w:val="24"/>
          <w:lang w:val="en-US"/>
        </w:rPr>
        <w:t>Journal of Cold Regions Engineering</w:t>
      </w:r>
      <w:r w:rsidRPr="0001634A">
        <w:rPr>
          <w:rFonts w:cs="Calibri"/>
          <w:noProof/>
          <w:sz w:val="24"/>
          <w:lang w:val="en-US"/>
        </w:rPr>
        <w:t>. https://doi.org/10.1061/(ASCE)CR.1943-5495.0000099</w:t>
      </w:r>
    </w:p>
    <w:p w14:paraId="7B0F226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 J., Sharma, S., &amp; Sahu, P. K. (2016). Modeling snow and cold effects for classified highway traffic volumes. </w:t>
      </w:r>
      <w:r w:rsidRPr="0001634A">
        <w:rPr>
          <w:rFonts w:cs="Calibri"/>
          <w:i/>
          <w:iCs/>
          <w:noProof/>
          <w:sz w:val="24"/>
          <w:lang w:val="en-US"/>
        </w:rPr>
        <w:t>KSCE Journal of Civil Engineering</w:t>
      </w:r>
      <w:r w:rsidRPr="0001634A">
        <w:rPr>
          <w:rFonts w:cs="Calibri"/>
          <w:noProof/>
          <w:sz w:val="24"/>
          <w:lang w:val="en-US"/>
        </w:rPr>
        <w:t>. https://doi.org/10.1007/s12205-015-0236-0</w:t>
      </w:r>
    </w:p>
    <w:p w14:paraId="0EA854D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Rotton, J., &amp; Cohn, E. G. (2003). Global warming and U.S. crime rates: An application of routine activity theory. </w:t>
      </w:r>
      <w:r w:rsidRPr="0001634A">
        <w:rPr>
          <w:rFonts w:cs="Calibri"/>
          <w:i/>
          <w:iCs/>
          <w:noProof/>
          <w:sz w:val="24"/>
          <w:lang w:val="en-US"/>
        </w:rPr>
        <w:t>Environment and Behavior</w:t>
      </w:r>
      <w:r w:rsidRPr="0001634A">
        <w:rPr>
          <w:rFonts w:cs="Calibri"/>
          <w:noProof/>
          <w:sz w:val="24"/>
          <w:lang w:val="en-US"/>
        </w:rPr>
        <w:t>. https://doi.org/10.1177/0013916503255565</w:t>
      </w:r>
    </w:p>
    <w:p w14:paraId="6ACB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&amp; Held, L. (2005). </w:t>
      </w:r>
      <w:r w:rsidRPr="0001634A">
        <w:rPr>
          <w:rFonts w:cs="Calibri"/>
          <w:i/>
          <w:iCs/>
          <w:noProof/>
          <w:sz w:val="24"/>
          <w:lang w:val="en-US"/>
        </w:rPr>
        <w:t>Gaussian Markov random fields. Theory and applications</w:t>
      </w:r>
      <w:r w:rsidRPr="0001634A">
        <w:rPr>
          <w:rFonts w:cs="Calibri"/>
          <w:noProof/>
          <w:sz w:val="24"/>
          <w:lang w:val="en-US"/>
        </w:rPr>
        <w:t xml:space="preserve">. </w:t>
      </w:r>
      <w:r w:rsidRPr="0001634A">
        <w:rPr>
          <w:rFonts w:cs="Calibri"/>
          <w:i/>
          <w:iCs/>
          <w:noProof/>
          <w:sz w:val="24"/>
          <w:lang w:val="en-US"/>
        </w:rPr>
        <w:t>Chapman &amp; Hall</w:t>
      </w:r>
      <w:r w:rsidRPr="0001634A">
        <w:rPr>
          <w:rFonts w:cs="Calibri"/>
          <w:noProof/>
          <w:sz w:val="24"/>
          <w:lang w:val="en-US"/>
        </w:rPr>
        <w:t>. https://doi.org/10.1007/s00184-007-0162-3</w:t>
      </w:r>
    </w:p>
    <w:p w14:paraId="1B1CA67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Martino, S., &amp; Chopin, N. (2009). Approximate Bayesian inference for latent Gaussian models by using integrated nested Laplace approximations.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https://doi.org/10.1111/j.1467-9868.2008.00700.x</w:t>
      </w:r>
    </w:p>
    <w:p w14:paraId="3529E65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Shi, L., Kloog, I., Zanobetti, A., Liu, P., &amp; Schwartz, J. D. (2015). Impacts of temperature and its variability on mortality in New England. </w:t>
      </w:r>
      <w:r w:rsidRPr="0001634A">
        <w:rPr>
          <w:rFonts w:cs="Calibri"/>
          <w:i/>
          <w:iCs/>
          <w:noProof/>
          <w:sz w:val="24"/>
          <w:lang w:val="en-US"/>
        </w:rPr>
        <w:t>Nature Climate Change</w:t>
      </w:r>
      <w:r w:rsidRPr="0001634A">
        <w:rPr>
          <w:rFonts w:cs="Calibri"/>
          <w:noProof/>
          <w:sz w:val="24"/>
          <w:lang w:val="en-US"/>
        </w:rPr>
        <w:t xml:space="preserve">, </w:t>
      </w:r>
      <w:r w:rsidRPr="0001634A">
        <w:rPr>
          <w:rFonts w:cs="Calibri"/>
          <w:i/>
          <w:iCs/>
          <w:noProof/>
          <w:sz w:val="24"/>
          <w:lang w:val="en-US"/>
        </w:rPr>
        <w:t>5</w:t>
      </w:r>
      <w:r w:rsidRPr="0001634A">
        <w:rPr>
          <w:rFonts w:cs="Calibri"/>
          <w:noProof/>
          <w:sz w:val="24"/>
          <w:lang w:val="en-US"/>
        </w:rPr>
        <w:t>(11), 988–991. https://doi.org/10.1038/nclimate2704</w:t>
      </w:r>
    </w:p>
    <w:p w14:paraId="23764E4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Smith, K. R., Woodward, A., Campbell-Lendrum, D., Chadee, D. D., Honda, Y., Liu, Q., … Rocklov, J. (2015). Human health: Impacts, adaptation, and co-benefits. In </w:t>
      </w:r>
      <w:r w:rsidRPr="0001634A">
        <w:rPr>
          <w:rFonts w:cs="Calibri"/>
          <w:i/>
          <w:iCs/>
          <w:noProof/>
          <w:sz w:val="24"/>
          <w:lang w:val="en-US"/>
        </w:rPr>
        <w:t>Climate Change 2014 Impacts, Adaptation and Vulnerability: Part A: Global and Sectoral Aspects</w:t>
      </w:r>
      <w:r w:rsidRPr="0001634A">
        <w:rPr>
          <w:rFonts w:cs="Calibri"/>
          <w:noProof/>
          <w:sz w:val="24"/>
          <w:lang w:val="en-US"/>
        </w:rPr>
        <w:t>. https://doi.org/10.1017/CBO9781107415379.016</w:t>
      </w:r>
    </w:p>
    <w:p w14:paraId="0CA6D0B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Voas, R. B., Torres, P., Romano, E., &amp; Lacey, J. H. (2012). Alcohol-related risk of driver fatalities: An update using 2007 data. </w:t>
      </w:r>
      <w:r w:rsidRPr="0001634A">
        <w:rPr>
          <w:rFonts w:cs="Calibri"/>
          <w:i/>
          <w:iCs/>
          <w:noProof/>
          <w:sz w:val="24"/>
          <w:lang w:val="en-US"/>
        </w:rPr>
        <w:t>Journal of Studies on Alcohol and Drugs</w:t>
      </w:r>
      <w:r w:rsidRPr="0001634A">
        <w:rPr>
          <w:rFonts w:cs="Calibri"/>
          <w:noProof/>
          <w:sz w:val="24"/>
          <w:lang w:val="en-US"/>
        </w:rPr>
        <w:t>. https://doi.org/10.15288/jsad.2012.73.341</w:t>
      </w:r>
    </w:p>
    <w:p w14:paraId="76A2CAA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Wallace, J. M., &amp; Hobbs, P. V. (2006).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noProof/>
          <w:sz w:val="24"/>
          <w:lang w:val="en-US"/>
        </w:rPr>
        <w:lastRenderedPageBreak/>
        <w:t>https://doi.org/10.1016/C2009-0-00034-8</w:t>
      </w:r>
    </w:p>
    <w:p w14:paraId="5E4593B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6736</w:t>
      </w:r>
      <w:r w:rsidRPr="0001634A">
        <w:rPr>
          <w:rFonts w:cs="Calibri"/>
          <w:noProof/>
          <w:sz w:val="24"/>
          <w:lang w:val="en-US"/>
        </w:rPr>
        <w:t>(18), 1–4. https://doi.org/10.1016/S0140-6736(18)32594-7</w:t>
      </w:r>
    </w:p>
    <w:p w14:paraId="2E413AC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Wyon, D. P., Wyon, I., &amp; Norin, F. (1996). Effects of moderate heat stress on driver vigilance in a moving vehicle. </w:t>
      </w:r>
      <w:r w:rsidRPr="0001634A">
        <w:rPr>
          <w:rFonts w:cs="Calibri"/>
          <w:i/>
          <w:iCs/>
          <w:noProof/>
          <w:sz w:val="24"/>
          <w:lang w:val="en-US"/>
        </w:rPr>
        <w:t>Ergonomics</w:t>
      </w:r>
      <w:r w:rsidRPr="0001634A">
        <w:rPr>
          <w:rFonts w:cs="Calibri"/>
          <w:noProof/>
          <w:sz w:val="24"/>
          <w:lang w:val="en-US"/>
        </w:rPr>
        <w:t>. https://doi.org/10.1080/00140139608964434</w:t>
      </w:r>
    </w:p>
    <w:p w14:paraId="1779004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Xu, J. (2014). Unintentional drowning deaths in the United States, 1999-2010. </w:t>
      </w:r>
      <w:r w:rsidRPr="0001634A">
        <w:rPr>
          <w:rFonts w:cs="Calibri"/>
          <w:i/>
          <w:iCs/>
          <w:noProof/>
          <w:sz w:val="24"/>
          <w:lang w:val="en-US"/>
        </w:rPr>
        <w:t>NCHS Data Brief</w:t>
      </w:r>
      <w:r w:rsidRPr="0001634A">
        <w:rPr>
          <w:rFonts w:cs="Calibri"/>
          <w:noProof/>
          <w:sz w:val="24"/>
          <w:lang w:val="en-US"/>
        </w:rPr>
        <w:t>.</w:t>
      </w:r>
    </w:p>
    <w:p w14:paraId="180D1DD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Ye, X., Wolff, R., Yu, W., Vaneckova, P., Pan, X., &amp; Tong, S. (2012). Ambient temperature and morbidity: a review of epidemiological evidence. </w:t>
      </w:r>
      <w:r w:rsidRPr="0001634A">
        <w:rPr>
          <w:rFonts w:cs="Calibri"/>
          <w:i/>
          <w:iCs/>
          <w:noProof/>
          <w:sz w:val="24"/>
          <w:lang w:val="en-US"/>
        </w:rPr>
        <w:t>Environmental Health Perspectives</w:t>
      </w:r>
      <w:r w:rsidRPr="0001634A">
        <w:rPr>
          <w:rFonts w:cs="Calibri"/>
          <w:noProof/>
          <w:sz w:val="24"/>
          <w:lang w:val="en-US"/>
        </w:rPr>
        <w:t xml:space="preserve">, </w:t>
      </w:r>
      <w:r w:rsidRPr="0001634A">
        <w:rPr>
          <w:rFonts w:cs="Calibri"/>
          <w:i/>
          <w:iCs/>
          <w:noProof/>
          <w:sz w:val="24"/>
          <w:lang w:val="en-US"/>
        </w:rPr>
        <w:t>120</w:t>
      </w:r>
      <w:r w:rsidRPr="0001634A">
        <w:rPr>
          <w:rFonts w:cs="Calibri"/>
          <w:noProof/>
          <w:sz w:val="24"/>
          <w:lang w:val="en-US"/>
        </w:rPr>
        <w:t>(1), 19–28. https://doi.org/10.1289/ehp.1003198</w:t>
      </w:r>
    </w:p>
    <w:p w14:paraId="4A3E2D06" w14:textId="77777777" w:rsidR="0001634A" w:rsidRPr="0001634A" w:rsidRDefault="0001634A" w:rsidP="0001634A">
      <w:pPr>
        <w:widowControl w:val="0"/>
        <w:autoSpaceDE w:val="0"/>
        <w:autoSpaceDN w:val="0"/>
        <w:adjustRightInd w:val="0"/>
        <w:spacing w:line="240" w:lineRule="auto"/>
        <w:ind w:left="480" w:hanging="480"/>
        <w:rPr>
          <w:rFonts w:cs="Calibri"/>
          <w:noProof/>
          <w:sz w:val="24"/>
        </w:rPr>
      </w:pPr>
      <w:r w:rsidRPr="0001634A">
        <w:rPr>
          <w:rFonts w:cs="Calibri"/>
          <w:noProof/>
          <w:sz w:val="24"/>
          <w:lang w:val="en-US"/>
        </w:rPr>
        <w:t xml:space="preserve">Zlatoper, T. J. (1991). Determinants of motor vehicle deaths in the United States: A cross-sectional analysis. </w:t>
      </w:r>
      <w:r w:rsidRPr="0001634A">
        <w:rPr>
          <w:rFonts w:cs="Calibri"/>
          <w:i/>
          <w:iCs/>
          <w:noProof/>
          <w:sz w:val="24"/>
          <w:lang w:val="en-US"/>
        </w:rPr>
        <w:t>Accident Analysis and Prevention</w:t>
      </w:r>
      <w:r w:rsidRPr="0001634A">
        <w:rPr>
          <w:rFonts w:cs="Calibri"/>
          <w:noProof/>
          <w:sz w:val="24"/>
          <w:lang w:val="en-US"/>
        </w:rPr>
        <w:t>. https://doi.org/10.1016/0001-4575(91)90062-A</w:t>
      </w:r>
    </w:p>
    <w:p w14:paraId="2B228869" w14:textId="5E491F0C" w:rsidR="006675AE" w:rsidRPr="00127064" w:rsidRDefault="006675AE" w:rsidP="0001634A">
      <w:pPr>
        <w:spacing w:line="240" w:lineRule="auto"/>
        <w:jc w:val="both"/>
      </w:pPr>
      <w:r w:rsidRPr="00736834">
        <w:rPr>
          <w:sz w:val="24"/>
          <w:szCs w:val="24"/>
        </w:rPr>
        <w:fldChar w:fldCharType="end"/>
      </w:r>
    </w:p>
    <w:sectPr w:rsidR="006675AE"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62DBC8" w14:textId="77777777" w:rsidR="00053F3E" w:rsidRDefault="00053F3E">
      <w:pPr>
        <w:spacing w:after="0" w:line="240" w:lineRule="auto"/>
      </w:pPr>
      <w:r>
        <w:separator/>
      </w:r>
    </w:p>
    <w:p w14:paraId="3896591B" w14:textId="77777777" w:rsidR="00053F3E" w:rsidRDefault="00053F3E"/>
  </w:endnote>
  <w:endnote w:type="continuationSeparator" w:id="0">
    <w:p w14:paraId="43D488D6" w14:textId="77777777" w:rsidR="00053F3E" w:rsidRDefault="00053F3E">
      <w:pPr>
        <w:spacing w:after="0" w:line="240" w:lineRule="auto"/>
      </w:pPr>
      <w:r>
        <w:continuationSeparator/>
      </w:r>
    </w:p>
    <w:p w14:paraId="4B924472" w14:textId="77777777" w:rsidR="00053F3E" w:rsidRDefault="00053F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EndPr>
      <w:rPr>
        <w:rStyle w:val="PageNumber"/>
      </w:rPr>
    </w:sdtEndPr>
    <w:sdtContent>
      <w:p w14:paraId="1BBB362A" w14:textId="0B3117DE"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905DF6" w:rsidRDefault="00905DF6"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EndPr>
      <w:rPr>
        <w:rStyle w:val="PageNumber"/>
      </w:rPr>
    </w:sdtEndPr>
    <w:sdtContent>
      <w:p w14:paraId="2C828E9F" w14:textId="5660A313"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905DF6" w:rsidRDefault="00905DF6"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7AE0E6" w14:textId="77777777" w:rsidR="00053F3E" w:rsidRDefault="00053F3E">
      <w:pPr>
        <w:spacing w:after="0" w:line="240" w:lineRule="auto"/>
      </w:pPr>
      <w:r>
        <w:separator/>
      </w:r>
    </w:p>
    <w:p w14:paraId="621285DC" w14:textId="77777777" w:rsidR="00053F3E" w:rsidRDefault="00053F3E"/>
  </w:footnote>
  <w:footnote w:type="continuationSeparator" w:id="0">
    <w:p w14:paraId="31061F2A" w14:textId="77777777" w:rsidR="00053F3E" w:rsidRDefault="00053F3E">
      <w:pPr>
        <w:spacing w:after="0" w:line="240" w:lineRule="auto"/>
      </w:pPr>
      <w:r>
        <w:continuationSeparator/>
      </w:r>
    </w:p>
    <w:p w14:paraId="52E6610E" w14:textId="77777777" w:rsidR="00053F3E" w:rsidRDefault="00053F3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BF324B"/>
    <w:multiLevelType w:val="hybridMultilevel"/>
    <w:tmpl w:val="43488A06"/>
    <w:lvl w:ilvl="0" w:tplc="B53EBC5A">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6AD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3E"/>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718"/>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A25"/>
    <w:rsid w:val="00176D12"/>
    <w:rsid w:val="00177445"/>
    <w:rsid w:val="0017784F"/>
    <w:rsid w:val="001778D4"/>
    <w:rsid w:val="001800DA"/>
    <w:rsid w:val="001805FD"/>
    <w:rsid w:val="00180791"/>
    <w:rsid w:val="00180945"/>
    <w:rsid w:val="001810A3"/>
    <w:rsid w:val="0018114C"/>
    <w:rsid w:val="001813C6"/>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0B7"/>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788"/>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5C9"/>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0AF"/>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3AF"/>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18C"/>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4E76"/>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497"/>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282A"/>
    <w:rsid w:val="00A731CF"/>
    <w:rsid w:val="00A73AD6"/>
    <w:rsid w:val="00A73CA6"/>
    <w:rsid w:val="00A741D2"/>
    <w:rsid w:val="00A743A3"/>
    <w:rsid w:val="00A7467B"/>
    <w:rsid w:val="00A74D7D"/>
    <w:rsid w:val="00A756E7"/>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366"/>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06C"/>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544"/>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430D"/>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1FF4"/>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A14"/>
    <w:rsid w:val="00CF0736"/>
    <w:rsid w:val="00CF0FAB"/>
    <w:rsid w:val="00CF12F8"/>
    <w:rsid w:val="00CF138F"/>
    <w:rsid w:val="00CF1464"/>
    <w:rsid w:val="00CF15C7"/>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6EB"/>
    <w:rsid w:val="00EA0822"/>
    <w:rsid w:val="00EA1027"/>
    <w:rsid w:val="00EA1251"/>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27D7"/>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2A92"/>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17E"/>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developers/data-sets/popest-popproj/popest.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2DBBE2F-816A-F844-88FA-4B9452D60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19</Pages>
  <Words>25494</Words>
  <Characters>145322</Characters>
  <Application>Microsoft Office Word</Application>
  <DocSecurity>0</DocSecurity>
  <Lines>1211</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202</cp:revision>
  <cp:lastPrinted>2019-04-05T14:52:00Z</cp:lastPrinted>
  <dcterms:created xsi:type="dcterms:W3CDTF">2019-04-13T13:22:00Z</dcterms:created>
  <dcterms:modified xsi:type="dcterms:W3CDTF">2019-04-17T14:29:00Z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