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7E7937">
        <w:rPr>
          <w:rStyle w:val="FootnoteReference"/>
        </w:rPr>
        <w:footnoteReference w:id="1"/>
      </w:r>
    </w:p>
    <w:p w14:paraId="0D16B50F" w14:textId="47041202"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7E7937">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7E7937">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England","type":"article-journal","volume":"5"},"uris":["http://www.mendeley.com/documents/?uuid=15df2a8d-32ac-4706-acb3-82c8adbbec5d"]}],"mendeley":{"formattedCitation":"&lt;sup&gt;4&lt;/sup&gt;","plainTextFormattedCitation":"4","previouslyFormattedCitation":"(Shi, Kloog, Zanobetti, Liu, &amp; Schwartz, 2015)"},"properties":{"noteIndex":0},"schema":"https://github.com/citation-style-language/schema/raw/master/csl-citation.json"}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6EB96AC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7E7937">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2016","type":"article-journal","volume":"7"},"uris":["http://www.mendeley.com/documents/?uuid=a29b7f3f-8632-3265-8212-c115c1d59106"]}],"mendeley":{"formattedCitation":"&lt;sup&gt;5&lt;/sup&gt;","plainTextFormattedCitation":"5","previouslyFormattedCitation":"(Parks, Bennett, Foreman, Toumi, &amp; Ezzati, 2018)"},"properties":{"noteIndex":0},"schema":"https://github.com/citation-style-language/schema/raw/master/csl-citation.json"}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7E7937">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7E7937">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study","type":"article-journal","volume":"386"},"uris":["http://www.mendeley.com/documents/?uuid=ec2ac118-d8e9-4d29-9116-d43210b3e1ca"]}],"mendeley":{"formattedCitation":"&lt;sup&gt;12&lt;/sup&gt;","plainTextFormattedCitation":"12","previouslyFormattedCitation":"(Gasparrini et al., 2015)"},"properties":{"noteIndex":0},"schema":"https://github.com/citation-style-language/schema/raw/master/csl-citation.json"}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7E7937">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England","type":"article-journal","volume":"5"},"uris":["http://www.mendeley.com/documents/?uuid=15df2a8d-32ac-4706-acb3-82c8adbbec5d"]}],"mendeley":{"formattedCitation":"&lt;sup&gt;1,4,13&lt;/sup&gt;","plainTextFormattedCitation":"1,4,13","previouslyFormattedCitation":"(Hajat &amp; Gasparrini, 2016; Kinney et al., 2015; Shi et al., 2015)"},"properties":{"noteIndex":0},"schema":"https://github.com/citation-style-language/schema/raw/master/csl-citation.json"}</w:instrText>
      </w:r>
      <w:r w:rsidR="003E6933">
        <w:rPr>
          <w:szCs w:val="24"/>
        </w:rPr>
        <w:fldChar w:fldCharType="separate"/>
      </w:r>
      <w:r w:rsidR="007E7937" w:rsidRPr="007E7937">
        <w:rPr>
          <w:noProof/>
          <w:szCs w:val="24"/>
          <w:vertAlign w:val="superscript"/>
        </w:rPr>
        <w:t>1,4,13</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7E7937">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reassessment","type":"article-journal","volume":"4"},"uris":["http://www.mendeley.com/documents/?uuid=d99b3b48-cef1-4a7b-9943-48b8276ec185"]}],"mendeley":{"formattedCitation":"&lt;sup&gt;2,3&lt;/sup&gt;","plainTextFormattedCitation":"2,3","previouslyFormattedCitation":"(Ebi &amp; Mills, 2013; Staddon et al., 2014)"},"properties":{"noteIndex":0},"schema":"https://github.com/citation-style-language/schema/raw/master/csl-citation.json"}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325F454D"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7E7937">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1" w:name="_Toc7509895"/>
      <w:r w:rsidRPr="004423D4">
        <w:lastRenderedPageBreak/>
        <w:t>Statistical methods</w:t>
      </w:r>
      <w:bookmarkEnd w:id="11"/>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2"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6"/>
      <w:commentRangeStart w:id="17"/>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6"/>
      <w:r w:rsidR="004036AE">
        <w:rPr>
          <w:rStyle w:val="CommentReference"/>
          <w:rFonts w:asciiTheme="minorHAnsi" w:hAnsiTheme="minorHAnsi"/>
        </w:rPr>
        <w:commentReference w:id="16"/>
      </w:r>
      <w:commentRangeEnd w:id="17"/>
      <w:r w:rsidR="00EE3983">
        <w:rPr>
          <w:rStyle w:val="CommentReference"/>
          <w:rFonts w:asciiTheme="minorHAnsi" w:hAnsiTheme="minorHAnsi"/>
        </w:rPr>
        <w:commentReference w:id="17"/>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8"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8"/>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20"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1"/>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2"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2"/>
                      <w:r>
                        <w:t>. CAPTION</w:t>
                      </w:r>
                    </w:p>
                  </w:txbxContent>
                </v:textbox>
              </v:shape>
            </w:pict>
          </mc:Fallback>
        </mc:AlternateContent>
      </w:r>
      <w:commentRangeStart w:id="23"/>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commentRangeEnd w:id="23"/>
      <w:r w:rsidR="00733F64">
        <w:rPr>
          <w:rStyle w:val="CommentReference"/>
          <w:rFonts w:asciiTheme="minorHAnsi" w:hAnsiTheme="minorHAnsi"/>
        </w:rPr>
        <w:commentReference w:id="23"/>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24"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4"/>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20"/>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6" w:name="_Ref7260430"/>
                            <w:bookmarkStart w:id="27"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6"/>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8" w:name="_Ref7260430"/>
                      <w:bookmarkStart w:id="2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commentRangeStart w:id="30"/>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commentRangeEnd w:id="30"/>
      <w:r w:rsidR="003661A6">
        <w:rPr>
          <w:rStyle w:val="CommentReference"/>
          <w:rFonts w:asciiTheme="minorHAnsi" w:hAnsiTheme="minorHAnsi"/>
        </w:rPr>
        <w:commentReference w:id="30"/>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3"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3"/>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5"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7"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7"/>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38" w:name="_Ref7260437"/>
                            <w:bookmarkStart w:id="39"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8"/>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40" w:name="_Ref7260437"/>
                      <w:bookmarkStart w:id="41"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40"/>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1"/>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42" w:name="_Ref7260386"/>
                            <w:bookmarkStart w:id="43"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2"/>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4" w:name="_Ref7260386"/>
                      <w:bookmarkStart w:id="4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4"/>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5"/>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46" w:name="_Toc7509898"/>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4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7"/>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8"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8"/>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4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50"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50"/>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bookmarkEnd w:id="46"/>
    <w:p w14:paraId="3E510F2B" w14:textId="500187FF" w:rsidR="00B57A04" w:rsidRDefault="00B57A04" w:rsidP="00B57A04">
      <w:pPr>
        <w:pStyle w:val="Heading1"/>
        <w:numPr>
          <w:ilvl w:val="0"/>
          <w:numId w:val="0"/>
        </w:numPr>
      </w:pPr>
      <w:r>
        <w:lastRenderedPageBreak/>
        <w:t>Works cited</w:t>
      </w:r>
    </w:p>
    <w:p w14:paraId="43C45855" w14:textId="111B5296" w:rsidR="007E7937" w:rsidRPr="007E7937" w:rsidRDefault="006675AE" w:rsidP="007E7937">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7E7937" w:rsidRPr="007E7937">
        <w:rPr>
          <w:rFonts w:cs="Times New Roman"/>
          <w:noProof/>
          <w:lang w:val="en-US"/>
        </w:rPr>
        <w:t>1</w:t>
      </w:r>
      <w:r w:rsidR="007E7937" w:rsidRPr="007E7937">
        <w:rPr>
          <w:rFonts w:cs="Times New Roman"/>
          <w:noProof/>
          <w:lang w:val="en-US"/>
        </w:rPr>
        <w:tab/>
        <w:t xml:space="preserve">Kinney PL, Schwartz J, Pascal M, </w:t>
      </w:r>
      <w:r w:rsidR="007E7937" w:rsidRPr="007E7937">
        <w:rPr>
          <w:rFonts w:cs="Times New Roman"/>
          <w:i/>
          <w:iCs/>
          <w:noProof/>
          <w:lang w:val="en-US"/>
        </w:rPr>
        <w:t>et al.</w:t>
      </w:r>
      <w:r w:rsidR="007E7937" w:rsidRPr="007E7937">
        <w:rPr>
          <w:rFonts w:cs="Times New Roman"/>
          <w:noProof/>
          <w:lang w:val="en-US"/>
        </w:rPr>
        <w:t xml:space="preserve"> Winter season mortality: Will climate warming bring benefits? </w:t>
      </w:r>
      <w:r w:rsidR="007E7937" w:rsidRPr="007E7937">
        <w:rPr>
          <w:rFonts w:cs="Times New Roman"/>
          <w:i/>
          <w:iCs/>
          <w:noProof/>
          <w:lang w:val="en-US"/>
        </w:rPr>
        <w:t>Environ Res Lett</w:t>
      </w:r>
      <w:r w:rsidR="007E7937" w:rsidRPr="007E7937">
        <w:rPr>
          <w:rFonts w:cs="Times New Roman"/>
          <w:noProof/>
          <w:lang w:val="en-US"/>
        </w:rPr>
        <w:t xml:space="preserve"> 2015; </w:t>
      </w:r>
      <w:r w:rsidR="007E7937" w:rsidRPr="007E7937">
        <w:rPr>
          <w:rFonts w:cs="Times New Roman"/>
          <w:b/>
          <w:bCs/>
          <w:noProof/>
          <w:lang w:val="en-US"/>
        </w:rPr>
        <w:t>10</w:t>
      </w:r>
      <w:r w:rsidR="007E7937" w:rsidRPr="007E7937">
        <w:rPr>
          <w:rFonts w:cs="Times New Roman"/>
          <w:noProof/>
          <w:lang w:val="en-US"/>
        </w:rPr>
        <w:t>. DOI:10.1088/1748-9326/10/6/064016.</w:t>
      </w:r>
    </w:p>
    <w:p w14:paraId="5E7D94A3"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2</w:t>
      </w:r>
      <w:r w:rsidRPr="007E7937">
        <w:rPr>
          <w:rFonts w:cs="Times New Roman"/>
          <w:noProof/>
          <w:lang w:val="en-US"/>
        </w:rPr>
        <w:tab/>
        <w:t xml:space="preserve">Ebi KL, Mills D. Winter mortality in a warming climate: A reassessment. </w:t>
      </w:r>
      <w:r w:rsidRPr="007E7937">
        <w:rPr>
          <w:rFonts w:cs="Times New Roman"/>
          <w:i/>
          <w:iCs/>
          <w:noProof/>
          <w:lang w:val="en-US"/>
        </w:rPr>
        <w:t>Wiley Interdiscip Rev Clim Chang</w:t>
      </w:r>
      <w:r w:rsidRPr="007E7937">
        <w:rPr>
          <w:rFonts w:cs="Times New Roman"/>
          <w:noProof/>
          <w:lang w:val="en-US"/>
        </w:rPr>
        <w:t xml:space="preserve"> 2013; </w:t>
      </w:r>
      <w:r w:rsidRPr="007E7937">
        <w:rPr>
          <w:rFonts w:cs="Times New Roman"/>
          <w:b/>
          <w:bCs/>
          <w:noProof/>
          <w:lang w:val="en-US"/>
        </w:rPr>
        <w:t>4</w:t>
      </w:r>
      <w:r w:rsidRPr="007E7937">
        <w:rPr>
          <w:rFonts w:cs="Times New Roman"/>
          <w:noProof/>
          <w:lang w:val="en-US"/>
        </w:rPr>
        <w:t>: 203–12.</w:t>
      </w:r>
    </w:p>
    <w:p w14:paraId="12BC104D"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3</w:t>
      </w:r>
      <w:r w:rsidRPr="007E7937">
        <w:rPr>
          <w:rFonts w:cs="Times New Roman"/>
          <w:noProof/>
          <w:lang w:val="en-US"/>
        </w:rPr>
        <w:tab/>
        <w:t xml:space="preserve">Staddon PL, Montgomery HE, Depledge MH. Climate warming will not decrease winter mortality. </w:t>
      </w:r>
      <w:r w:rsidRPr="007E7937">
        <w:rPr>
          <w:rFonts w:cs="Times New Roman"/>
          <w:i/>
          <w:iCs/>
          <w:noProof/>
          <w:lang w:val="en-US"/>
        </w:rPr>
        <w:t>Nat Clim Chang</w:t>
      </w:r>
      <w:r w:rsidRPr="007E7937">
        <w:rPr>
          <w:rFonts w:cs="Times New Roman"/>
          <w:noProof/>
          <w:lang w:val="en-US"/>
        </w:rPr>
        <w:t xml:space="preserve"> 2014. DOI:10.1038/nclimate2121.</w:t>
      </w:r>
    </w:p>
    <w:p w14:paraId="53CA20B4"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4</w:t>
      </w:r>
      <w:r w:rsidRPr="007E7937">
        <w:rPr>
          <w:rFonts w:cs="Times New Roman"/>
          <w:noProof/>
          <w:lang w:val="en-US"/>
        </w:rPr>
        <w:tab/>
        <w:t xml:space="preserve">Shi L, Kloog I, Zanobetti A, Liu P, Schwartz JD. Impacts of temperature and its variability on mortality in New England. </w:t>
      </w:r>
      <w:r w:rsidRPr="007E7937">
        <w:rPr>
          <w:rFonts w:cs="Times New Roman"/>
          <w:i/>
          <w:iCs/>
          <w:noProof/>
          <w:lang w:val="en-US"/>
        </w:rPr>
        <w:t>Nat Clim Chang</w:t>
      </w:r>
      <w:r w:rsidRPr="007E7937">
        <w:rPr>
          <w:rFonts w:cs="Times New Roman"/>
          <w:noProof/>
          <w:lang w:val="en-US"/>
        </w:rPr>
        <w:t xml:space="preserve"> 2015; </w:t>
      </w:r>
      <w:r w:rsidRPr="007E7937">
        <w:rPr>
          <w:rFonts w:cs="Times New Roman"/>
          <w:b/>
          <w:bCs/>
          <w:noProof/>
          <w:lang w:val="en-US"/>
        </w:rPr>
        <w:t>5</w:t>
      </w:r>
      <w:r w:rsidRPr="007E7937">
        <w:rPr>
          <w:rFonts w:cs="Times New Roman"/>
          <w:noProof/>
          <w:lang w:val="en-US"/>
        </w:rPr>
        <w:t>: 988–91.</w:t>
      </w:r>
    </w:p>
    <w:p w14:paraId="0C558537"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5</w:t>
      </w:r>
      <w:r w:rsidRPr="007E7937">
        <w:rPr>
          <w:rFonts w:cs="Times New Roman"/>
          <w:noProof/>
          <w:lang w:val="en-US"/>
        </w:rPr>
        <w:tab/>
        <w:t xml:space="preserve">Parks RM, Bennett JE, Foreman KJ, Toumi R, Ezzati M. National and regional seasonal dynamics of all-cause and cause-specific mortality in the USA from 1980 to 2016. </w:t>
      </w:r>
      <w:r w:rsidRPr="007E7937">
        <w:rPr>
          <w:rFonts w:cs="Times New Roman"/>
          <w:i/>
          <w:iCs/>
          <w:noProof/>
          <w:lang w:val="en-US"/>
        </w:rPr>
        <w:t>Elife</w:t>
      </w:r>
      <w:r w:rsidRPr="007E7937">
        <w:rPr>
          <w:rFonts w:cs="Times New Roman"/>
          <w:noProof/>
          <w:lang w:val="en-US"/>
        </w:rPr>
        <w:t xml:space="preserve"> 2018; </w:t>
      </w:r>
      <w:r w:rsidRPr="007E7937">
        <w:rPr>
          <w:rFonts w:cs="Times New Roman"/>
          <w:b/>
          <w:bCs/>
          <w:noProof/>
          <w:lang w:val="en-US"/>
        </w:rPr>
        <w:t>7</w:t>
      </w:r>
      <w:r w:rsidRPr="007E7937">
        <w:rPr>
          <w:rFonts w:cs="Times New Roman"/>
          <w:noProof/>
          <w:lang w:val="en-US"/>
        </w:rPr>
        <w:t>. DOI:10.7554/eLife.35500.</w:t>
      </w:r>
    </w:p>
    <w:p w14:paraId="47E45111"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6</w:t>
      </w:r>
      <w:r w:rsidRPr="007E7937">
        <w:rPr>
          <w:rFonts w:cs="Times New Roman"/>
          <w:noProof/>
          <w:lang w:val="en-US"/>
        </w:rPr>
        <w:tab/>
        <w:t xml:space="preserve">Watts N, Amann M, Arnell N, </w:t>
      </w:r>
      <w:r w:rsidRPr="007E7937">
        <w:rPr>
          <w:rFonts w:cs="Times New Roman"/>
          <w:i/>
          <w:iCs/>
          <w:noProof/>
          <w:lang w:val="en-US"/>
        </w:rPr>
        <w:t>et al.</w:t>
      </w:r>
      <w:r w:rsidRPr="007E7937">
        <w:rPr>
          <w:rFonts w:cs="Times New Roman"/>
          <w:noProof/>
          <w:lang w:val="en-US"/>
        </w:rPr>
        <w:t xml:space="preserve"> The 2018 report of the Lancet Countdown on health and climate change: shaping health of nations for centuries to come. </w:t>
      </w:r>
      <w:r w:rsidRPr="007E7937">
        <w:rPr>
          <w:rFonts w:cs="Times New Roman"/>
          <w:i/>
          <w:iCs/>
          <w:noProof/>
          <w:lang w:val="en-US"/>
        </w:rPr>
        <w:t>Lancet</w:t>
      </w:r>
      <w:r w:rsidRPr="007E7937">
        <w:rPr>
          <w:rFonts w:cs="Times New Roman"/>
          <w:noProof/>
          <w:lang w:val="en-US"/>
        </w:rPr>
        <w:t xml:space="preserve"> 2018; </w:t>
      </w:r>
      <w:r w:rsidRPr="007E7937">
        <w:rPr>
          <w:rFonts w:cs="Times New Roman"/>
          <w:b/>
          <w:bCs/>
          <w:noProof/>
          <w:lang w:val="en-US"/>
        </w:rPr>
        <w:t>6736</w:t>
      </w:r>
      <w:r w:rsidRPr="007E7937">
        <w:rPr>
          <w:rFonts w:cs="Times New Roman"/>
          <w:noProof/>
          <w:lang w:val="en-US"/>
        </w:rPr>
        <w:t>: 1–4.</w:t>
      </w:r>
    </w:p>
    <w:p w14:paraId="1D06DAF6"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7</w:t>
      </w:r>
      <w:r w:rsidRPr="007E7937">
        <w:rPr>
          <w:rFonts w:cs="Times New Roman"/>
          <w:noProof/>
          <w:lang w:val="en-US"/>
        </w:rPr>
        <w:tab/>
        <w:t>McMichael AJ, Woodruff RE, Hales S. Climate change and human health: Present and future risks. Lancet. 2006. DOI:10.1016/S0140-6736(06)68079-3.</w:t>
      </w:r>
    </w:p>
    <w:p w14:paraId="2B0AC46B"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8</w:t>
      </w:r>
      <w:r w:rsidRPr="007E7937">
        <w:rPr>
          <w:rFonts w:cs="Times New Roman"/>
          <w:noProof/>
          <w:lang w:val="en-US"/>
        </w:rPr>
        <w:tab/>
        <w:t xml:space="preserve">Haines A, Ebi K. The imperative for climate action to protect health. </w:t>
      </w:r>
      <w:r w:rsidRPr="007E7937">
        <w:rPr>
          <w:rFonts w:cs="Times New Roman"/>
          <w:i/>
          <w:iCs/>
          <w:noProof/>
          <w:lang w:val="en-US"/>
        </w:rPr>
        <w:t>N Engl J Med</w:t>
      </w:r>
      <w:r w:rsidRPr="007E7937">
        <w:rPr>
          <w:rFonts w:cs="Times New Roman"/>
          <w:noProof/>
          <w:lang w:val="en-US"/>
        </w:rPr>
        <w:t xml:space="preserve"> 2019; : 263–73.</w:t>
      </w:r>
    </w:p>
    <w:p w14:paraId="571E076C"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9</w:t>
      </w:r>
      <w:r w:rsidRPr="007E7937">
        <w:rPr>
          <w:rFonts w:cs="Times New Roman"/>
          <w:noProof/>
          <w:lang w:val="en-US"/>
        </w:rPr>
        <w:tab/>
        <w:t xml:space="preserve">Smith KR, Woodward A, Campbell-Lendrum D, </w:t>
      </w:r>
      <w:r w:rsidRPr="007E7937">
        <w:rPr>
          <w:rFonts w:cs="Times New Roman"/>
          <w:i/>
          <w:iCs/>
          <w:noProof/>
          <w:lang w:val="en-US"/>
        </w:rPr>
        <w:t>et al.</w:t>
      </w:r>
      <w:r w:rsidRPr="007E7937">
        <w:rPr>
          <w:rFonts w:cs="Times New Roman"/>
          <w:noProof/>
          <w:lang w:val="en-US"/>
        </w:rPr>
        <w:t xml:space="preserve"> Human health: Impacts, adaptation, and co-benefits. In: Climate Change 2014 Impacts, Adaptation and Vulnerability: Part A: Global and Sectoral Aspects. 2015. DOI:10.1017/CBO9781107415379.016.</w:t>
      </w:r>
    </w:p>
    <w:p w14:paraId="360FB02C"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10</w:t>
      </w:r>
      <w:r w:rsidRPr="007E7937">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12E65E14"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11</w:t>
      </w:r>
      <w:r w:rsidRPr="007E7937">
        <w:rPr>
          <w:rFonts w:cs="Times New Roman"/>
          <w:noProof/>
          <w:lang w:val="en-US"/>
        </w:rPr>
        <w:tab/>
        <w:t xml:space="preserve">Gasparrini A, Guo Y, Sera F, </w:t>
      </w:r>
      <w:r w:rsidRPr="007E7937">
        <w:rPr>
          <w:rFonts w:cs="Times New Roman"/>
          <w:i/>
          <w:iCs/>
          <w:noProof/>
          <w:lang w:val="en-US"/>
        </w:rPr>
        <w:t>et al.</w:t>
      </w:r>
      <w:r w:rsidRPr="007E7937">
        <w:rPr>
          <w:rFonts w:cs="Times New Roman"/>
          <w:noProof/>
          <w:lang w:val="en-US"/>
        </w:rPr>
        <w:t xml:space="preserve"> Projections of temperature-related excess mortality under climate change scenarios. </w:t>
      </w:r>
      <w:r w:rsidRPr="007E7937">
        <w:rPr>
          <w:rFonts w:cs="Times New Roman"/>
          <w:i/>
          <w:iCs/>
          <w:noProof/>
          <w:lang w:val="en-US"/>
        </w:rPr>
        <w:t>Lancet Planet Heal</w:t>
      </w:r>
      <w:r w:rsidRPr="007E7937">
        <w:rPr>
          <w:rFonts w:cs="Times New Roman"/>
          <w:noProof/>
          <w:lang w:val="en-US"/>
        </w:rPr>
        <w:t xml:space="preserve"> 2017. DOI:10.1016/S2542-5196(17)30156-0.</w:t>
      </w:r>
    </w:p>
    <w:p w14:paraId="2AB3F3CB" w14:textId="77777777" w:rsidR="007E7937" w:rsidRPr="007E7937" w:rsidRDefault="007E7937" w:rsidP="007E7937">
      <w:pPr>
        <w:widowControl w:val="0"/>
        <w:autoSpaceDE w:val="0"/>
        <w:autoSpaceDN w:val="0"/>
        <w:adjustRightInd w:val="0"/>
        <w:spacing w:line="240" w:lineRule="auto"/>
        <w:ind w:left="640" w:hanging="640"/>
        <w:rPr>
          <w:rFonts w:cs="Times New Roman"/>
          <w:noProof/>
          <w:lang w:val="en-US"/>
        </w:rPr>
      </w:pPr>
      <w:r w:rsidRPr="007E7937">
        <w:rPr>
          <w:rFonts w:cs="Times New Roman"/>
          <w:noProof/>
          <w:lang w:val="en-US"/>
        </w:rPr>
        <w:t>12</w:t>
      </w:r>
      <w:r w:rsidRPr="007E7937">
        <w:rPr>
          <w:rFonts w:cs="Times New Roman"/>
          <w:noProof/>
          <w:lang w:val="en-US"/>
        </w:rPr>
        <w:tab/>
        <w:t xml:space="preserve">Gasparrini A, Guo Y, Hashizume M, </w:t>
      </w:r>
      <w:r w:rsidRPr="007E7937">
        <w:rPr>
          <w:rFonts w:cs="Times New Roman"/>
          <w:i/>
          <w:iCs/>
          <w:noProof/>
          <w:lang w:val="en-US"/>
        </w:rPr>
        <w:t>et al.</w:t>
      </w:r>
      <w:r w:rsidRPr="007E7937">
        <w:rPr>
          <w:rFonts w:cs="Times New Roman"/>
          <w:noProof/>
          <w:lang w:val="en-US"/>
        </w:rPr>
        <w:t xml:space="preserve"> Mortality risk attributable to high and low ambient temperature: A multicountry observational study. </w:t>
      </w:r>
      <w:r w:rsidRPr="007E7937">
        <w:rPr>
          <w:rFonts w:cs="Times New Roman"/>
          <w:i/>
          <w:iCs/>
          <w:noProof/>
          <w:lang w:val="en-US"/>
        </w:rPr>
        <w:t>Lancet</w:t>
      </w:r>
      <w:r w:rsidRPr="007E7937">
        <w:rPr>
          <w:rFonts w:cs="Times New Roman"/>
          <w:noProof/>
          <w:lang w:val="en-US"/>
        </w:rPr>
        <w:t xml:space="preserve"> 2015; </w:t>
      </w:r>
      <w:r w:rsidRPr="007E7937">
        <w:rPr>
          <w:rFonts w:cs="Times New Roman"/>
          <w:b/>
          <w:bCs/>
          <w:noProof/>
          <w:lang w:val="en-US"/>
        </w:rPr>
        <w:t>386</w:t>
      </w:r>
      <w:r w:rsidRPr="007E7937">
        <w:rPr>
          <w:rFonts w:cs="Times New Roman"/>
          <w:noProof/>
          <w:lang w:val="en-US"/>
        </w:rPr>
        <w:t>: 369–75.</w:t>
      </w:r>
    </w:p>
    <w:p w14:paraId="549C7402" w14:textId="77777777" w:rsidR="007E7937" w:rsidRPr="007E7937" w:rsidRDefault="007E7937" w:rsidP="007E7937">
      <w:pPr>
        <w:widowControl w:val="0"/>
        <w:autoSpaceDE w:val="0"/>
        <w:autoSpaceDN w:val="0"/>
        <w:adjustRightInd w:val="0"/>
        <w:spacing w:line="240" w:lineRule="auto"/>
        <w:ind w:left="640" w:hanging="640"/>
        <w:rPr>
          <w:rFonts w:cs="Times New Roman"/>
          <w:noProof/>
        </w:rPr>
      </w:pPr>
      <w:r w:rsidRPr="007E7937">
        <w:rPr>
          <w:rFonts w:cs="Times New Roman"/>
          <w:noProof/>
          <w:lang w:val="en-US"/>
        </w:rPr>
        <w:t>13</w:t>
      </w:r>
      <w:r w:rsidRPr="007E7937">
        <w:rPr>
          <w:rFonts w:cs="Times New Roman"/>
          <w:noProof/>
          <w:lang w:val="en-US"/>
        </w:rPr>
        <w:tab/>
        <w:t xml:space="preserve">Hajat S, Gasparrini A. The excess winter deaths measure: Why its use is misleading for </w:t>
      </w:r>
      <w:r w:rsidRPr="007E7937">
        <w:rPr>
          <w:rFonts w:cs="Times New Roman"/>
          <w:noProof/>
          <w:lang w:val="en-US"/>
        </w:rPr>
        <w:lastRenderedPageBreak/>
        <w:t xml:space="preserve">public health understanding of cold-related health impacts. </w:t>
      </w:r>
      <w:r w:rsidRPr="007E7937">
        <w:rPr>
          <w:rFonts w:cs="Times New Roman"/>
          <w:i/>
          <w:iCs/>
          <w:noProof/>
          <w:lang w:val="en-US"/>
        </w:rPr>
        <w:t>Epidemiology</w:t>
      </w:r>
      <w:r w:rsidRPr="007E7937">
        <w:rPr>
          <w:rFonts w:cs="Times New Roman"/>
          <w:noProof/>
          <w:lang w:val="en-US"/>
        </w:rPr>
        <w:t xml:space="preserve"> 2016. DOI:10.1097/EDE.0000000000000479.</w:t>
      </w:r>
    </w:p>
    <w:p w14:paraId="2B228869" w14:textId="5EE9CFDF" w:rsidR="006675AE" w:rsidRPr="006126BB" w:rsidRDefault="006675AE" w:rsidP="007E7937">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7"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 w:id="23"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 w:id="30" w:author="Robbie Parks" w:date="2019-05-16T00:46:00Z" w:initials="RP">
    <w:p w14:paraId="7C3B70CF" w14:textId="2D7C5D3D" w:rsidR="003661A6" w:rsidRDefault="003661A6">
      <w:pPr>
        <w:pStyle w:val="CommentText"/>
      </w:pPr>
      <w:r>
        <w:rPr>
          <w:rStyle w:val="CommentReference"/>
        </w:rPr>
        <w:annotationRef/>
      </w:r>
      <w:r>
        <w:t xml:space="preserve">Replace </w:t>
      </w:r>
      <w:r>
        <w:t>these</w:t>
      </w:r>
      <w:bookmarkStart w:id="31" w:name="_GoBack"/>
      <w:bookmarkEnd w:id="3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Ex w15:paraId="180C5880" w15:done="0"/>
  <w15:commentEx w15:paraId="7C3B70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Id w16cid:paraId="180C5880" w16cid:durableId="208683EF"/>
  <w16cid:commentId w16cid:paraId="7C3B70CF" w16cid:durableId="208731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B5463D" w14:textId="77777777" w:rsidR="00856C4D" w:rsidRDefault="00856C4D">
      <w:pPr>
        <w:spacing w:after="0" w:line="240" w:lineRule="auto"/>
      </w:pPr>
      <w:r>
        <w:separator/>
      </w:r>
    </w:p>
    <w:p w14:paraId="52548027" w14:textId="77777777" w:rsidR="00856C4D" w:rsidRDefault="00856C4D"/>
  </w:endnote>
  <w:endnote w:type="continuationSeparator" w:id="0">
    <w:p w14:paraId="41D69D76" w14:textId="77777777" w:rsidR="00856C4D" w:rsidRDefault="00856C4D">
      <w:pPr>
        <w:spacing w:after="0" w:line="240" w:lineRule="auto"/>
      </w:pPr>
      <w:r>
        <w:continuationSeparator/>
      </w:r>
    </w:p>
    <w:p w14:paraId="61639E25" w14:textId="77777777" w:rsidR="00856C4D" w:rsidRDefault="00856C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44B87B" w14:textId="77777777" w:rsidR="00856C4D" w:rsidRDefault="00856C4D" w:rsidP="009C57B9">
      <w:pPr>
        <w:spacing w:after="0" w:line="240" w:lineRule="auto"/>
      </w:pPr>
      <w:r>
        <w:separator/>
      </w:r>
    </w:p>
  </w:footnote>
  <w:footnote w:type="continuationSeparator" w:id="0">
    <w:p w14:paraId="499104B0" w14:textId="77777777" w:rsidR="00856C4D" w:rsidRDefault="00856C4D">
      <w:pPr>
        <w:spacing w:after="0" w:line="240" w:lineRule="auto"/>
      </w:pPr>
      <w:r>
        <w:continuationSeparator/>
      </w:r>
    </w:p>
    <w:p w14:paraId="5B6DA4C9" w14:textId="77777777" w:rsidR="00856C4D" w:rsidRDefault="00856C4D"/>
  </w:footnote>
  <w:footnote w:id="1">
    <w:p w14:paraId="57425559" w14:textId="577CE727" w:rsidR="000575DB" w:rsidRDefault="00CE23CE" w:rsidP="000575DB">
      <w:pPr>
        <w:pStyle w:val="FootnoteText"/>
      </w:pPr>
      <w:r w:rsidRPr="007E7937">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4D"/>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607CE74-3BD6-5242-92BC-BD7DBF445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9826</Words>
  <Characters>56009</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9</cp:revision>
  <cp:lastPrinted>2019-05-05T19:57:00Z</cp:lastPrinted>
  <dcterms:created xsi:type="dcterms:W3CDTF">2019-05-15T08:11:00Z</dcterms:created>
  <dcterms:modified xsi:type="dcterms:W3CDTF">2019-05-15T23:46:00Z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