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2AC3DE77"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w:t>
      </w:r>
      <w:r w:rsidR="00EE1C59">
        <w:rPr>
          <w:color w:val="000000" w:themeColor="text1"/>
        </w:rPr>
        <w:t xml:space="preserve"> </w:t>
      </w:r>
      <w:r w:rsidR="00440FE0">
        <w:rPr>
          <w:color w:val="000000" w:themeColor="text1"/>
        </w:rPr>
        <w:t>has used variations in daily temperature</w:t>
      </w:r>
      <w:r w:rsidRPr="002C64F6">
        <w:rPr>
          <w:color w:val="000000" w:themeColor="text1"/>
        </w:rPr>
        <w:t xml:space="preserve"> </w:t>
      </w:r>
      <w:r>
        <w:rPr>
          <w:color w:val="000000" w:themeColor="text1"/>
        </w:rPr>
        <w:t xml:space="preserve">to estimate </w:t>
      </w:r>
      <w:r w:rsidR="00BF6E46">
        <w:rPr>
          <w:color w:val="000000" w:themeColor="text1"/>
        </w:rPr>
        <w:t>associations</w:t>
      </w:r>
      <w:r>
        <w:rPr>
          <w:color w:val="000000" w:themeColor="text1"/>
        </w:rPr>
        <w:t xml:space="preserve"> with disease and mortality. The results of </w:t>
      </w:r>
      <w:r w:rsidR="00133139">
        <w:rPr>
          <w:color w:val="000000" w:themeColor="text1"/>
        </w:rPr>
        <w:t xml:space="preserve">time-series studies </w:t>
      </w:r>
      <w:r w:rsidR="002C3205">
        <w:rPr>
          <w:color w:val="000000" w:themeColor="text1"/>
        </w:rPr>
        <w:t>can inform</w:t>
      </w:r>
      <w:r>
        <w:rPr>
          <w:color w:val="000000" w:themeColor="text1"/>
        </w:rPr>
        <w:t xml:space="preserve"> short-term planning but have</w:t>
      </w:r>
      <w:r w:rsidR="00440FE0">
        <w:rPr>
          <w:color w:val="000000" w:themeColor="text1"/>
        </w:rPr>
        <w:t xml:space="preserve"> limited direct relevance to </w:t>
      </w:r>
      <w:r>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By design, </w:t>
      </w:r>
      <w:r w:rsidR="00E14FD9">
        <w:rPr>
          <w:color w:val="000000" w:themeColor="text1"/>
        </w:rPr>
        <w:t>time-series analyses</w:t>
      </w:r>
      <w:r>
        <w:rPr>
          <w:color w:val="000000" w:themeColor="text1"/>
        </w:rPr>
        <w:t xml:space="preserve"> also </w:t>
      </w:r>
      <w:r w:rsidR="00B31339">
        <w:rPr>
          <w:color w:val="000000" w:themeColor="text1"/>
        </w:rPr>
        <w:t>cannot</w:t>
      </w:r>
      <w:r>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r w:rsidR="008852B0">
        <w:rPr>
          <w:color w:val="000000" w:themeColor="text1"/>
        </w:rPr>
        <w:t xml:space="preserve"> or Paris</w:t>
      </w:r>
      <w:r w:rsidR="00D21FA0">
        <w:rPr>
          <w:color w:val="000000" w:themeColor="text1"/>
        </w:rPr>
        <w:t xml:space="preserve"> have adapted to temperatures that regularly lead to hundreds of deaths in Chicago</w:t>
      </w:r>
      <w:r w:rsidR="008852B0">
        <w:rPr>
          <w:color w:val="000000" w:themeColor="text1"/>
        </w:rPr>
        <w:t xml:space="preserve"> or Nice</w:t>
      </w:r>
      <w:r w:rsidR="002C3205">
        <w:rPr>
          <w:color w:val="000000" w:themeColor="text1"/>
        </w:rPr>
        <w:t xml:space="preserve">. Our study </w:t>
      </w:r>
      <w:r w:rsidR="00AB3AE1">
        <w:rPr>
          <w:color w:val="000000" w:themeColor="text1"/>
        </w:rPr>
        <w:t xml:space="preserve">used </w:t>
      </w:r>
      <w:r w:rsidR="00BF6E46">
        <w:rPr>
          <w:color w:val="000000" w:themeColor="text1"/>
        </w:rPr>
        <w:t xml:space="preserve">an </w:t>
      </w:r>
      <w:r w:rsidR="00AB3AE1">
        <w:rPr>
          <w:color w:val="000000" w:themeColor="text1"/>
        </w:rPr>
        <w:t xml:space="preserve">innovative design and </w:t>
      </w:r>
      <w:r w:rsidR="002C3205">
        <w:rPr>
          <w:color w:val="000000" w:themeColor="text1"/>
        </w:rPr>
        <w:t xml:space="preserve">large quantities of data to overcome this inherent limitation of time-series studies in informing </w:t>
      </w:r>
      <w:r w:rsidR="004C6BED">
        <w:rPr>
          <w:color w:val="000000" w:themeColor="text1"/>
        </w:rPr>
        <w:t xml:space="preserve">long-term </w:t>
      </w:r>
      <w:r w:rsidR="002C3205">
        <w:rPr>
          <w:color w:val="000000" w:themeColor="text1"/>
        </w:rPr>
        <w:t>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w:t>
      </w:r>
      <w:r w:rsidR="00D21FA0">
        <w:rPr>
          <w:color w:val="000000" w:themeColor="text1"/>
        </w:rPr>
        <w:t>,</w:t>
      </w:r>
      <w:r w:rsidR="00AB3AE1">
        <w:rPr>
          <w:color w:val="000000" w:themeColor="text1"/>
        </w:rPr>
        <w:t xml:space="preserve"> weather patterns in the long term, today </w:t>
      </w:r>
      <w:r w:rsidR="00BF6E46">
        <w:rPr>
          <w:color w:val="000000" w:themeColor="text1"/>
        </w:rPr>
        <w:t>and</w:t>
      </w:r>
      <w:r w:rsidR="00AB3AE1">
        <w:rPr>
          <w:color w:val="000000" w:themeColor="text1"/>
        </w:rPr>
        <w:t xml:space="preserve"> in the future as</w:t>
      </w:r>
      <w:r w:rsidR="001C6C5E">
        <w:rPr>
          <w:color w:val="000000" w:themeColor="text1"/>
        </w:rPr>
        <w:t xml:space="preserve"> </w:t>
      </w:r>
      <w:r w:rsidR="001C6C5E">
        <w:rPr>
          <w:color w:val="000000" w:themeColor="text1"/>
        </w:rPr>
        <w:lastRenderedPageBreak/>
        <w:t>anomal</w:t>
      </w:r>
      <w:r w:rsidR="004C6BED">
        <w:rPr>
          <w:color w:val="000000" w:themeColor="text1"/>
        </w:rPr>
        <w:t>ous weather patterns</w:t>
      </w:r>
      <w:r w:rsidR="001C6C5E">
        <w:rPr>
          <w:color w:val="000000" w:themeColor="text1"/>
        </w:rPr>
        <w:t xml:space="preserve"> are expected to become</w:t>
      </w:r>
      <w:r w:rsidR="00AB3AE1">
        <w:rPr>
          <w:color w:val="000000" w:themeColor="text1"/>
        </w:rPr>
        <w:t xml:space="preserve"> more frequent.</w:t>
      </w:r>
      <w:r w:rsidR="00C76841">
        <w:rPr>
          <w:color w:val="000000" w:themeColor="text1"/>
        </w:rPr>
        <w:fldChar w:fldCharType="begin" w:fldLock="1"/>
      </w:r>
      <w:r w:rsidR="00CB1747">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1&lt;/sup&gt;","plainTextFormattedCitation":"1","previouslyFormattedCitation":"&lt;sup&gt;1&lt;/sup&gt;"},"properties":{"noteIndex":0},"schema":"https://github.com/citation-style-language/schema/raw/master/csl-citation.json"}</w:instrText>
      </w:r>
      <w:r w:rsidR="00C76841">
        <w:rPr>
          <w:color w:val="000000" w:themeColor="text1"/>
        </w:rPr>
        <w:fldChar w:fldCharType="separate"/>
      </w:r>
      <w:r w:rsidR="000A2AA4" w:rsidRPr="000A2AA4">
        <w:rPr>
          <w:noProof/>
          <w:color w:val="000000" w:themeColor="text1"/>
          <w:vertAlign w:val="superscript"/>
        </w:rPr>
        <w:t>1</w:t>
      </w:r>
      <w:r w:rsidR="00C76841">
        <w:rPr>
          <w:color w:val="000000" w:themeColor="text1"/>
        </w:rPr>
        <w:fldChar w:fldCharType="end"/>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w:t>
      </w:r>
      <w:r w:rsidR="004C6BED">
        <w:rPr>
          <w:color w:val="000000" w:themeColor="text1"/>
        </w:rPr>
        <w:t xml:space="preserve">long-term </w:t>
      </w:r>
      <w:r w:rsidR="00B31339">
        <w:rPr>
          <w:color w:val="000000" w:themeColor="text1"/>
        </w:rPr>
        <w:t>risk assessment.</w:t>
      </w:r>
    </w:p>
    <w:p w14:paraId="5B416F34" w14:textId="77777777" w:rsidR="001C6C5E" w:rsidRDefault="001C6C5E" w:rsidP="002C64F6">
      <w:pPr>
        <w:spacing w:line="480" w:lineRule="auto"/>
        <w:jc w:val="both"/>
        <w:outlineLvl w:val="0"/>
        <w:rPr>
          <w:color w:val="000000" w:themeColor="text1"/>
        </w:rPr>
      </w:pPr>
    </w:p>
    <w:p w14:paraId="678873EE" w14:textId="3D943BF8" w:rsidR="002C64F6" w:rsidRDefault="00BF6E46" w:rsidP="00AF1A2F">
      <w:pPr>
        <w:spacing w:line="480" w:lineRule="auto"/>
        <w:jc w:val="both"/>
        <w:outlineLvl w:val="0"/>
        <w:rPr>
          <w:color w:val="000000" w:themeColor="text1"/>
        </w:rPr>
      </w:pPr>
      <w:r>
        <w:rPr>
          <w:color w:val="000000" w:themeColor="text1"/>
        </w:rPr>
        <w:t>In addition to</w:t>
      </w:r>
      <w:r w:rsidR="001C6C5E">
        <w:rPr>
          <w:color w:val="000000" w:themeColor="text1"/>
        </w:rPr>
        <w:t xml:space="preserve"> anoma</w:t>
      </w:r>
      <w:r w:rsidR="00E40572">
        <w:rPr>
          <w:color w:val="000000" w:themeColor="text1"/>
        </w:rPr>
        <w:t>ly in mean temperature</w:t>
      </w:r>
      <w:r>
        <w:rPr>
          <w:color w:val="000000" w:themeColor="text1"/>
        </w:rPr>
        <w:t>,</w:t>
      </w:r>
      <w:r w:rsidR="00F96A3B">
        <w:rPr>
          <w:color w:val="000000" w:themeColor="text1"/>
        </w:rPr>
        <w:t xml:space="preserve"> </w:t>
      </w:r>
      <w:r>
        <w:rPr>
          <w:color w:val="000000" w:themeColor="text1"/>
        </w:rPr>
        <w:t xml:space="preserve">we </w:t>
      </w:r>
      <w:r w:rsidR="001C6C5E">
        <w:rPr>
          <w:color w:val="000000" w:themeColor="text1"/>
        </w:rPr>
        <w:t xml:space="preserve">analysed and reported in the paper the </w:t>
      </w:r>
      <w:r w:rsidR="009F50A8">
        <w:rPr>
          <w:color w:val="000000" w:themeColor="text1"/>
        </w:rPr>
        <w:t xml:space="preserve">role of anomalies in metrics of </w:t>
      </w:r>
      <w:r>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D21FA0" w:rsidRPr="00F45DD5">
        <w:rPr>
          <w:rStyle w:val="FootnoteReference"/>
        </w:rPr>
        <w:footnoteReference w:id="2"/>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generally not statistically significant and with large credible intervals.</w:t>
      </w:r>
    </w:p>
    <w:p w14:paraId="2638A7FD" w14:textId="53BF6703" w:rsidR="00AB3AE1" w:rsidRDefault="00AB3AE1" w:rsidP="002C64F6">
      <w:pPr>
        <w:spacing w:line="480" w:lineRule="auto"/>
        <w:jc w:val="both"/>
        <w:outlineLvl w:val="0"/>
        <w:rPr>
          <w:color w:val="000000" w:themeColor="text1"/>
        </w:rPr>
      </w:pPr>
    </w:p>
    <w:p w14:paraId="7DB51269" w14:textId="68323D07" w:rsidR="002C64F6" w:rsidRDefault="00AB3AE1" w:rsidP="002C64F6">
      <w:pPr>
        <w:spacing w:line="480" w:lineRule="auto"/>
        <w:jc w:val="both"/>
        <w:outlineLvl w:val="0"/>
        <w:rPr>
          <w:color w:val="000000" w:themeColor="text1"/>
        </w:rPr>
      </w:pPr>
      <w:r>
        <w:rPr>
          <w:color w:val="000000" w:themeColor="text1"/>
        </w:rPr>
        <w:t xml:space="preserve">A second methodological innovation of our work is to leverage variation over both space and time, versus each alone, to infer the size of associations. </w:t>
      </w:r>
      <w:r w:rsidR="00B31339">
        <w:rPr>
          <w:color w:val="000000" w:themeColor="text1"/>
        </w:rPr>
        <w:t>This approach</w:t>
      </w:r>
      <w:r w:rsidR="00F4480E">
        <w:rPr>
          <w:color w:val="000000" w:themeColor="text1"/>
        </w:rPr>
        <w:t xml:space="preserve"> </w:t>
      </w:r>
      <w:r>
        <w:rPr>
          <w:color w:val="000000" w:themeColor="text1"/>
        </w:rPr>
        <w:t>has been used for years in studies of air pollution</w:t>
      </w:r>
      <w:r w:rsidR="00B64A11">
        <w:rPr>
          <w:color w:val="000000" w:themeColor="text1"/>
        </w:rPr>
        <w:fldChar w:fldCharType="begin" w:fldLock="1"/>
      </w:r>
      <w:r w:rsidR="00CB1747">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Medicine","id":"ITEM-3","issued":{"date-parts":[["2019"]]},"title":"National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B64A11">
        <w:rPr>
          <w:color w:val="000000" w:themeColor="text1"/>
        </w:rPr>
        <w:fldChar w:fldCharType="separate"/>
      </w:r>
      <w:r w:rsidR="00CB1747" w:rsidRPr="00CB1747">
        <w:rPr>
          <w:noProof/>
          <w:color w:val="000000" w:themeColor="text1"/>
          <w:vertAlign w:val="superscript"/>
        </w:rPr>
        <w:t>2–4</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CB1747">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5&lt;/sup&gt;","plainTextFormattedCitation":"5","previouslyFormattedCitation":"&lt;sup&gt;5&lt;/sup&gt;"},"properties":{"noteIndex":0},"schema":"https://github.com/citation-style-language/schema/raw/master/csl-citation.json"}</w:instrText>
      </w:r>
      <w:r w:rsidR="00E63FD6">
        <w:rPr>
          <w:color w:val="000000" w:themeColor="text1"/>
        </w:rPr>
        <w:fldChar w:fldCharType="separate"/>
      </w:r>
      <w:r w:rsidR="00CB1747" w:rsidRPr="00CB1747">
        <w:rPr>
          <w:noProof/>
          <w:color w:val="000000" w:themeColor="text1"/>
          <w:vertAlign w:val="superscript"/>
        </w:rPr>
        <w:t>5</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w:t>
      </w:r>
      <w:r w:rsidR="00D21FA0">
        <w:rPr>
          <w:color w:val="000000" w:themeColor="text1"/>
        </w:rPr>
        <w:t xml:space="preserve">using </w:t>
      </w:r>
      <w:r w:rsidR="001C6C5E">
        <w:rPr>
          <w:color w:val="000000" w:themeColor="text1"/>
        </w:rPr>
        <w:t xml:space="preserve">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to understanding the health effects of temperature</w:t>
      </w:r>
      <w:r w:rsidR="00D21FA0">
        <w:rPr>
          <w:color w:val="000000" w:themeColor="text1"/>
        </w:rPr>
        <w:t>, and</w:t>
      </w:r>
      <w:r w:rsidR="00651316">
        <w:rPr>
          <w:color w:val="000000" w:themeColor="text1"/>
        </w:rPr>
        <w:t xml:space="preserve"> should motivate new directions in temperature-health research.</w:t>
      </w:r>
      <w:r w:rsidR="00E3795D">
        <w:rPr>
          <w:color w:val="000000" w:themeColor="text1"/>
        </w:rPr>
        <w:fldChar w:fldCharType="begin" w:fldLock="1"/>
      </w:r>
      <w:r w:rsidR="00CB1747">
        <w:rPr>
          <w:color w:val="000000" w:themeColor="text1"/>
        </w:rPr>
        <w:instrText>ADDIN CSL_CITATION {"citationItems":[{"id":"ITEM-1","itemData":{"DOI":"10.1038/s41591-019-0728-4","ISSN":"1546170X","author":[{"dropping-particle":"","family":"Ameratunga","given":"Shanthi","non-dropping-particle":"","parse-names":false,"suffix":""},{"dropping-particle":"","family":"Woodward","given":"Alistair","non-dropping-particle":"","parse-names":false,"suffix":""}],"container-title":"Nature Medicine","id":"ITEM-1","issue":"1","issued":{"date-parts":[["2020"]]},"page":"22-23","title":"Rising injuries in a hotter climate","type":"article-journal","volume":"26"},"uris":["http://www.mendeley.com/documents/?uuid=ba3f79e7-5ddb-45b2-9773-4bbc08a35c4a"]}],"mendeley":{"formattedCitation":"&lt;sup&gt;1&lt;/sup&gt;","plainTextFormattedCitation":"1","previouslyFormattedCitation":"&lt;sup&gt;1&lt;/sup&gt;"},"properties":{"noteIndex":0},"schema":"https://github.com/citation-style-language/schema/raw/master/csl-citation.json"}</w:instrText>
      </w:r>
      <w:r w:rsidR="00E3795D">
        <w:rPr>
          <w:color w:val="000000" w:themeColor="text1"/>
        </w:rPr>
        <w:fldChar w:fldCharType="separate"/>
      </w:r>
      <w:r w:rsidR="000A2AA4" w:rsidRPr="000A2AA4">
        <w:rPr>
          <w:noProof/>
          <w:color w:val="000000" w:themeColor="text1"/>
          <w:vertAlign w:val="superscript"/>
        </w:rPr>
        <w:t>1</w:t>
      </w:r>
      <w:r w:rsidR="00E3795D">
        <w:rPr>
          <w:color w:val="000000" w:themeColor="text1"/>
        </w:rPr>
        <w:fldChar w:fldCharType="end"/>
      </w:r>
    </w:p>
    <w:p w14:paraId="2FAE54C8" w14:textId="7C3DE99B" w:rsidR="00F4480E" w:rsidRDefault="00F4480E" w:rsidP="002C64F6">
      <w:pPr>
        <w:spacing w:line="480" w:lineRule="auto"/>
        <w:jc w:val="both"/>
        <w:outlineLvl w:val="0"/>
        <w:rPr>
          <w:color w:val="000000" w:themeColor="text1"/>
        </w:rPr>
      </w:pPr>
    </w:p>
    <w:p w14:paraId="6E37C86E" w14:textId="1CE4DDCB"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injuries</w:t>
      </w:r>
      <w:r w:rsidR="00CB1747">
        <w:rPr>
          <w:color w:val="000000" w:themeColor="text1"/>
        </w:rPr>
        <w:fldChar w:fldCharType="begin" w:fldLock="1"/>
      </w:r>
      <w:r w:rsidR="0081015A">
        <w:rPr>
          <w:color w:val="000000" w:themeColor="text1"/>
        </w:rPr>
        <w:instrText>ADDIN CSL_CITATION {"citationItems":[{"id":"ITEM-1","itemData":{"DOI":"10.1016/j.jth.2018.04.005","ISSN":"22141405","abstract":"Previous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Health","id":"ITEM-1","issued":{"date-parts":[["2018"]]},"title":"Reversal of the road death trend in the U.S. in 2015–2016: An examination of the climate and economic hypotheses","type":"article-journal"},"uris":["http://www.mendeley.com/documents/?uuid=8ad5ba28-1117-4ecd-a049-7909319349c5"]},{"id":"ITEM-2","itemData":{"DOI":"10.1038/s41558-018-0222-x","ISSN":"17586798","abstract":"Linkages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6,7&lt;/sup&gt;","plainTextFormattedCitation":"6,7","previouslyFormattedCitation":"&lt;sup&gt;6,7&lt;/sup&gt;"},"properties":{"noteIndex":0},"schema":"https://github.com/citation-style-language/schema/raw/master/csl-citation.json"}</w:instrText>
      </w:r>
      <w:r w:rsidR="00CB1747">
        <w:rPr>
          <w:color w:val="000000" w:themeColor="text1"/>
        </w:rPr>
        <w:fldChar w:fldCharType="separate"/>
      </w:r>
      <w:r w:rsidR="00CB1747" w:rsidRPr="00CB1747">
        <w:rPr>
          <w:noProof/>
          <w:color w:val="000000" w:themeColor="text1"/>
          <w:vertAlign w:val="superscript"/>
        </w:rPr>
        <w:t>6,7</w:t>
      </w:r>
      <w:r w:rsidR="00CB1747">
        <w:rPr>
          <w:color w:val="000000" w:themeColor="text1"/>
        </w:rPr>
        <w:fldChar w:fldCharType="end"/>
      </w:r>
      <w:r w:rsidR="00CB1747">
        <w:rPr>
          <w:color w:val="000000" w:themeColor="text1"/>
        </w:rPr>
        <w:t>.</w:t>
      </w:r>
      <w:r w:rsidR="00824D31">
        <w:rPr>
          <w:color w:val="000000" w:themeColor="text1"/>
        </w:rPr>
        <w:t xml:space="preserve"> </w:t>
      </w:r>
      <w:r w:rsidR="00535113">
        <w:rPr>
          <w:color w:val="000000" w:themeColor="text1"/>
        </w:rPr>
        <w:t>This choice is supported by a recent study that found a linear association over much</w:t>
      </w:r>
      <w:r w:rsidR="009D018E">
        <w:rPr>
          <w:color w:val="000000" w:themeColor="text1"/>
        </w:rPr>
        <w:t xml:space="preserve"> of the absolute temperature scale</w:t>
      </w:r>
      <w:r w:rsidR="00824D31">
        <w:rPr>
          <w:color w:val="000000" w:themeColor="text1"/>
        </w:rPr>
        <w:t>.</w:t>
      </w:r>
      <w:r w:rsidR="00033490">
        <w:rPr>
          <w:color w:val="000000" w:themeColor="text1"/>
        </w:rPr>
        <w:fldChar w:fldCharType="begin" w:fldLock="1"/>
      </w:r>
      <w:r w:rsidR="00CB1747">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8&lt;/sup&gt;","plainTextFormattedCitation":"8","previouslyFormattedCitation":"&lt;sup&gt;8&lt;/sup&gt;"},"properties":{"noteIndex":0},"schema":"https://github.com/citation-style-language/schema/raw/master/csl-citation.json"}</w:instrText>
      </w:r>
      <w:r w:rsidR="00033490">
        <w:rPr>
          <w:color w:val="000000" w:themeColor="text1"/>
        </w:rPr>
        <w:fldChar w:fldCharType="separate"/>
      </w:r>
      <w:r w:rsidR="00CB1747" w:rsidRPr="00CB1747">
        <w:rPr>
          <w:noProof/>
          <w:color w:val="000000" w:themeColor="text1"/>
          <w:vertAlign w:val="superscript"/>
        </w:rPr>
        <w:t>8</w:t>
      </w:r>
      <w:r w:rsidR="00033490">
        <w:rPr>
          <w:color w:val="000000" w:themeColor="text1"/>
        </w:rPr>
        <w:fldChar w:fldCharType="end"/>
      </w:r>
      <w:r>
        <w:rPr>
          <w:color w:val="000000" w:themeColor="text1"/>
        </w:rPr>
        <w:t xml:space="preserve"> </w:t>
      </w:r>
      <w:r w:rsidR="00535113">
        <w:rPr>
          <w:color w:val="000000" w:themeColor="text1"/>
        </w:rPr>
        <w:t>Further,</w:t>
      </w:r>
      <w:r w:rsidR="00E56B02">
        <w:rPr>
          <w:color w:val="000000" w:themeColor="text1"/>
        </w:rPr>
        <w:t xml:space="preserve"> the anomaly </w:t>
      </w:r>
      <w:r w:rsidR="00E56B02">
        <w:rPr>
          <w:color w:val="000000" w:themeColor="text1"/>
        </w:rPr>
        <w:lastRenderedPageBreak/>
        <w:t>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 This can be seen in the comparison of effect sizes across months and age groups in Figure 4 of our paper.</w:t>
      </w:r>
      <w:r w:rsidR="005B72CC" w:rsidRPr="00997A0C">
        <w:rPr>
          <w:rStyle w:val="FootnoteReference"/>
        </w:rPr>
        <w:footnoteReference w:id="3"/>
      </w:r>
      <w:r w:rsidR="00E56B02">
        <w:rPr>
          <w:color w:val="000000" w:themeColor="text1"/>
        </w:rPr>
        <w:t xml:space="preserve"> </w:t>
      </w:r>
    </w:p>
    <w:p w14:paraId="571864CC" w14:textId="41B9DBE8" w:rsidR="00E56B02" w:rsidRDefault="00E56B02" w:rsidP="002C64F6">
      <w:pPr>
        <w:spacing w:line="480" w:lineRule="auto"/>
        <w:jc w:val="both"/>
        <w:outlineLvl w:val="0"/>
        <w:rPr>
          <w:color w:val="000000" w:themeColor="text1"/>
        </w:rPr>
      </w:pPr>
    </w:p>
    <w:p w14:paraId="1B709C1C" w14:textId="20198327"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ur statistical model</w:t>
      </w:r>
      <w:r w:rsidR="00CB1E0D">
        <w:rPr>
          <w:color w:val="000000" w:themeColor="text1"/>
        </w:rPr>
        <w:t>,</w:t>
      </w:r>
      <w:r w:rsidRPr="00E56B02">
        <w:rPr>
          <w:color w:val="000000" w:themeColor="text1"/>
        </w:rPr>
        <w:t xml:space="preserve"> by design adjusts for factors related to month, state an</w:t>
      </w:r>
      <w:r>
        <w:rPr>
          <w:color w:val="000000" w:themeColor="text1"/>
        </w:rPr>
        <w:t>d state-month</w:t>
      </w:r>
      <w:r w:rsidRPr="00E56B02">
        <w:rPr>
          <w:color w:val="000000" w:themeColor="text1"/>
        </w:rPr>
        <w:t xml:space="preserve">. </w:t>
      </w:r>
      <w:r>
        <w:rPr>
          <w:color w:val="000000" w:themeColor="text1"/>
        </w:rPr>
        <w:t xml:space="preserve">This means that </w:t>
      </w:r>
      <w:r w:rsidR="00804C6C">
        <w:rPr>
          <w:color w:val="000000" w:themeColor="text1"/>
        </w:rPr>
        <w:t xml:space="preserve">factors such as day- and night-time duration are fully adjusted for, as are other environmental, social, and meteorological factors that are specific to place and month.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8E56D0">
        <w:rPr>
          <w:color w:val="000000" w:themeColor="text1"/>
        </w:rPr>
        <w:t xml:space="preserve">the United States is not </w:t>
      </w:r>
      <w:r w:rsidR="00C71B44">
        <w:rPr>
          <w:color w:val="000000" w:themeColor="text1"/>
        </w:rPr>
        <w:t>significantly correlated with anomalous cloud cover</w:t>
      </w:r>
      <w:r w:rsidR="00FD4477">
        <w:rPr>
          <w:color w:val="000000" w:themeColor="text1"/>
        </w:rPr>
        <w:t>, nor with precipitation.</w:t>
      </w:r>
      <w:r w:rsidR="002C5F6A">
        <w:rPr>
          <w:color w:val="000000" w:themeColor="text1"/>
        </w:rPr>
        <w:fldChar w:fldCharType="begin" w:fldLock="1"/>
      </w:r>
      <w:r w:rsidR="00CB1747">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9&lt;/sup&gt;","plainTextFormattedCitation":"9","previouslyFormattedCitation":"&lt;sup&gt;9&lt;/sup&gt;"},"properties":{"noteIndex":0},"schema":"https://github.com/citation-style-language/schema/raw/master/csl-citation.json"}</w:instrText>
      </w:r>
      <w:r w:rsidR="002C5F6A">
        <w:rPr>
          <w:color w:val="000000" w:themeColor="text1"/>
        </w:rPr>
        <w:fldChar w:fldCharType="separate"/>
      </w:r>
      <w:r w:rsidR="00CB1747" w:rsidRPr="00CB1747">
        <w:rPr>
          <w:noProof/>
          <w:color w:val="000000" w:themeColor="text1"/>
          <w:vertAlign w:val="superscript"/>
        </w:rPr>
        <w:t>9</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CB1747">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9&lt;/sup&gt;","plainTextFormattedCitation":"9","previouslyFormattedCitation":"&lt;sup&gt;9&lt;/sup&gt;"},"properties":{"noteIndex":0},"schema":"https://github.com/citation-style-language/schema/raw/master/csl-citation.json"}</w:instrText>
      </w:r>
      <w:r w:rsidR="00C76841">
        <w:rPr>
          <w:color w:val="000000" w:themeColor="text1"/>
        </w:rPr>
        <w:fldChar w:fldCharType="separate"/>
      </w:r>
      <w:r w:rsidR="00CB1747" w:rsidRPr="00CB1747">
        <w:rPr>
          <w:noProof/>
          <w:color w:val="000000" w:themeColor="text1"/>
          <w:vertAlign w:val="superscript"/>
        </w:rPr>
        <w:t>9</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1C191756" w:rsidR="00B201BD" w:rsidRDefault="009F50A8" w:rsidP="00613BCB">
      <w:pPr>
        <w:spacing w:line="480" w:lineRule="auto"/>
        <w:jc w:val="both"/>
        <w:outlineLvl w:val="0"/>
        <w:rPr>
          <w:color w:val="000000" w:themeColor="text1"/>
        </w:rPr>
      </w:pPr>
      <w:r>
        <w:rPr>
          <w:color w:val="000000" w:themeColor="text1"/>
        </w:rPr>
        <w:t xml:space="preserve">To </w:t>
      </w:r>
      <w:r w:rsidR="00536088">
        <w:rPr>
          <w:color w:val="000000" w:themeColor="text1"/>
        </w:rPr>
        <w:t>illustrate the public health significance of the findings</w:t>
      </w:r>
      <w:r>
        <w:rPr>
          <w:color w:val="000000" w:themeColor="text1"/>
        </w:rPr>
        <w:t>, we applied our estimated rate ratios to a fixed temperature anomaly (1.5 and 2 degrees) and 2016 age-</w:t>
      </w:r>
      <w:r w:rsidR="00133139">
        <w:rPr>
          <w:color w:val="000000" w:themeColor="text1"/>
        </w:rPr>
        <w:t xml:space="preserve"> and sex-</w:t>
      </w:r>
      <w:r>
        <w:rPr>
          <w:color w:val="000000" w:themeColor="text1"/>
        </w:rPr>
        <w:t>specific death rates</w:t>
      </w:r>
      <w:r w:rsidR="00536088">
        <w:rPr>
          <w:color w:val="000000" w:themeColor="text1"/>
        </w:rPr>
        <w:t>,</w:t>
      </w:r>
      <w:r w:rsidR="00346ACE">
        <w:rPr>
          <w:color w:val="000000" w:themeColor="text1"/>
        </w:rPr>
        <w:t xml:space="preserve"> carefully reported as an “</w:t>
      </w:r>
      <w:r w:rsidR="00346ACE" w:rsidRPr="00346ACE">
        <w:rPr>
          <w:color w:val="000000" w:themeColor="text1"/>
        </w:rPr>
        <w:t>anomalously warm year</w:t>
      </w:r>
      <w:r w:rsidR="00346ACE">
        <w:rPr>
          <w:color w:val="000000" w:themeColor="text1"/>
        </w:rPr>
        <w:t>”.</w:t>
      </w:r>
      <w:r>
        <w:rPr>
          <w:color w:val="000000" w:themeColor="text1"/>
        </w:rPr>
        <w:t xml:space="preserve"> </w:t>
      </w:r>
      <w:r w:rsidR="009437BD">
        <w:rPr>
          <w:color w:val="000000" w:themeColor="text1"/>
        </w:rPr>
        <w:t xml:space="preserve">This is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Pr>
          <w:color w:val="000000" w:themeColor="text1"/>
        </w:rPr>
        <w:t xml:space="preserve"> air pollution</w:t>
      </w:r>
      <w:r w:rsidR="00E52CA0">
        <w:rPr>
          <w:color w:val="000000" w:themeColor="text1"/>
        </w:rPr>
        <w:fldChar w:fldCharType="begin" w:fldLock="1"/>
      </w:r>
      <w:r w:rsidR="00CB1747">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4,10&lt;/sup&gt;","plainTextFormattedCitation":"4,10","previouslyFormattedCitation":"&lt;sup&gt;4,10&lt;/sup&gt;"},"properties":{"noteIndex":0},"schema":"https://github.com/citation-style-language/schema/raw/master/csl-citation.json"}</w:instrText>
      </w:r>
      <w:r w:rsidR="00E52CA0">
        <w:rPr>
          <w:color w:val="000000" w:themeColor="text1"/>
        </w:rPr>
        <w:fldChar w:fldCharType="separate"/>
      </w:r>
      <w:r w:rsidR="00CB1747" w:rsidRPr="00CB1747">
        <w:rPr>
          <w:noProof/>
          <w:color w:val="000000" w:themeColor="text1"/>
          <w:vertAlign w:val="superscript"/>
        </w:rPr>
        <w:t>4,10</w:t>
      </w:r>
      <w:r w:rsidR="00E52CA0">
        <w:rPr>
          <w:color w:val="000000" w:themeColor="text1"/>
        </w:rPr>
        <w:fldChar w:fldCharType="end"/>
      </w:r>
      <w:r>
        <w:rPr>
          <w:color w:val="000000" w:themeColor="text1"/>
        </w:rPr>
        <w:t xml:space="preserve"> and for virtually every other risk factor</w:t>
      </w:r>
      <w:r w:rsidR="002D2C6E">
        <w:rPr>
          <w:color w:val="000000" w:themeColor="text1"/>
        </w:rPr>
        <w:fldChar w:fldCharType="begin" w:fldLock="1"/>
      </w:r>
      <w:r w:rsidR="00CB1747">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11,12&lt;/sup&gt;","plainTextFormattedCitation":"11,12","previouslyFormattedCitation":"&lt;sup&gt;11,12&lt;/sup&gt;"},"properties":{"noteIndex":0},"schema":"https://github.com/citation-style-language/schema/raw/master/csl-citation.json"}</w:instrText>
      </w:r>
      <w:r w:rsidR="002D2C6E">
        <w:rPr>
          <w:color w:val="000000" w:themeColor="text1"/>
        </w:rPr>
        <w:fldChar w:fldCharType="separate"/>
      </w:r>
      <w:r w:rsidR="00CB1747" w:rsidRPr="00CB1747">
        <w:rPr>
          <w:noProof/>
          <w:color w:val="000000" w:themeColor="text1"/>
          <w:vertAlign w:val="superscript"/>
        </w:rPr>
        <w:t>11,12</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their counterfactual exposure</w:t>
      </w:r>
      <w:r w:rsidR="00B201BD">
        <w:rPr>
          <w:color w:val="000000" w:themeColor="text1"/>
        </w:rPr>
        <w:t xml:space="preserve">. </w:t>
      </w:r>
      <w:r w:rsidR="002A05BC">
        <w:rPr>
          <w:color w:val="000000" w:themeColor="text1"/>
        </w:rPr>
        <w:t>Further, analyses highlight how observed increases in temperature and heat waves can explained by simple shifts in mean temperature</w:t>
      </w:r>
      <w:r w:rsidR="00D378CA">
        <w:rPr>
          <w:color w:val="000000" w:themeColor="text1"/>
        </w:rPr>
        <w:t>, rather than other higher-order moments</w:t>
      </w:r>
      <w:r w:rsidR="002A05BC">
        <w:rPr>
          <w:color w:val="000000" w:themeColor="text1"/>
        </w:rPr>
        <w:t>.</w:t>
      </w:r>
      <w:r w:rsidR="000A2AA4">
        <w:rPr>
          <w:color w:val="000000" w:themeColor="text1"/>
        </w:rPr>
        <w:fldChar w:fldCharType="begin" w:fldLock="1"/>
      </w:r>
      <w:r w:rsidR="00CB1747">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Hazard","type":"article-journal"},"uris":["http://www.mendeley.com/documents/?uuid=e1b38a38-cee3-469c-a857-610733431a9c"]},{"id":"ITEM-2","itemData":{"DOI":"10.1175/JCLI-D-11-00575.1","ISSN":"08948755","abstract":"The characteristics of summertime heat waves in North America are examined using reanalysis data and simulations by two general circulation models with horizontal resolution of 50 and 200 km. Several ''key regions'' with spatially coherent and high amplitude fluctuations in daily surface air temperature are identified. The typical synoptic features accompanying warm episodes in these regions are described. The averaged intensity, duration, and frequency of occurrence of the heat waves in various key regions, as simulated in the two models for twentieth-century climate, are in general agreement with the results based on reanalysis data. The impact of climate change on the heat wave characteristics in various key regions is assessed by contrasting model runs based on a scenario for the twenty-first century with those for the twentieth century. Both models indicate considerable increases in the duration and frequency of heat wave episodes, and in number of heat wave days per year, during the twenty-first century. The duration and frequency statistics of the heat waves in the mid-twenty-first century, as generated by the model with 50-km resolution, can be reproduced by adding the projected warming trend to the daily temperature data for the late twentieth century, and then recomputing these statistics. The detailed evolution of the averaged intensity, duration, and frequency of the heat waves through individual decades of the twentieth and twenty-first centuries, as simulated and projected by the model with 200-km resolution, indicates that the upward trend in these heat wave measures should become apparent in the early decades of the twenty-first century.","author":[{"dropping-particle":"","family":"Lau","given":"Ngar Cheung","non-dropping-particle":"","parse-names":false,"suffix":""},{"dropping-particle":"","family":"Nath","given":"Mary Jo","non-dropping-particle":"","parse-names":false,"suffix":""}],"container-title":"Journal of Climate","id":"ITEM-2","issued":{"date-parts":[["2012"]]},"title":"A model study of heat waves over North America: Meteorological aspects and projections for the twenty-first century","type":"article-journal"},"uris":["http://www.mendeley.com/documents/?uuid=85936372-a9a9-427a-8f98-09c657ff4331"]}],"mendeley":{"formattedCitation":"&lt;sup&gt;13,14&lt;/sup&gt;","plainTextFormattedCitation":"13,14","previouslyFormattedCitation":"&lt;sup&gt;13,14&lt;/sup&gt;"},"properties":{"noteIndex":0},"schema":"https://github.com/citation-style-language/schema/raw/master/csl-citation.json"}</w:instrText>
      </w:r>
      <w:r w:rsidR="000A2AA4">
        <w:rPr>
          <w:color w:val="000000" w:themeColor="text1"/>
        </w:rPr>
        <w:fldChar w:fldCharType="separate"/>
      </w:r>
      <w:r w:rsidR="00CB1747" w:rsidRPr="00CB1747">
        <w:rPr>
          <w:noProof/>
          <w:color w:val="000000" w:themeColor="text1"/>
          <w:vertAlign w:val="superscript"/>
        </w:rPr>
        <w:t>13,14</w:t>
      </w:r>
      <w:r w:rsidR="000A2AA4">
        <w:rPr>
          <w:color w:val="000000" w:themeColor="text1"/>
        </w:rPr>
        <w:fldChar w:fldCharType="end"/>
      </w:r>
      <w:r w:rsidR="002A05BC">
        <w:rPr>
          <w:color w:val="000000" w:themeColor="text1"/>
        </w:rPr>
        <w:t xml:space="preserve"> </w:t>
      </w:r>
      <w:r w:rsidR="00B201BD">
        <w:rPr>
          <w:color w:val="000000" w:themeColor="text1"/>
        </w:rPr>
        <w:t>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CB1747">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15,16&lt;/sup&gt;","plainTextFormattedCitation":"15,16","previouslyFormattedCitation":"&lt;sup&gt;15,16&lt;/sup&gt;"},"properties":{"noteIndex":0},"schema":"https://github.com/citation-style-language/schema/raw/master/csl-citation.json"}</w:instrText>
      </w:r>
      <w:r w:rsidR="00301071">
        <w:rPr>
          <w:color w:val="000000" w:themeColor="text1"/>
        </w:rPr>
        <w:fldChar w:fldCharType="separate"/>
      </w:r>
      <w:r w:rsidR="00CB1747" w:rsidRPr="00CB1747">
        <w:rPr>
          <w:noProof/>
          <w:color w:val="000000" w:themeColor="text1"/>
          <w:vertAlign w:val="superscript"/>
        </w:rPr>
        <w:t>15,16</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(i.e. anomalies in different places) and temporally (i.e. anomalies in different </w:t>
      </w:r>
      <w:r w:rsidR="00B201BD">
        <w:rPr>
          <w:color w:val="000000" w:themeColor="text1"/>
        </w:rPr>
        <w:lastRenderedPageBreak/>
        <w:t xml:space="preserve">months) coherent projections of temperature; (ii) spatially and temporally coherent projections of age- and sex-specific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specific death rates,</w:t>
      </w:r>
      <w:r w:rsidR="00F979B0">
        <w:rPr>
          <w:color w:val="000000" w:themeColor="text1"/>
        </w:rPr>
        <w:fldChar w:fldCharType="begin" w:fldLock="1"/>
      </w:r>
      <w:r w:rsidR="00CB1747">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17–19&lt;/sup&gt;","plainTextFormattedCitation":"17–19","previouslyFormattedCitation":"&lt;sup&gt;17–19&lt;/sup&gt;"},"properties":{"noteIndex":0},"schema":"https://github.com/citation-style-language/schema/raw/master/csl-citation.json"}</w:instrText>
      </w:r>
      <w:r w:rsidR="00F979B0">
        <w:rPr>
          <w:color w:val="000000" w:themeColor="text1"/>
        </w:rPr>
        <w:fldChar w:fldCharType="separate"/>
      </w:r>
      <w:r w:rsidR="00CB1747" w:rsidRPr="00CB1747">
        <w:rPr>
          <w:noProof/>
          <w:color w:val="000000" w:themeColor="text1"/>
          <w:vertAlign w:val="superscript"/>
        </w:rPr>
        <w:t>17–19</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346ACE">
        <w:rPr>
          <w:color w:val="000000" w:themeColor="text1"/>
        </w:rPr>
        <w:t xml:space="preserve"> – as seen </w:t>
      </w:r>
      <w:r w:rsidR="00FB5341">
        <w:rPr>
          <w:color w:val="000000" w:themeColor="text1"/>
        </w:rPr>
        <w:t xml:space="preserve">in  </w:t>
      </w:r>
      <w:r w:rsidR="00346ACE">
        <w:rPr>
          <w:color w:val="000000" w:themeColor="text1"/>
        </w:rPr>
        <w:t xml:space="preserve">secular trends </w:t>
      </w:r>
      <w:r w:rsidR="00FB5341">
        <w:rPr>
          <w:color w:val="000000" w:themeColor="text1"/>
        </w:rPr>
        <w:t>of</w:t>
      </w:r>
      <w:r w:rsidR="00346ACE">
        <w:rPr>
          <w:color w:val="000000" w:themeColor="text1"/>
        </w:rPr>
        <w:t xml:space="preserve">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 which provides a relevant and robust basis for climate change risk assessment.</w:t>
      </w:r>
    </w:p>
    <w:p w14:paraId="545F8A61" w14:textId="77777777" w:rsidR="00E3795D" w:rsidRDefault="00E3795D" w:rsidP="00613BCB">
      <w:pPr>
        <w:spacing w:line="480" w:lineRule="auto"/>
        <w:jc w:val="both"/>
        <w:outlineLvl w:val="0"/>
        <w:rPr>
          <w:color w:val="000000" w:themeColor="text1"/>
        </w:rPr>
      </w:pPr>
    </w:p>
    <w:p w14:paraId="1C90C4AB" w14:textId="17B2F503" w:rsidR="00D546A3" w:rsidRDefault="00B201BD" w:rsidP="00652A36">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7F3E25A7" w14:textId="25837DE4" w:rsidR="0081015A" w:rsidRPr="0081015A" w:rsidRDefault="00A62CA7" w:rsidP="0081015A">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81015A" w:rsidRPr="0081015A">
        <w:rPr>
          <w:noProof/>
        </w:rPr>
        <w:t>1.</w:t>
      </w:r>
      <w:r w:rsidR="0081015A" w:rsidRPr="0081015A">
        <w:rPr>
          <w:noProof/>
        </w:rPr>
        <w:tab/>
        <w:t xml:space="preserve">Ameratunga, S. &amp; Woodward, A. Rising injuries in a hotter climate. </w:t>
      </w:r>
      <w:r w:rsidR="0081015A" w:rsidRPr="0081015A">
        <w:rPr>
          <w:i/>
          <w:iCs/>
          <w:noProof/>
        </w:rPr>
        <w:t>Nat. Med.</w:t>
      </w:r>
      <w:r w:rsidR="0081015A" w:rsidRPr="0081015A">
        <w:rPr>
          <w:noProof/>
        </w:rPr>
        <w:t xml:space="preserve"> </w:t>
      </w:r>
      <w:r w:rsidR="0081015A" w:rsidRPr="0081015A">
        <w:rPr>
          <w:b/>
          <w:bCs/>
          <w:noProof/>
        </w:rPr>
        <w:t>26</w:t>
      </w:r>
      <w:r w:rsidR="0081015A" w:rsidRPr="0081015A">
        <w:rPr>
          <w:noProof/>
        </w:rPr>
        <w:t>, 22–23 (2020).</w:t>
      </w:r>
    </w:p>
    <w:p w14:paraId="0E37868F" w14:textId="77777777" w:rsidR="0081015A" w:rsidRPr="0081015A" w:rsidRDefault="0081015A" w:rsidP="0081015A">
      <w:pPr>
        <w:widowControl w:val="0"/>
        <w:autoSpaceDE w:val="0"/>
        <w:autoSpaceDN w:val="0"/>
        <w:adjustRightInd w:val="0"/>
        <w:ind w:left="640" w:hanging="640"/>
        <w:rPr>
          <w:noProof/>
        </w:rPr>
      </w:pPr>
      <w:r w:rsidRPr="0081015A">
        <w:rPr>
          <w:noProof/>
        </w:rPr>
        <w:t>2.</w:t>
      </w:r>
      <w:r w:rsidRPr="0081015A">
        <w:rPr>
          <w:noProof/>
        </w:rPr>
        <w:tab/>
        <w:t xml:space="preserve">Pope, C. A., Ezzati, M. &amp; Dockery, D. W. Fine-particulate air pollution and life expectancy in the United States. </w:t>
      </w:r>
      <w:r w:rsidRPr="0081015A">
        <w:rPr>
          <w:i/>
          <w:iCs/>
          <w:noProof/>
        </w:rPr>
        <w:t>N. Engl. J. Med.</w:t>
      </w:r>
      <w:r w:rsidRPr="0081015A">
        <w:rPr>
          <w:noProof/>
        </w:rPr>
        <w:t xml:space="preserve"> (2009). doi:10.1056/nejmsa0805646</w:t>
      </w:r>
    </w:p>
    <w:p w14:paraId="0331DE6A" w14:textId="77777777" w:rsidR="0081015A" w:rsidRPr="0081015A" w:rsidRDefault="0081015A" w:rsidP="0081015A">
      <w:pPr>
        <w:widowControl w:val="0"/>
        <w:autoSpaceDE w:val="0"/>
        <w:autoSpaceDN w:val="0"/>
        <w:adjustRightInd w:val="0"/>
        <w:ind w:left="640" w:hanging="640"/>
        <w:rPr>
          <w:noProof/>
        </w:rPr>
      </w:pPr>
      <w:r w:rsidRPr="0081015A">
        <w:rPr>
          <w:noProof/>
        </w:rPr>
        <w:t>3.</w:t>
      </w:r>
      <w:r w:rsidRPr="0081015A">
        <w:rPr>
          <w:noProof/>
        </w:rPr>
        <w:tab/>
        <w:t xml:space="preserve">Correia, A. W. </w:t>
      </w:r>
      <w:r w:rsidRPr="0081015A">
        <w:rPr>
          <w:i/>
          <w:iCs/>
          <w:noProof/>
        </w:rPr>
        <w:t>et al.</w:t>
      </w:r>
      <w:r w:rsidRPr="0081015A">
        <w:rPr>
          <w:noProof/>
        </w:rPr>
        <w:t xml:space="preserve"> Effect of air pollution control on life expectancy in the United States: an analysis of 545 U.S. counties for the period from 2000 to 2007. </w:t>
      </w:r>
      <w:r w:rsidRPr="0081015A">
        <w:rPr>
          <w:i/>
          <w:iCs/>
          <w:noProof/>
        </w:rPr>
        <w:t>Epidemiology</w:t>
      </w:r>
      <w:r w:rsidRPr="0081015A">
        <w:rPr>
          <w:noProof/>
        </w:rPr>
        <w:t xml:space="preserve"> (2013). doi:10.1097/EDE.0b013e3182770237</w:t>
      </w:r>
    </w:p>
    <w:p w14:paraId="2B2E4068" w14:textId="77777777" w:rsidR="0081015A" w:rsidRPr="0081015A" w:rsidRDefault="0081015A" w:rsidP="0081015A">
      <w:pPr>
        <w:widowControl w:val="0"/>
        <w:autoSpaceDE w:val="0"/>
        <w:autoSpaceDN w:val="0"/>
        <w:adjustRightInd w:val="0"/>
        <w:ind w:left="640" w:hanging="640"/>
        <w:rPr>
          <w:noProof/>
        </w:rPr>
      </w:pPr>
      <w:r w:rsidRPr="0081015A">
        <w:rPr>
          <w:noProof/>
        </w:rPr>
        <w:t>4.</w:t>
      </w:r>
      <w:r w:rsidRPr="0081015A">
        <w:rPr>
          <w:noProof/>
        </w:rPr>
        <w:tab/>
        <w:t xml:space="preserve">Bennett, J. E. </w:t>
      </w:r>
      <w:r w:rsidRPr="0081015A">
        <w:rPr>
          <w:i/>
          <w:iCs/>
          <w:noProof/>
        </w:rPr>
        <w:t>et al.</w:t>
      </w:r>
      <w:r w:rsidRPr="0081015A">
        <w:rPr>
          <w:noProof/>
        </w:rPr>
        <w:t xml:space="preserve"> National and county life expectancy loss from particulate matter pollution in the USA. </w:t>
      </w:r>
      <w:r w:rsidRPr="0081015A">
        <w:rPr>
          <w:i/>
          <w:iCs/>
          <w:noProof/>
        </w:rPr>
        <w:t>PLOS Med.</w:t>
      </w:r>
      <w:r w:rsidRPr="0081015A">
        <w:rPr>
          <w:noProof/>
        </w:rPr>
        <w:t xml:space="preserve"> (2019).</w:t>
      </w:r>
    </w:p>
    <w:p w14:paraId="28699C98" w14:textId="77777777" w:rsidR="0081015A" w:rsidRPr="0081015A" w:rsidRDefault="0081015A" w:rsidP="0081015A">
      <w:pPr>
        <w:widowControl w:val="0"/>
        <w:autoSpaceDE w:val="0"/>
        <w:autoSpaceDN w:val="0"/>
        <w:adjustRightInd w:val="0"/>
        <w:ind w:left="640" w:hanging="640"/>
        <w:rPr>
          <w:noProof/>
        </w:rPr>
      </w:pPr>
      <w:r w:rsidRPr="0081015A">
        <w:rPr>
          <w:noProof/>
        </w:rPr>
        <w:t>5.</w:t>
      </w:r>
      <w:r w:rsidRPr="0081015A">
        <w:rPr>
          <w:noProof/>
        </w:rPr>
        <w:tab/>
        <w:t xml:space="preserve">Kuulasmaa, K. </w:t>
      </w:r>
      <w:r w:rsidRPr="0081015A">
        <w:rPr>
          <w:i/>
          <w:iCs/>
          <w:noProof/>
        </w:rPr>
        <w:t>et al.</w:t>
      </w:r>
      <w:r w:rsidRPr="0081015A">
        <w:rPr>
          <w:noProof/>
        </w:rPr>
        <w:t xml:space="preserve"> Estimation of contribution of changes in classic risk factors to trends in coronary-event rates across the WHO MONICA Project populations. </w:t>
      </w:r>
      <w:r w:rsidRPr="0081015A">
        <w:rPr>
          <w:i/>
          <w:iCs/>
          <w:noProof/>
        </w:rPr>
        <w:t>Lancet</w:t>
      </w:r>
      <w:r w:rsidRPr="0081015A">
        <w:rPr>
          <w:noProof/>
        </w:rPr>
        <w:t xml:space="preserve"> (2000). doi:10.1016/S0140-6736(99)11180-2</w:t>
      </w:r>
    </w:p>
    <w:p w14:paraId="76A93048" w14:textId="77777777" w:rsidR="0081015A" w:rsidRPr="0081015A" w:rsidRDefault="0081015A" w:rsidP="0081015A">
      <w:pPr>
        <w:widowControl w:val="0"/>
        <w:autoSpaceDE w:val="0"/>
        <w:autoSpaceDN w:val="0"/>
        <w:adjustRightInd w:val="0"/>
        <w:ind w:left="640" w:hanging="640"/>
        <w:rPr>
          <w:noProof/>
        </w:rPr>
      </w:pPr>
      <w:r w:rsidRPr="0081015A">
        <w:rPr>
          <w:noProof/>
        </w:rPr>
        <w:t>6.</w:t>
      </w:r>
      <w:r w:rsidRPr="0081015A">
        <w:rPr>
          <w:noProof/>
        </w:rPr>
        <w:tab/>
        <w:t xml:space="preserve">Robertson, L. S. Reversal of the road death trend in the U.S. in 2015–2016: An examination of the climate and economic hypotheses. </w:t>
      </w:r>
      <w:r w:rsidRPr="0081015A">
        <w:rPr>
          <w:i/>
          <w:iCs/>
          <w:noProof/>
        </w:rPr>
        <w:t>J. Transp. Heal.</w:t>
      </w:r>
      <w:r w:rsidRPr="0081015A">
        <w:rPr>
          <w:noProof/>
        </w:rPr>
        <w:t xml:space="preserve"> (2018). doi:10.1016/j.jth.2018.04.005</w:t>
      </w:r>
    </w:p>
    <w:p w14:paraId="53AE3BC8" w14:textId="77777777" w:rsidR="0081015A" w:rsidRPr="0081015A" w:rsidRDefault="0081015A" w:rsidP="0081015A">
      <w:pPr>
        <w:widowControl w:val="0"/>
        <w:autoSpaceDE w:val="0"/>
        <w:autoSpaceDN w:val="0"/>
        <w:adjustRightInd w:val="0"/>
        <w:ind w:left="640" w:hanging="640"/>
        <w:rPr>
          <w:noProof/>
        </w:rPr>
      </w:pPr>
      <w:r w:rsidRPr="0081015A">
        <w:rPr>
          <w:noProof/>
        </w:rPr>
        <w:t>7.</w:t>
      </w:r>
      <w:r w:rsidRPr="0081015A">
        <w:rPr>
          <w:noProof/>
        </w:rPr>
        <w:tab/>
        <w:t xml:space="preserve">Burke, M. </w:t>
      </w:r>
      <w:r w:rsidRPr="0081015A">
        <w:rPr>
          <w:i/>
          <w:iCs/>
          <w:noProof/>
        </w:rPr>
        <w:t>et al.</w:t>
      </w:r>
      <w:r w:rsidRPr="0081015A">
        <w:rPr>
          <w:noProof/>
        </w:rPr>
        <w:t xml:space="preserve"> Higher temperatures increase suicide rates in the United States and Mexico. </w:t>
      </w:r>
      <w:r w:rsidRPr="0081015A">
        <w:rPr>
          <w:i/>
          <w:iCs/>
          <w:noProof/>
        </w:rPr>
        <w:t>Nat. Clim. Chang.</w:t>
      </w:r>
      <w:r w:rsidRPr="0081015A">
        <w:rPr>
          <w:noProof/>
        </w:rPr>
        <w:t xml:space="preserve"> (2018). doi:10.1038/s41558-018-0222-x</w:t>
      </w:r>
    </w:p>
    <w:p w14:paraId="5E384AC9" w14:textId="77777777" w:rsidR="0081015A" w:rsidRPr="0081015A" w:rsidRDefault="0081015A" w:rsidP="0081015A">
      <w:pPr>
        <w:widowControl w:val="0"/>
        <w:autoSpaceDE w:val="0"/>
        <w:autoSpaceDN w:val="0"/>
        <w:adjustRightInd w:val="0"/>
        <w:ind w:left="640" w:hanging="640"/>
        <w:rPr>
          <w:noProof/>
        </w:rPr>
      </w:pPr>
      <w:r w:rsidRPr="0081015A">
        <w:rPr>
          <w:noProof/>
        </w:rPr>
        <w:t>8.</w:t>
      </w:r>
      <w:r w:rsidRPr="0081015A">
        <w:rPr>
          <w:noProof/>
        </w:rPr>
        <w:tab/>
        <w:t xml:space="preserve">Kim, Y. </w:t>
      </w:r>
      <w:r w:rsidRPr="0081015A">
        <w:rPr>
          <w:i/>
          <w:iCs/>
          <w:noProof/>
        </w:rPr>
        <w:t>et al.</w:t>
      </w:r>
      <w:r w:rsidRPr="0081015A">
        <w:rPr>
          <w:noProof/>
        </w:rPr>
        <w:t xml:space="preserve"> Suicide and Ambient Temperature: A Multi-Country Multi-City Study. </w:t>
      </w:r>
      <w:r w:rsidRPr="0081015A">
        <w:rPr>
          <w:i/>
          <w:iCs/>
          <w:noProof/>
        </w:rPr>
        <w:t>Environ. Health Perspect.</w:t>
      </w:r>
      <w:r w:rsidRPr="0081015A">
        <w:rPr>
          <w:noProof/>
        </w:rPr>
        <w:t xml:space="preserve"> </w:t>
      </w:r>
      <w:r w:rsidRPr="0081015A">
        <w:rPr>
          <w:b/>
          <w:bCs/>
          <w:noProof/>
        </w:rPr>
        <w:t>127</w:t>
      </w:r>
      <w:r w:rsidRPr="0081015A">
        <w:rPr>
          <w:noProof/>
        </w:rPr>
        <w:t>, 117007 (2019).</w:t>
      </w:r>
    </w:p>
    <w:p w14:paraId="3099E6C6" w14:textId="77777777" w:rsidR="0081015A" w:rsidRPr="0081015A" w:rsidRDefault="0081015A" w:rsidP="0081015A">
      <w:pPr>
        <w:widowControl w:val="0"/>
        <w:autoSpaceDE w:val="0"/>
        <w:autoSpaceDN w:val="0"/>
        <w:adjustRightInd w:val="0"/>
        <w:ind w:left="640" w:hanging="640"/>
        <w:rPr>
          <w:noProof/>
        </w:rPr>
      </w:pPr>
      <w:r w:rsidRPr="0081015A">
        <w:rPr>
          <w:noProof/>
        </w:rPr>
        <w:t>9.</w:t>
      </w:r>
      <w:r w:rsidRPr="0081015A">
        <w:rPr>
          <w:noProof/>
        </w:rPr>
        <w:tab/>
        <w:t xml:space="preserve">Robertson, L. Climate change, weather and road deaths. </w:t>
      </w:r>
      <w:r w:rsidRPr="0081015A">
        <w:rPr>
          <w:i/>
          <w:iCs/>
          <w:noProof/>
        </w:rPr>
        <w:t>Inj. Prev.</w:t>
      </w:r>
      <w:r w:rsidRPr="0081015A">
        <w:rPr>
          <w:noProof/>
        </w:rPr>
        <w:t xml:space="preserve"> (2018). doi:10.1136/injuryprev-2017-042419</w:t>
      </w:r>
    </w:p>
    <w:p w14:paraId="1B370709" w14:textId="77777777" w:rsidR="0081015A" w:rsidRPr="0081015A" w:rsidRDefault="0081015A" w:rsidP="0081015A">
      <w:pPr>
        <w:widowControl w:val="0"/>
        <w:autoSpaceDE w:val="0"/>
        <w:autoSpaceDN w:val="0"/>
        <w:adjustRightInd w:val="0"/>
        <w:ind w:left="640" w:hanging="640"/>
        <w:rPr>
          <w:noProof/>
        </w:rPr>
      </w:pPr>
      <w:r w:rsidRPr="0081015A">
        <w:rPr>
          <w:noProof/>
        </w:rPr>
        <w:t>10.</w:t>
      </w:r>
      <w:r w:rsidRPr="0081015A">
        <w:rPr>
          <w:noProof/>
        </w:rPr>
        <w:tab/>
        <w:t xml:space="preserve">Cohen, A. J. </w:t>
      </w:r>
      <w:r w:rsidRPr="0081015A">
        <w:rPr>
          <w:i/>
          <w:iCs/>
          <w:noProof/>
        </w:rPr>
        <w:t>et al.</w:t>
      </w:r>
      <w:r w:rsidRPr="0081015A">
        <w:rPr>
          <w:noProof/>
        </w:rPr>
        <w:t xml:space="preserve"> Estimates and 25-year trends of the global burden of disease attributable to ambient air pollution: an analysis of data from the Global Burden of Diseases Study 2015. </w:t>
      </w:r>
      <w:r w:rsidRPr="0081015A">
        <w:rPr>
          <w:i/>
          <w:iCs/>
          <w:noProof/>
        </w:rPr>
        <w:t>Lancet</w:t>
      </w:r>
      <w:r w:rsidRPr="0081015A">
        <w:rPr>
          <w:noProof/>
        </w:rPr>
        <w:t xml:space="preserve"> (2017). doi:10.1016/S0140-6736(17)30505-6</w:t>
      </w:r>
    </w:p>
    <w:p w14:paraId="2915943A" w14:textId="77777777" w:rsidR="0081015A" w:rsidRPr="0081015A" w:rsidRDefault="0081015A" w:rsidP="0081015A">
      <w:pPr>
        <w:widowControl w:val="0"/>
        <w:autoSpaceDE w:val="0"/>
        <w:autoSpaceDN w:val="0"/>
        <w:adjustRightInd w:val="0"/>
        <w:ind w:left="640" w:hanging="640"/>
        <w:rPr>
          <w:noProof/>
        </w:rPr>
      </w:pPr>
      <w:r w:rsidRPr="0081015A">
        <w:rPr>
          <w:noProof/>
        </w:rPr>
        <w:t>11.</w:t>
      </w:r>
      <w:r w:rsidRPr="0081015A">
        <w:rPr>
          <w:noProof/>
        </w:rPr>
        <w:tab/>
        <w:t xml:space="preserve">Lim, S. S. </w:t>
      </w:r>
      <w:r w:rsidRPr="0081015A">
        <w:rPr>
          <w:i/>
          <w:iCs/>
          <w:noProof/>
        </w:rPr>
        <w:t>et al.</w:t>
      </w:r>
      <w:r w:rsidRPr="0081015A">
        <w:rPr>
          <w:noProof/>
        </w:rPr>
        <w:t xml:space="preserve"> A comparative risk assessment of burden of disease and injury attributable to 67 risk factors and risk factor clusters in 21 regions, 1990-2010: A systematic analysis for the Global Burden of Disease Study 2010. </w:t>
      </w:r>
      <w:r w:rsidRPr="0081015A">
        <w:rPr>
          <w:i/>
          <w:iCs/>
          <w:noProof/>
        </w:rPr>
        <w:t>Lancet</w:t>
      </w:r>
      <w:r w:rsidRPr="0081015A">
        <w:rPr>
          <w:noProof/>
        </w:rPr>
        <w:t xml:space="preserve"> (2012). doi:10.1016/S0140-6736(12)61766-8</w:t>
      </w:r>
    </w:p>
    <w:p w14:paraId="3BE43223" w14:textId="77777777" w:rsidR="0081015A" w:rsidRPr="0081015A" w:rsidRDefault="0081015A" w:rsidP="0081015A">
      <w:pPr>
        <w:widowControl w:val="0"/>
        <w:autoSpaceDE w:val="0"/>
        <w:autoSpaceDN w:val="0"/>
        <w:adjustRightInd w:val="0"/>
        <w:ind w:left="640" w:hanging="640"/>
        <w:rPr>
          <w:noProof/>
        </w:rPr>
      </w:pPr>
      <w:r w:rsidRPr="0081015A">
        <w:rPr>
          <w:noProof/>
        </w:rPr>
        <w:t>12.</w:t>
      </w:r>
      <w:r w:rsidRPr="0081015A">
        <w:rPr>
          <w:noProof/>
        </w:rPr>
        <w:tab/>
        <w:t xml:space="preserve">Murray, C. J. L., Ezzati, M., Lopez, A. D., Rodgers, A. &amp; Vander Hoorn, S. Comparative quantification of health risks: Conceptual framework and methodological issues. </w:t>
      </w:r>
      <w:r w:rsidRPr="0081015A">
        <w:rPr>
          <w:i/>
          <w:iCs/>
          <w:noProof/>
        </w:rPr>
        <w:t>Population Health Metrics</w:t>
      </w:r>
      <w:r w:rsidRPr="0081015A">
        <w:rPr>
          <w:noProof/>
        </w:rPr>
        <w:t xml:space="preserve"> (2003). doi:10.1186/1478-7954-1-1</w:t>
      </w:r>
    </w:p>
    <w:p w14:paraId="3C6443FA" w14:textId="77777777" w:rsidR="0081015A" w:rsidRPr="0081015A" w:rsidRDefault="0081015A" w:rsidP="0081015A">
      <w:pPr>
        <w:widowControl w:val="0"/>
        <w:autoSpaceDE w:val="0"/>
        <w:autoSpaceDN w:val="0"/>
        <w:adjustRightInd w:val="0"/>
        <w:ind w:left="640" w:hanging="640"/>
        <w:rPr>
          <w:noProof/>
        </w:rPr>
      </w:pPr>
      <w:r w:rsidRPr="0081015A">
        <w:rPr>
          <w:noProof/>
        </w:rPr>
        <w:t>13.</w:t>
      </w:r>
      <w:r w:rsidRPr="0081015A">
        <w:rPr>
          <w:noProof/>
        </w:rPr>
        <w:tab/>
        <w:t xml:space="preserve">Baldwin, J. W., Dessy, J. B., Vecchi, G. A. &amp; Oppenheimer, M. Temporally Compound Heat Wave Events and Global Warming: An Emerging Hazard. </w:t>
      </w:r>
      <w:r w:rsidRPr="0081015A">
        <w:rPr>
          <w:i/>
          <w:iCs/>
          <w:noProof/>
        </w:rPr>
        <w:t>Earth’s Futur.</w:t>
      </w:r>
      <w:r w:rsidRPr="0081015A">
        <w:rPr>
          <w:noProof/>
        </w:rPr>
        <w:t xml:space="preserve"> (2019). doi:10.1029/2018EF000989</w:t>
      </w:r>
    </w:p>
    <w:p w14:paraId="6D90B0CC" w14:textId="77777777" w:rsidR="0081015A" w:rsidRPr="0081015A" w:rsidRDefault="0081015A" w:rsidP="0081015A">
      <w:pPr>
        <w:widowControl w:val="0"/>
        <w:autoSpaceDE w:val="0"/>
        <w:autoSpaceDN w:val="0"/>
        <w:adjustRightInd w:val="0"/>
        <w:ind w:left="640" w:hanging="640"/>
        <w:rPr>
          <w:noProof/>
        </w:rPr>
      </w:pPr>
      <w:r w:rsidRPr="0081015A">
        <w:rPr>
          <w:noProof/>
        </w:rPr>
        <w:t>14.</w:t>
      </w:r>
      <w:r w:rsidRPr="0081015A">
        <w:rPr>
          <w:noProof/>
        </w:rPr>
        <w:tab/>
        <w:t xml:space="preserve">Lau, N. C. &amp; Nath, M. J. A model study of heat waves over North America: Meteorological aspects and projections for the twenty-first century. </w:t>
      </w:r>
      <w:r w:rsidRPr="0081015A">
        <w:rPr>
          <w:i/>
          <w:iCs/>
          <w:noProof/>
        </w:rPr>
        <w:t>J. Clim.</w:t>
      </w:r>
      <w:r w:rsidRPr="0081015A">
        <w:rPr>
          <w:noProof/>
        </w:rPr>
        <w:t xml:space="preserve"> (2012). doi:10.1175/JCLI-D-11-00575.1</w:t>
      </w:r>
    </w:p>
    <w:p w14:paraId="62DB8049" w14:textId="77777777" w:rsidR="0081015A" w:rsidRPr="0081015A" w:rsidRDefault="0081015A" w:rsidP="0081015A">
      <w:pPr>
        <w:widowControl w:val="0"/>
        <w:autoSpaceDE w:val="0"/>
        <w:autoSpaceDN w:val="0"/>
        <w:adjustRightInd w:val="0"/>
        <w:ind w:left="640" w:hanging="640"/>
        <w:rPr>
          <w:noProof/>
        </w:rPr>
      </w:pPr>
      <w:r w:rsidRPr="0081015A">
        <w:rPr>
          <w:noProof/>
        </w:rPr>
        <w:t>15.</w:t>
      </w:r>
      <w:r w:rsidRPr="0081015A">
        <w:rPr>
          <w:noProof/>
        </w:rPr>
        <w:tab/>
        <w:t xml:space="preserve">Bailis, R., Ezzati, M. &amp; Kammen, D. M. Mortality and greenhouse gas impacts of biomass and petroleum energy futures in Africa. </w:t>
      </w:r>
      <w:r w:rsidRPr="0081015A">
        <w:rPr>
          <w:i/>
          <w:iCs/>
          <w:noProof/>
        </w:rPr>
        <w:t>Science (80-. ).</w:t>
      </w:r>
      <w:r w:rsidRPr="0081015A">
        <w:rPr>
          <w:noProof/>
        </w:rPr>
        <w:t xml:space="preserve"> (2005). doi:10.1126/science.1106881</w:t>
      </w:r>
    </w:p>
    <w:p w14:paraId="19D56C3B" w14:textId="77777777" w:rsidR="0081015A" w:rsidRPr="0081015A" w:rsidRDefault="0081015A" w:rsidP="0081015A">
      <w:pPr>
        <w:widowControl w:val="0"/>
        <w:autoSpaceDE w:val="0"/>
        <w:autoSpaceDN w:val="0"/>
        <w:adjustRightInd w:val="0"/>
        <w:ind w:left="640" w:hanging="640"/>
        <w:rPr>
          <w:noProof/>
        </w:rPr>
      </w:pPr>
      <w:r w:rsidRPr="0081015A">
        <w:rPr>
          <w:noProof/>
        </w:rPr>
        <w:t>16.</w:t>
      </w:r>
      <w:r w:rsidRPr="0081015A">
        <w:rPr>
          <w:noProof/>
        </w:rPr>
        <w:tab/>
        <w:t xml:space="preserve">Kontis, V. </w:t>
      </w:r>
      <w:r w:rsidRPr="0081015A">
        <w:rPr>
          <w:i/>
          <w:iCs/>
          <w:noProof/>
        </w:rPr>
        <w:t>et al.</w:t>
      </w:r>
      <w:r w:rsidRPr="0081015A">
        <w:rPr>
          <w:noProof/>
        </w:rPr>
        <w:t xml:space="preserve"> Contribution of six risk factors to achieving the 25×25 non-communicable disease mortality reduction target: A modelling study. </w:t>
      </w:r>
      <w:r w:rsidRPr="0081015A">
        <w:rPr>
          <w:i/>
          <w:iCs/>
          <w:noProof/>
        </w:rPr>
        <w:t>Lancet</w:t>
      </w:r>
      <w:r w:rsidRPr="0081015A">
        <w:rPr>
          <w:noProof/>
        </w:rPr>
        <w:t xml:space="preserve"> (2014). doi:10.1016/S0140-6736(14)60616-4</w:t>
      </w:r>
    </w:p>
    <w:p w14:paraId="2BA5C2A4" w14:textId="77777777" w:rsidR="0081015A" w:rsidRPr="0081015A" w:rsidRDefault="0081015A" w:rsidP="0081015A">
      <w:pPr>
        <w:widowControl w:val="0"/>
        <w:autoSpaceDE w:val="0"/>
        <w:autoSpaceDN w:val="0"/>
        <w:adjustRightInd w:val="0"/>
        <w:ind w:left="640" w:hanging="640"/>
        <w:rPr>
          <w:noProof/>
        </w:rPr>
      </w:pPr>
      <w:r w:rsidRPr="0081015A">
        <w:rPr>
          <w:noProof/>
        </w:rPr>
        <w:t>17.</w:t>
      </w:r>
      <w:r w:rsidRPr="0081015A">
        <w:rPr>
          <w:noProof/>
        </w:rPr>
        <w:tab/>
        <w:t xml:space="preserve">Foreman, K. J., Li, G., Best, N. &amp; Ezzati, M. Small area forecasts of cause-specific mortality: application of a Bayesian hierarchical model to US vital registration data. </w:t>
      </w:r>
      <w:r w:rsidRPr="0081015A">
        <w:rPr>
          <w:i/>
          <w:iCs/>
          <w:noProof/>
        </w:rPr>
        <w:t>J. R. Stat. Soc. Ser. C Appl. Stat.</w:t>
      </w:r>
      <w:r w:rsidRPr="0081015A">
        <w:rPr>
          <w:noProof/>
        </w:rPr>
        <w:t xml:space="preserve"> (2017). doi:10.1111/rssc.12157</w:t>
      </w:r>
    </w:p>
    <w:p w14:paraId="1128D1B1" w14:textId="77777777" w:rsidR="0081015A" w:rsidRPr="0081015A" w:rsidRDefault="0081015A" w:rsidP="0081015A">
      <w:pPr>
        <w:widowControl w:val="0"/>
        <w:autoSpaceDE w:val="0"/>
        <w:autoSpaceDN w:val="0"/>
        <w:adjustRightInd w:val="0"/>
        <w:ind w:left="640" w:hanging="640"/>
        <w:rPr>
          <w:noProof/>
        </w:rPr>
      </w:pPr>
      <w:r w:rsidRPr="0081015A">
        <w:rPr>
          <w:noProof/>
        </w:rPr>
        <w:t>18.</w:t>
      </w:r>
      <w:r w:rsidRPr="0081015A">
        <w:rPr>
          <w:noProof/>
        </w:rPr>
        <w:tab/>
        <w:t xml:space="preserve">Kontis, V. </w:t>
      </w:r>
      <w:r w:rsidRPr="0081015A">
        <w:rPr>
          <w:i/>
          <w:iCs/>
          <w:noProof/>
        </w:rPr>
        <w:t>et al.</w:t>
      </w:r>
      <w:r w:rsidRPr="0081015A">
        <w:rPr>
          <w:noProof/>
        </w:rPr>
        <w:t xml:space="preserve"> Future life expectancy in 35 industrialised countries: projections with a Bayesian model ensemble. </w:t>
      </w:r>
      <w:r w:rsidRPr="0081015A">
        <w:rPr>
          <w:i/>
          <w:iCs/>
          <w:noProof/>
        </w:rPr>
        <w:t>Lancet</w:t>
      </w:r>
      <w:r w:rsidRPr="0081015A">
        <w:rPr>
          <w:noProof/>
        </w:rPr>
        <w:t xml:space="preserve"> (2017). doi:10.1016/S0140-6736(16)32381-9</w:t>
      </w:r>
    </w:p>
    <w:p w14:paraId="66012B0C" w14:textId="77777777" w:rsidR="0081015A" w:rsidRPr="0081015A" w:rsidRDefault="0081015A" w:rsidP="0081015A">
      <w:pPr>
        <w:widowControl w:val="0"/>
        <w:autoSpaceDE w:val="0"/>
        <w:autoSpaceDN w:val="0"/>
        <w:adjustRightInd w:val="0"/>
        <w:ind w:left="640" w:hanging="640"/>
        <w:rPr>
          <w:noProof/>
        </w:rPr>
      </w:pPr>
      <w:r w:rsidRPr="0081015A">
        <w:rPr>
          <w:noProof/>
        </w:rPr>
        <w:lastRenderedPageBreak/>
        <w:t>19.</w:t>
      </w:r>
      <w:r w:rsidRPr="0081015A">
        <w:rPr>
          <w:noProof/>
        </w:rPr>
        <w:tab/>
        <w:t xml:space="preserve">Bennett, J. E. </w:t>
      </w:r>
      <w:r w:rsidRPr="0081015A">
        <w:rPr>
          <w:i/>
          <w:iCs/>
          <w:noProof/>
        </w:rPr>
        <w:t>et al.</w:t>
      </w:r>
      <w:r w:rsidRPr="0081015A">
        <w:rPr>
          <w:noProof/>
        </w:rPr>
        <w:t xml:space="preserve"> The future of life expectancy and life expectancy inequalities in England and Wales: Bayesian spatiotemporal forecasting. </w:t>
      </w:r>
      <w:r w:rsidRPr="0081015A">
        <w:rPr>
          <w:i/>
          <w:iCs/>
          <w:noProof/>
        </w:rPr>
        <w:t>Lancet</w:t>
      </w:r>
      <w:r w:rsidRPr="0081015A">
        <w:rPr>
          <w:noProof/>
        </w:rPr>
        <w:t xml:space="preserve"> (2015). doi:10.1016/S0140-6736(15)60296-3</w:t>
      </w:r>
    </w:p>
    <w:p w14:paraId="4C890BA2" w14:textId="55DD4A98" w:rsidR="002C64F6" w:rsidRDefault="00A62CA7" w:rsidP="0081015A">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8"/>
      <w:footerReference w:type="default" r:id="rId9"/>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893547" w14:textId="77777777" w:rsidR="005E4EEF" w:rsidRDefault="005E4EEF">
      <w:r>
        <w:separator/>
      </w:r>
    </w:p>
  </w:endnote>
  <w:endnote w:type="continuationSeparator" w:id="0">
    <w:p w14:paraId="39FA5FD1" w14:textId="77777777" w:rsidR="005E4EEF" w:rsidRDefault="005E4EEF">
      <w:r>
        <w:continuationSeparator/>
      </w:r>
    </w:p>
  </w:endnote>
  <w:endnote w:type="continuationNotice" w:id="1">
    <w:p w14:paraId="47AB62BD" w14:textId="77777777" w:rsidR="005E4EEF" w:rsidRDefault="005E4E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24737F1"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795D">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09E62" w14:textId="77777777" w:rsidR="005E4EEF" w:rsidRDefault="005E4EEF">
      <w:r>
        <w:separator/>
      </w:r>
    </w:p>
  </w:footnote>
  <w:footnote w:type="continuationSeparator" w:id="0">
    <w:p w14:paraId="4A460B1E" w14:textId="77777777" w:rsidR="005E4EEF" w:rsidRDefault="005E4EEF">
      <w:r>
        <w:continuationSeparator/>
      </w:r>
    </w:p>
  </w:footnote>
  <w:footnote w:type="continuationNotice" w:id="1">
    <w:p w14:paraId="3E7BACA7" w14:textId="77777777" w:rsidR="005E4EEF" w:rsidRDefault="005E4EEF"/>
  </w:footnote>
  <w:footnote w:id="2">
    <w:p w14:paraId="79BD4E21" w14:textId="77777777" w:rsidR="00D21FA0" w:rsidRDefault="00D21FA0" w:rsidP="00D21FA0">
      <w:pPr>
        <w:pStyle w:val="FootnoteText"/>
        <w:jc w:val="both"/>
      </w:pPr>
      <w:r w:rsidRPr="00997A0C">
        <w:rPr>
          <w:rStyle w:val="FootnoteReference"/>
        </w:rPr>
        <w:footnoteRef/>
      </w:r>
      <w:r>
        <w:t xml:space="preserve"> As incorrectly stated in the letter by Mitchell and colleagues, computational considerations had no bearing on this choice. Rather, these considerations together with small number of events, when divided by age group, sex and injury type, made it difficult to fit a model to all 3000+ counties.</w:t>
      </w:r>
    </w:p>
  </w:footnote>
  <w:footnote w:id="3">
    <w:p w14:paraId="20A35844" w14:textId="19564FB7" w:rsidR="005B72CC" w:rsidRPr="005B72CC" w:rsidRDefault="005B72CC">
      <w:pPr>
        <w:pStyle w:val="FootnoteText"/>
        <w:rPr>
          <w:lang w:val="en-US"/>
        </w:rPr>
      </w:pPr>
      <w:r w:rsidRPr="00997A0C">
        <w:rPr>
          <w:rStyle w:val="FootnoteReference"/>
        </w:rPr>
        <w:footnoteRef/>
      </w:r>
      <w:r>
        <w:t xml:space="preserve"> </w:t>
      </w:r>
      <w:r w:rsidRPr="005B72CC">
        <w:t>Our computer code is available on an open access basis (http://globalenvhealth.org/code-data-download/) and can be used to consider alternative functional forms.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4BE3"/>
    <w:rsid w:val="00587168"/>
    <w:rsid w:val="0058786F"/>
    <w:rsid w:val="0059053C"/>
    <w:rsid w:val="00591920"/>
    <w:rsid w:val="005922A2"/>
    <w:rsid w:val="00593246"/>
    <w:rsid w:val="00595961"/>
    <w:rsid w:val="00596B0D"/>
    <w:rsid w:val="00597846"/>
    <w:rsid w:val="00597A2E"/>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2A36"/>
    <w:rsid w:val="00653262"/>
    <w:rsid w:val="00655141"/>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4167"/>
    <w:rsid w:val="008B4CDA"/>
    <w:rsid w:val="008B50B6"/>
    <w:rsid w:val="008B6368"/>
    <w:rsid w:val="008B63BE"/>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4E2E"/>
    <w:rsid w:val="00965777"/>
    <w:rsid w:val="009678D3"/>
    <w:rsid w:val="00971FE4"/>
    <w:rsid w:val="00973F5B"/>
    <w:rsid w:val="0097570B"/>
    <w:rsid w:val="00977058"/>
    <w:rsid w:val="009771CB"/>
    <w:rsid w:val="00977586"/>
    <w:rsid w:val="009801F5"/>
    <w:rsid w:val="00981B2C"/>
    <w:rsid w:val="0098425A"/>
    <w:rsid w:val="00984C48"/>
    <w:rsid w:val="00984FB4"/>
    <w:rsid w:val="00985C4D"/>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96E28"/>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AD6"/>
    <w:rsid w:val="00E73281"/>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1C59"/>
    <w:rsid w:val="00EE2160"/>
    <w:rsid w:val="00EE3A9D"/>
    <w:rsid w:val="00EE4777"/>
    <w:rsid w:val="00EE5907"/>
    <w:rsid w:val="00EE59A1"/>
    <w:rsid w:val="00EE6FBE"/>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CB39B-6F37-964C-A747-704F69D15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14098</Words>
  <Characters>80364</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3</cp:revision>
  <cp:lastPrinted>2019-04-24T23:05:00Z</cp:lastPrinted>
  <dcterms:created xsi:type="dcterms:W3CDTF">2020-05-10T19:40:00Z</dcterms:created>
  <dcterms:modified xsi:type="dcterms:W3CDTF">2020-05-10T19:40:00Z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