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159479" w14:textId="0C7CB947" w:rsidR="00413B5E" w:rsidRPr="00115046" w:rsidRDefault="00413B5E" w:rsidP="00115046">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Classification: </w:t>
      </w:r>
      <w:r w:rsidRPr="00C0501F">
        <w:rPr>
          <w:rFonts w:ascii="Times New Roman" w:hAnsi="Times New Roman"/>
          <w:b/>
          <w:color w:val="000000" w:themeColor="text1"/>
          <w:sz w:val="24"/>
          <w:szCs w:val="24"/>
          <w:lang w:val="en-US"/>
        </w:rPr>
        <w:tab/>
      </w:r>
      <w:r w:rsidRPr="00C0501F">
        <w:rPr>
          <w:rFonts w:ascii="Times New Roman" w:hAnsi="Times New Roman"/>
          <w:color w:val="000000" w:themeColor="text1"/>
          <w:sz w:val="24"/>
          <w:szCs w:val="24"/>
          <w:lang w:val="en-US"/>
        </w:rPr>
        <w:t>Biological Sciences (Ecology)</w:t>
      </w:r>
    </w:p>
    <w:p w14:paraId="1A5544B6" w14:textId="77777777" w:rsidR="00413B5E" w:rsidRPr="00C0501F" w:rsidRDefault="00413B5E" w:rsidP="00604288">
      <w:pPr>
        <w:spacing w:after="0" w:line="240" w:lineRule="auto"/>
        <w:ind w:left="1440" w:firstLine="720"/>
        <w:jc w:val="both"/>
        <w:outlineLvl w:val="0"/>
        <w:rPr>
          <w:rFonts w:ascii="Times New Roman" w:hAnsi="Times New Roman"/>
          <w:color w:val="000000" w:themeColor="text1"/>
          <w:sz w:val="24"/>
          <w:szCs w:val="24"/>
          <w:lang w:val="en-US"/>
        </w:rPr>
      </w:pPr>
    </w:p>
    <w:p w14:paraId="1C56EFEF" w14:textId="675DE355" w:rsidR="000210D1" w:rsidRPr="00C0501F" w:rsidRDefault="005C285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Main title: </w:t>
      </w:r>
      <w:r w:rsidR="000210D1" w:rsidRPr="00C0501F">
        <w:rPr>
          <w:rFonts w:ascii="Times New Roman" w:hAnsi="Times New Roman"/>
          <w:b/>
          <w:color w:val="000000" w:themeColor="text1"/>
          <w:sz w:val="24"/>
          <w:szCs w:val="24"/>
          <w:lang w:val="en-US"/>
        </w:rPr>
        <w:t xml:space="preserve">Seasonal dynamics of mortality in the </w:t>
      </w:r>
      <w:r w:rsidR="00386081" w:rsidRPr="00C0501F">
        <w:rPr>
          <w:rFonts w:ascii="Times New Roman" w:hAnsi="Times New Roman"/>
          <w:b/>
          <w:color w:val="000000" w:themeColor="text1"/>
          <w:sz w:val="24"/>
          <w:szCs w:val="24"/>
          <w:lang w:val="en-US"/>
        </w:rPr>
        <w:t>USA</w:t>
      </w:r>
      <w:r w:rsidR="000210D1" w:rsidRPr="00C0501F">
        <w:rPr>
          <w:rFonts w:ascii="Times New Roman" w:hAnsi="Times New Roman"/>
          <w:b/>
          <w:color w:val="000000" w:themeColor="text1"/>
          <w:sz w:val="24"/>
          <w:szCs w:val="24"/>
          <w:lang w:val="en-US"/>
        </w:rPr>
        <w:t xml:space="preserve"> from 1982 to 2013</w:t>
      </w:r>
    </w:p>
    <w:p w14:paraId="05291D94" w14:textId="18223DDA" w:rsidR="005C2851" w:rsidRPr="00C0501F" w:rsidRDefault="005C285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Short title: Seasonal dynamics of mortality in the </w:t>
      </w:r>
      <w:r w:rsidR="00386081" w:rsidRPr="00C0501F">
        <w:rPr>
          <w:rFonts w:ascii="Times New Roman" w:hAnsi="Times New Roman"/>
          <w:b/>
          <w:color w:val="000000" w:themeColor="text1"/>
          <w:sz w:val="24"/>
          <w:szCs w:val="24"/>
          <w:lang w:val="en-US"/>
        </w:rPr>
        <w:t xml:space="preserve">USA </w:t>
      </w:r>
    </w:p>
    <w:p w14:paraId="5439A905" w14:textId="77777777" w:rsidR="00413B5E" w:rsidRPr="00C0501F" w:rsidRDefault="00413B5E" w:rsidP="00604288">
      <w:pPr>
        <w:spacing w:after="0" w:line="240" w:lineRule="auto"/>
        <w:jc w:val="both"/>
        <w:outlineLvl w:val="0"/>
        <w:rPr>
          <w:rFonts w:ascii="Times New Roman" w:hAnsi="Times New Roman"/>
          <w:b/>
          <w:color w:val="000000" w:themeColor="text1"/>
          <w:sz w:val="24"/>
          <w:szCs w:val="24"/>
          <w:lang w:val="en-US"/>
        </w:rPr>
      </w:pPr>
    </w:p>
    <w:p w14:paraId="4E3F7259" w14:textId="7A10933D" w:rsidR="000210D1" w:rsidRPr="00C0501F" w:rsidRDefault="000210D1" w:rsidP="00604288">
      <w:pPr>
        <w:spacing w:after="0" w:line="240" w:lineRule="auto"/>
        <w:jc w:val="both"/>
        <w:outlineLvl w:val="0"/>
        <w:rPr>
          <w:rFonts w:ascii="Times New Roman" w:hAnsi="Times New Roman"/>
          <w:color w:val="000000" w:themeColor="text1"/>
          <w:sz w:val="24"/>
          <w:szCs w:val="24"/>
          <w:vertAlign w:val="superscript"/>
          <w:lang w:val="en-US"/>
        </w:rPr>
      </w:pPr>
      <w:r w:rsidRPr="00C0501F">
        <w:rPr>
          <w:rFonts w:ascii="Times New Roman" w:hAnsi="Times New Roman"/>
          <w:color w:val="000000" w:themeColor="text1"/>
          <w:sz w:val="24"/>
          <w:szCs w:val="24"/>
          <w:lang w:val="en-US"/>
        </w:rPr>
        <w:t>Robbie M Parks</w:t>
      </w:r>
      <w:r w:rsidRPr="00C0501F">
        <w:rPr>
          <w:rFonts w:ascii="Times New Roman" w:hAnsi="Times New Roman"/>
          <w:color w:val="000000" w:themeColor="text1"/>
          <w:sz w:val="24"/>
          <w:szCs w:val="24"/>
          <w:vertAlign w:val="superscript"/>
          <w:lang w:val="en-US"/>
        </w:rPr>
        <w:t>1,2</w:t>
      </w:r>
      <w:r w:rsidRPr="00C0501F">
        <w:rPr>
          <w:rFonts w:ascii="Times New Roman" w:hAnsi="Times New Roman"/>
          <w:color w:val="000000" w:themeColor="text1"/>
          <w:sz w:val="24"/>
          <w:szCs w:val="24"/>
          <w:lang w:val="en-US"/>
        </w:rPr>
        <w:t>, James E Bennett</w:t>
      </w:r>
      <w:r w:rsidRPr="00C0501F">
        <w:rPr>
          <w:rFonts w:ascii="Times New Roman" w:hAnsi="Times New Roman"/>
          <w:color w:val="000000" w:themeColor="text1"/>
          <w:sz w:val="24"/>
          <w:szCs w:val="24"/>
          <w:vertAlign w:val="superscript"/>
          <w:lang w:val="en-US"/>
        </w:rPr>
        <w:t>1,2,3</w:t>
      </w:r>
      <w:r w:rsidRPr="00C0501F">
        <w:rPr>
          <w:rFonts w:ascii="Times New Roman" w:hAnsi="Times New Roman"/>
          <w:color w:val="000000" w:themeColor="text1"/>
          <w:sz w:val="24"/>
          <w:szCs w:val="24"/>
          <w:lang w:val="en-US"/>
        </w:rPr>
        <w:t>, Kyle J Foreman</w:t>
      </w:r>
      <w:r w:rsidRPr="00C0501F">
        <w:rPr>
          <w:rFonts w:ascii="Times New Roman" w:hAnsi="Times New Roman"/>
          <w:color w:val="000000" w:themeColor="text1"/>
          <w:sz w:val="24"/>
          <w:szCs w:val="24"/>
          <w:vertAlign w:val="superscript"/>
          <w:lang w:val="en-US"/>
        </w:rPr>
        <w:t>1,2,4</w:t>
      </w:r>
      <w:r w:rsidRPr="00C0501F">
        <w:rPr>
          <w:rFonts w:ascii="Times New Roman" w:hAnsi="Times New Roman"/>
          <w:color w:val="000000" w:themeColor="text1"/>
          <w:sz w:val="24"/>
          <w:szCs w:val="24"/>
          <w:lang w:val="en-US"/>
        </w:rPr>
        <w:t>, Ralf Toumi</w:t>
      </w:r>
      <w:r w:rsidRPr="00C0501F">
        <w:rPr>
          <w:rFonts w:ascii="Times New Roman" w:hAnsi="Times New Roman"/>
          <w:color w:val="000000" w:themeColor="text1"/>
          <w:sz w:val="24"/>
          <w:szCs w:val="24"/>
          <w:vertAlign w:val="superscript"/>
          <w:lang w:val="en-US"/>
        </w:rPr>
        <w:t>5</w:t>
      </w:r>
      <w:r w:rsidRPr="00C0501F">
        <w:rPr>
          <w:rFonts w:ascii="Times New Roman" w:hAnsi="Times New Roman"/>
          <w:color w:val="000000" w:themeColor="text1"/>
          <w:sz w:val="24"/>
          <w:szCs w:val="24"/>
          <w:lang w:val="en-US"/>
        </w:rPr>
        <w:t>, Majid Ezzati</w:t>
      </w:r>
      <w:r w:rsidRPr="00C0501F">
        <w:rPr>
          <w:rFonts w:ascii="Times New Roman" w:hAnsi="Times New Roman"/>
          <w:color w:val="000000" w:themeColor="text1"/>
          <w:sz w:val="24"/>
          <w:szCs w:val="24"/>
          <w:vertAlign w:val="superscript"/>
          <w:lang w:val="en-US"/>
        </w:rPr>
        <w:t>1,2,3*</w:t>
      </w:r>
    </w:p>
    <w:p w14:paraId="4712E526" w14:textId="77777777" w:rsidR="00413B5E" w:rsidRPr="00C0501F" w:rsidRDefault="00413B5E" w:rsidP="00604288">
      <w:pPr>
        <w:spacing w:after="0" w:line="240" w:lineRule="auto"/>
        <w:jc w:val="both"/>
        <w:outlineLvl w:val="0"/>
        <w:rPr>
          <w:rFonts w:ascii="Times New Roman" w:hAnsi="Times New Roman"/>
          <w:color w:val="000000" w:themeColor="text1"/>
          <w:sz w:val="24"/>
          <w:szCs w:val="24"/>
          <w:lang w:val="en-US"/>
        </w:rPr>
      </w:pPr>
    </w:p>
    <w:p w14:paraId="7312A7F4" w14:textId="04E8ADF1"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1 </w:t>
      </w:r>
      <w:r w:rsidRPr="00C0501F">
        <w:rPr>
          <w:rFonts w:ascii="Times New Roman" w:hAnsi="Times New Roman"/>
          <w:color w:val="000000" w:themeColor="text1"/>
          <w:sz w:val="24"/>
          <w:szCs w:val="24"/>
          <w:lang w:val="en-US"/>
        </w:rPr>
        <w:t>MRC-PHE Centre for Environment and Health, Imperial College London, London, United Kingdom</w:t>
      </w:r>
      <w:r w:rsidR="001D0F84" w:rsidRPr="00C0501F">
        <w:rPr>
          <w:rFonts w:ascii="Times New Roman" w:hAnsi="Times New Roman"/>
          <w:color w:val="000000" w:themeColor="text1"/>
          <w:sz w:val="24"/>
          <w:szCs w:val="24"/>
          <w:lang w:val="en-US"/>
        </w:rPr>
        <w:t>, W2 1PG</w:t>
      </w:r>
    </w:p>
    <w:p w14:paraId="2DC243DD" w14:textId="673FE5E3"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2 </w:t>
      </w:r>
      <w:r w:rsidRPr="00C0501F">
        <w:rPr>
          <w:rFonts w:ascii="Times New Roman" w:hAnsi="Times New Roman"/>
          <w:color w:val="000000" w:themeColor="text1"/>
          <w:sz w:val="24"/>
          <w:szCs w:val="24"/>
          <w:lang w:val="en-US"/>
        </w:rPr>
        <w:t>Department of Epidemiology and Biostatistics, School of Public Health, Imperial College London, London, United Kingdom</w:t>
      </w:r>
      <w:r w:rsidR="00B461EC" w:rsidRPr="00C0501F">
        <w:rPr>
          <w:rFonts w:ascii="Times New Roman" w:hAnsi="Times New Roman"/>
          <w:color w:val="000000" w:themeColor="text1"/>
          <w:sz w:val="24"/>
          <w:szCs w:val="24"/>
          <w:lang w:val="en-US"/>
        </w:rPr>
        <w:t>, W2 1PG</w:t>
      </w:r>
    </w:p>
    <w:p w14:paraId="10B23175" w14:textId="0A00D240"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3 </w:t>
      </w:r>
      <w:r w:rsidRPr="00C0501F">
        <w:rPr>
          <w:rFonts w:ascii="Times New Roman" w:hAnsi="Times New Roman"/>
          <w:color w:val="000000" w:themeColor="text1"/>
          <w:sz w:val="24"/>
          <w:szCs w:val="24"/>
          <w:lang w:val="en-US"/>
        </w:rPr>
        <w:t>WHO Collaborating Centre on NCD Surveillance and Epidemiology, Imperial College London, London, United Kingdom</w:t>
      </w:r>
      <w:r w:rsidR="00AF552B" w:rsidRPr="00C0501F">
        <w:rPr>
          <w:rFonts w:ascii="Times New Roman" w:hAnsi="Times New Roman"/>
          <w:color w:val="000000" w:themeColor="text1"/>
          <w:sz w:val="24"/>
          <w:szCs w:val="24"/>
          <w:lang w:val="en-US"/>
        </w:rPr>
        <w:t>, W2 1PG</w:t>
      </w:r>
    </w:p>
    <w:p w14:paraId="1F200383" w14:textId="20D2FACF"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4 </w:t>
      </w:r>
      <w:r w:rsidRPr="00C0501F">
        <w:rPr>
          <w:rFonts w:ascii="Times New Roman" w:hAnsi="Times New Roman"/>
          <w:color w:val="000000" w:themeColor="text1"/>
          <w:sz w:val="24"/>
          <w:szCs w:val="24"/>
          <w:lang w:val="en-US"/>
        </w:rPr>
        <w:t>Institute for Health Metrics and Evaluation, University of Washington, Seattle, USA</w:t>
      </w:r>
      <w:r w:rsidR="00A43C02" w:rsidRPr="00C0501F">
        <w:rPr>
          <w:rFonts w:ascii="Times New Roman" w:hAnsi="Times New Roman"/>
          <w:color w:val="000000" w:themeColor="text1"/>
          <w:sz w:val="24"/>
          <w:szCs w:val="24"/>
          <w:lang w:val="en-US"/>
        </w:rPr>
        <w:t>, WA 98121</w:t>
      </w:r>
    </w:p>
    <w:p w14:paraId="015BDC3A" w14:textId="3C1C551E" w:rsidR="00C57CDC"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5 </w:t>
      </w:r>
      <w:r w:rsidRPr="00C0501F">
        <w:rPr>
          <w:rFonts w:ascii="Times New Roman" w:hAnsi="Times New Roman"/>
          <w:color w:val="000000" w:themeColor="text1"/>
          <w:sz w:val="24"/>
          <w:szCs w:val="24"/>
          <w:lang w:val="en-US"/>
        </w:rPr>
        <w:t>Space and Atmospheric Physics, Imperial College London, London, United Kingdom</w:t>
      </w:r>
      <w:r w:rsidR="00A53CD7" w:rsidRPr="00C0501F">
        <w:rPr>
          <w:rFonts w:ascii="Times New Roman" w:hAnsi="Times New Roman"/>
          <w:color w:val="000000" w:themeColor="text1"/>
          <w:sz w:val="24"/>
          <w:szCs w:val="24"/>
          <w:lang w:val="en-US"/>
        </w:rPr>
        <w:t>, W7 2AZ</w:t>
      </w:r>
    </w:p>
    <w:p w14:paraId="76054332" w14:textId="77777777" w:rsidR="00413B5E" w:rsidRPr="00C0501F" w:rsidRDefault="00413B5E" w:rsidP="00604288">
      <w:pPr>
        <w:spacing w:after="0" w:line="240" w:lineRule="auto"/>
        <w:jc w:val="both"/>
        <w:rPr>
          <w:rFonts w:ascii="Times New Roman" w:hAnsi="Times New Roman"/>
          <w:color w:val="000000" w:themeColor="text1"/>
          <w:sz w:val="24"/>
          <w:szCs w:val="24"/>
          <w:lang w:val="en-US"/>
        </w:rPr>
      </w:pPr>
    </w:p>
    <w:p w14:paraId="4D8E15DD" w14:textId="7EFBED0E" w:rsidR="004873B6" w:rsidRPr="00A56493" w:rsidRDefault="00413B5E" w:rsidP="00A56493">
      <w:pPr>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Conflict of interest:</w:t>
      </w:r>
      <w:r w:rsidRPr="00C0501F">
        <w:rPr>
          <w:rFonts w:ascii="Times New Roman" w:hAnsi="Times New Roman"/>
          <w:sz w:val="24"/>
          <w:szCs w:val="24"/>
          <w:lang w:val="en-US"/>
        </w:rPr>
        <w:t xml:space="preserve"> None</w:t>
      </w:r>
    </w:p>
    <w:p w14:paraId="339F68DF" w14:textId="21C23896" w:rsidR="00AB3E0F" w:rsidRPr="00A56493" w:rsidRDefault="00413B5E" w:rsidP="00A56493">
      <w:pPr>
        <w:snapToGrid w:val="0"/>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Corresponding author:</w:t>
      </w:r>
      <w:r w:rsidRPr="00C0501F">
        <w:rPr>
          <w:rFonts w:ascii="Times New Roman" w:hAnsi="Times New Roman"/>
          <w:sz w:val="24"/>
          <w:szCs w:val="24"/>
          <w:lang w:val="en-US"/>
        </w:rPr>
        <w:t xml:space="preserve"> Majid Ezzati, Medical Faculty Building, Imperial College London, Norfolk Place, London W2 1PG, UK; +44-20-7594-0767; majid.ezzati@imperial.ac.uk</w:t>
      </w:r>
    </w:p>
    <w:p w14:paraId="559F193F" w14:textId="330187C4" w:rsidR="000171E9" w:rsidRPr="00C0501F" w:rsidRDefault="00C57CDC" w:rsidP="00604288">
      <w:pPr>
        <w:spacing w:after="0" w:line="24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Key</w:t>
      </w:r>
      <w:r w:rsidR="00AB3E0F" w:rsidRPr="00C0501F">
        <w:rPr>
          <w:rFonts w:ascii="Times New Roman" w:hAnsi="Times New Roman"/>
          <w:b/>
          <w:color w:val="000000" w:themeColor="text1"/>
          <w:sz w:val="24"/>
          <w:szCs w:val="24"/>
          <w:lang w:val="en-US"/>
        </w:rPr>
        <w:t xml:space="preserve"> words</w:t>
      </w:r>
      <w:r w:rsidR="00A56493">
        <w:rPr>
          <w:rFonts w:ascii="Times New Roman" w:hAnsi="Times New Roman"/>
          <w:b/>
          <w:color w:val="000000" w:themeColor="text1"/>
          <w:sz w:val="24"/>
          <w:szCs w:val="24"/>
          <w:lang w:val="en-US"/>
        </w:rPr>
        <w:t>:</w:t>
      </w:r>
    </w:p>
    <w:p w14:paraId="2A33804C" w14:textId="4EB16BC2" w:rsidR="000210D1" w:rsidRPr="00C0501F" w:rsidRDefault="00B86D7A"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Seasonality</w:t>
      </w:r>
      <w:r w:rsidR="000171E9" w:rsidRPr="00C0501F">
        <w:rPr>
          <w:rFonts w:ascii="Times New Roman" w:hAnsi="Times New Roman"/>
          <w:color w:val="000000" w:themeColor="text1"/>
          <w:sz w:val="24"/>
          <w:szCs w:val="24"/>
          <w:lang w:val="en-US"/>
        </w:rPr>
        <w:t>,</w:t>
      </w:r>
      <w:r w:rsidR="00325BCE" w:rsidRPr="00C0501F">
        <w:rPr>
          <w:rFonts w:ascii="Times New Roman" w:hAnsi="Times New Roman"/>
          <w:color w:val="000000" w:themeColor="text1"/>
          <w:sz w:val="24"/>
          <w:szCs w:val="24"/>
          <w:lang w:val="en-US"/>
        </w:rPr>
        <w:t xml:space="preserve"> seasonal, seasonal dynamics,</w:t>
      </w:r>
      <w:r w:rsidR="000171E9" w:rsidRPr="00C0501F">
        <w:rPr>
          <w:rFonts w:ascii="Times New Roman" w:hAnsi="Times New Roman"/>
          <w:color w:val="000000" w:themeColor="text1"/>
          <w:sz w:val="24"/>
          <w:szCs w:val="24"/>
          <w:lang w:val="en-US"/>
        </w:rPr>
        <w:t xml:space="preserve"> </w:t>
      </w:r>
      <w:r w:rsidR="006445F8" w:rsidRPr="00C0501F">
        <w:rPr>
          <w:rFonts w:ascii="Times New Roman" w:hAnsi="Times New Roman"/>
          <w:color w:val="000000" w:themeColor="text1"/>
          <w:sz w:val="24"/>
          <w:szCs w:val="24"/>
          <w:lang w:val="en-US"/>
        </w:rPr>
        <w:t>mortality</w:t>
      </w:r>
      <w:r w:rsidRPr="00C0501F">
        <w:rPr>
          <w:rFonts w:ascii="Times New Roman" w:hAnsi="Times New Roman"/>
          <w:color w:val="000000" w:themeColor="text1"/>
          <w:sz w:val="24"/>
          <w:szCs w:val="24"/>
          <w:lang w:val="en-US"/>
        </w:rPr>
        <w:t xml:space="preserve">, </w:t>
      </w:r>
      <w:r w:rsidR="00325BCE" w:rsidRPr="00C0501F">
        <w:rPr>
          <w:rFonts w:ascii="Times New Roman" w:hAnsi="Times New Roman"/>
          <w:color w:val="000000" w:themeColor="text1"/>
          <w:sz w:val="24"/>
          <w:szCs w:val="24"/>
          <w:lang w:val="en-US"/>
        </w:rPr>
        <w:t xml:space="preserve">death rates, </w:t>
      </w:r>
      <w:r w:rsidRPr="00C0501F">
        <w:rPr>
          <w:rFonts w:ascii="Times New Roman" w:hAnsi="Times New Roman"/>
          <w:color w:val="000000" w:themeColor="text1"/>
          <w:sz w:val="24"/>
          <w:szCs w:val="24"/>
          <w:lang w:val="en-US"/>
        </w:rPr>
        <w:t>wavelet</w:t>
      </w:r>
      <w:r w:rsidR="00357AC1" w:rsidRPr="00C0501F">
        <w:rPr>
          <w:rFonts w:ascii="Times New Roman" w:hAnsi="Times New Roman"/>
          <w:color w:val="000000" w:themeColor="text1"/>
          <w:sz w:val="24"/>
          <w:szCs w:val="24"/>
          <w:lang w:val="en-US"/>
        </w:rPr>
        <w:t xml:space="preserve"> analysis</w:t>
      </w:r>
      <w:r w:rsidR="000210D1" w:rsidRPr="00C0501F">
        <w:rPr>
          <w:rFonts w:ascii="Times New Roman" w:hAnsi="Times New Roman"/>
          <w:b/>
          <w:color w:val="000000" w:themeColor="text1"/>
          <w:sz w:val="24"/>
          <w:szCs w:val="24"/>
          <w:lang w:val="en-US"/>
        </w:rPr>
        <w:br w:type="page"/>
      </w:r>
    </w:p>
    <w:p w14:paraId="0D79FC31" w14:textId="312BBAD4" w:rsidR="004A5074" w:rsidRPr="00C0501F" w:rsidRDefault="00A6117A" w:rsidP="00C33FFB">
      <w:pPr>
        <w:spacing w:after="0" w:line="48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lastRenderedPageBreak/>
        <w:t>Abstract</w:t>
      </w:r>
    </w:p>
    <w:p w14:paraId="46341449" w14:textId="36F9473C" w:rsidR="00773692" w:rsidRPr="00C0501F" w:rsidRDefault="00773692"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It has been </w:t>
      </w:r>
      <w:r w:rsidR="00C0501F"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C0501F">
        <w:rPr>
          <w:rFonts w:ascii="Times New Roman" w:hAnsi="Times New Roman"/>
          <w:color w:val="000000" w:themeColor="text1"/>
          <w:sz w:val="24"/>
          <w:szCs w:val="24"/>
          <w:lang w:val="en-US"/>
        </w:rPr>
        <w:instrText xml:space="preserve"> ADDIN EN.CITE </w:instrTex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C0501F">
        <w:rPr>
          <w:rFonts w:ascii="Times New Roman" w:hAnsi="Times New Roman"/>
          <w:color w:val="000000" w:themeColor="text1"/>
          <w:sz w:val="24"/>
          <w:szCs w:val="24"/>
          <w:lang w:val="en-US"/>
        </w:rPr>
        <w:instrText xml:space="preserve"> ADDIN EN.CITE.DATA </w:instrText>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Pr="00C0501F">
        <w:rPr>
          <w:rFonts w:ascii="Times New Roman" w:hAnsi="Times New Roman"/>
          <w:noProof/>
          <w:color w:val="000000" w:themeColor="text1"/>
          <w:sz w:val="24"/>
          <w:szCs w:val="24"/>
          <w:lang w:val="en-US"/>
        </w:rPr>
        <w:t>(1, 2)</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There is however limited data to </w:t>
      </w:r>
      <w:r w:rsidR="00236AF3" w:rsidRPr="00C0501F">
        <w:rPr>
          <w:rFonts w:ascii="Times New Roman" w:hAnsi="Times New Roman"/>
          <w:color w:val="000000" w:themeColor="text1"/>
          <w:sz w:val="24"/>
          <w:szCs w:val="24"/>
          <w:lang w:val="en-US"/>
        </w:rPr>
        <w:t>characterize</w:t>
      </w:r>
      <w:r w:rsidRPr="00C0501F">
        <w:rPr>
          <w:rFonts w:ascii="Times New Roman" w:hAnsi="Times New Roman"/>
          <w:color w:val="000000" w:themeColor="text1"/>
          <w:sz w:val="24"/>
          <w:szCs w:val="24"/>
          <w:lang w:val="en-US"/>
        </w:rPr>
        <w:t xml:space="preserve"> the seasonality of mortality in relation to</w:t>
      </w:r>
      <w:r w:rsidRPr="00C0501F" w:rsidDel="00C57E45">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age, sex, and local climate, or to understand how it has changed over time.  Here, we use geo-coded data on </w:t>
      </w:r>
      <w:r w:rsidR="00AA2F95" w:rsidRPr="00C0501F">
        <w:rPr>
          <w:rFonts w:ascii="Times New Roman" w:hAnsi="Times New Roman"/>
          <w:color w:val="000000" w:themeColor="text1"/>
          <w:sz w:val="24"/>
          <w:szCs w:val="24"/>
          <w:lang w:val="en-US"/>
        </w:rPr>
        <w:t xml:space="preserve">all </w:t>
      </w:r>
      <w:r w:rsidRPr="00C0501F">
        <w:rPr>
          <w:rFonts w:ascii="Times New Roman" w:hAnsi="Times New Roman"/>
          <w:color w:val="000000" w:themeColor="text1"/>
          <w:sz w:val="24"/>
          <w:szCs w:val="24"/>
          <w:lang w:val="en-US"/>
        </w:rPr>
        <w:t xml:space="preserve">deaths in the USA and wavelet analytical techniques to comprehensively </w:t>
      </w:r>
      <w:r w:rsidR="00236AF3" w:rsidRPr="00C0501F">
        <w:rPr>
          <w:rFonts w:ascii="Times New Roman" w:hAnsi="Times New Roman"/>
          <w:color w:val="000000" w:themeColor="text1"/>
          <w:sz w:val="24"/>
          <w:szCs w:val="24"/>
          <w:lang w:val="en-US"/>
        </w:rPr>
        <w:t>analyze</w:t>
      </w:r>
      <w:r w:rsidRPr="00C0501F">
        <w:rPr>
          <w:rFonts w:ascii="Times New Roman" w:hAnsi="Times New Roman"/>
          <w:color w:val="000000" w:themeColor="text1"/>
          <w:sz w:val="24"/>
          <w:szCs w:val="24"/>
          <w:lang w:val="en-US"/>
        </w:rPr>
        <w:t xml:space="preserve"> the seasonality of mortality by age group and sex from 1982 to 2013, nationally and in subnational climatic regions. Death rates in men and women older than 45 years exhibit statistically significant seasonality with peak in January/February and minimum in June/July. </w:t>
      </w:r>
      <w:r w:rsidR="00AA2F95" w:rsidRPr="00C0501F">
        <w:rPr>
          <w:rFonts w:ascii="Times New Roman" w:hAnsi="Times New Roman"/>
          <w:color w:val="000000" w:themeColor="text1"/>
          <w:sz w:val="24"/>
          <w:szCs w:val="24"/>
          <w:lang w:val="en-US"/>
        </w:rPr>
        <w:t>In these ages, p</w:t>
      </w:r>
      <w:r w:rsidRPr="00C0501F">
        <w:rPr>
          <w:rFonts w:ascii="Times New Roman" w:hAnsi="Times New Roman"/>
          <w:color w:val="000000" w:themeColor="text1"/>
          <w:sz w:val="24"/>
          <w:szCs w:val="24"/>
          <w:lang w:val="en-US"/>
        </w:rPr>
        <w:t>ercent difference in death rates between peak and minimum months declined by less than seven percentage points from 1982 to 2013 nationally, and was independent of temperature difference between these two months in different climate regions. Under five years of age, seasonality of mortality largely disappeared after the 1990s. In adolescents and young adults, especially in males, death rates peak</w:t>
      </w:r>
      <w:r w:rsidR="00421068" w:rsidRPr="00C0501F">
        <w:rPr>
          <w:rFonts w:ascii="Times New Roman" w:hAnsi="Times New Roman"/>
          <w:color w:val="000000" w:themeColor="text1"/>
          <w:sz w:val="24"/>
          <w:szCs w:val="24"/>
          <w:lang w:val="en-US"/>
        </w:rPr>
        <w:t>ed</w:t>
      </w:r>
      <w:r w:rsidRPr="00C0501F">
        <w:rPr>
          <w:rFonts w:ascii="Times New Roman" w:hAnsi="Times New Roman"/>
          <w:color w:val="000000" w:themeColor="text1"/>
          <w:sz w:val="24"/>
          <w:szCs w:val="24"/>
          <w:lang w:val="en-US"/>
        </w:rPr>
        <w:t xml:space="preserve"> in June/July and </w:t>
      </w:r>
      <w:r w:rsidR="00421068" w:rsidRPr="00C0501F">
        <w:rPr>
          <w:rFonts w:ascii="Times New Roman" w:hAnsi="Times New Roman"/>
          <w:color w:val="000000" w:themeColor="text1"/>
          <w:sz w:val="24"/>
          <w:szCs w:val="24"/>
          <w:lang w:val="en-US"/>
        </w:rPr>
        <w:t xml:space="preserve">were </w:t>
      </w:r>
      <w:r w:rsidRPr="00C0501F">
        <w:rPr>
          <w:rFonts w:ascii="Times New Roman" w:hAnsi="Times New Roman"/>
          <w:color w:val="000000" w:themeColor="text1"/>
          <w:sz w:val="24"/>
          <w:szCs w:val="24"/>
          <w:lang w:val="en-US"/>
        </w:rPr>
        <w:t xml:space="preserve">lowest in December/January, </w:t>
      </w:r>
      <w:r w:rsidR="00421068" w:rsidRPr="00C0501F">
        <w:rPr>
          <w:rFonts w:ascii="Times New Roman" w:hAnsi="Times New Roman"/>
          <w:color w:val="000000" w:themeColor="text1"/>
          <w:sz w:val="24"/>
          <w:szCs w:val="24"/>
          <w:lang w:val="en-US"/>
        </w:rPr>
        <w:t xml:space="preserve">with </w:t>
      </w:r>
      <w:r w:rsidRPr="00C0501F">
        <w:rPr>
          <w:rFonts w:ascii="Times New Roman" w:hAnsi="Times New Roman"/>
          <w:color w:val="000000" w:themeColor="text1"/>
          <w:sz w:val="24"/>
          <w:szCs w:val="24"/>
          <w:lang w:val="en-US"/>
        </w:rPr>
        <w:t>the percent difference peak and minimum months shr</w:t>
      </w:r>
      <w:r w:rsidR="00421068"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nk</w:t>
      </w:r>
      <w:r w:rsidR="00421068" w:rsidRPr="00C0501F">
        <w:rPr>
          <w:rFonts w:ascii="Times New Roman" w:hAnsi="Times New Roman"/>
          <w:color w:val="000000" w:themeColor="text1"/>
          <w:sz w:val="24"/>
          <w:szCs w:val="24"/>
          <w:lang w:val="en-US"/>
        </w:rPr>
        <w:t>ing</w:t>
      </w:r>
      <w:r w:rsidRPr="00C0501F">
        <w:rPr>
          <w:rFonts w:ascii="Times New Roman" w:hAnsi="Times New Roman"/>
          <w:color w:val="000000" w:themeColor="text1"/>
          <w:sz w:val="24"/>
          <w:szCs w:val="24"/>
          <w:lang w:val="en-US"/>
        </w:rPr>
        <w:t xml:space="preserve"> over time. </w:t>
      </w:r>
      <w:r w:rsidR="00421068" w:rsidRPr="00C0501F">
        <w:rPr>
          <w:rFonts w:ascii="Times New Roman" w:hAnsi="Times New Roman"/>
          <w:color w:val="000000" w:themeColor="text1"/>
          <w:sz w:val="24"/>
          <w:szCs w:val="24"/>
          <w:lang w:val="en-US"/>
        </w:rPr>
        <w:t xml:space="preserve">Currently, all parts of USA are similarly adapted to temperature seasonality, although impacts on mortality depend on age. </w:t>
      </w:r>
      <w:r w:rsidRPr="00C0501F">
        <w:rPr>
          <w:rFonts w:ascii="Times New Roman" w:hAnsi="Times New Roman"/>
          <w:color w:val="000000" w:themeColor="text1"/>
          <w:sz w:val="24"/>
          <w:szCs w:val="24"/>
          <w:lang w:val="en-US"/>
        </w:rPr>
        <w:t xml:space="preserve">The findings allow identifying at-risk groups, plan responses at the present time, and envision how changes in regional climate may influence seasonal mortality. </w:t>
      </w:r>
    </w:p>
    <w:p w14:paraId="3D3F0E5A" w14:textId="77777777" w:rsidR="00413B5E" w:rsidRPr="00C0501F" w:rsidRDefault="00413B5E" w:rsidP="006E5AD1">
      <w:pPr>
        <w:spacing w:after="0" w:line="240" w:lineRule="auto"/>
        <w:jc w:val="both"/>
        <w:rPr>
          <w:rFonts w:ascii="Times New Roman" w:hAnsi="Times New Roman"/>
          <w:b/>
          <w:color w:val="000000" w:themeColor="text1"/>
          <w:sz w:val="24"/>
          <w:szCs w:val="24"/>
          <w:lang w:val="en-US"/>
        </w:rPr>
      </w:pPr>
    </w:p>
    <w:p w14:paraId="371663D8" w14:textId="77777777" w:rsidR="00413B5E" w:rsidRPr="00C0501F" w:rsidRDefault="00DA178A" w:rsidP="00FE2F81">
      <w:pPr>
        <w:spacing w:after="0" w:line="24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Significance</w:t>
      </w:r>
    </w:p>
    <w:p w14:paraId="2699BCA5" w14:textId="77777777" w:rsidR="003A23C3" w:rsidRPr="00C0501F" w:rsidRDefault="003A23C3" w:rsidP="00FE2F81">
      <w:pPr>
        <w:spacing w:after="0" w:line="240" w:lineRule="auto"/>
        <w:jc w:val="both"/>
        <w:rPr>
          <w:rFonts w:ascii="Times New Roman" w:hAnsi="Times New Roman"/>
          <w:sz w:val="24"/>
          <w:szCs w:val="24"/>
          <w:lang w:val="en-US"/>
        </w:rPr>
      </w:pPr>
    </w:p>
    <w:p w14:paraId="6B9442DA" w14:textId="4C2EAA87" w:rsidR="003A23C3" w:rsidRPr="00C0501F" w:rsidRDefault="006F25A2" w:rsidP="00FE2F81">
      <w:pPr>
        <w:spacing w:after="0" w:line="240" w:lineRule="auto"/>
        <w:jc w:val="both"/>
        <w:rPr>
          <w:rFonts w:ascii="Times New Roman" w:hAnsi="Times New Roman"/>
          <w:sz w:val="24"/>
          <w:szCs w:val="24"/>
          <w:lang w:val="en-US"/>
        </w:rPr>
      </w:pPr>
      <w:r w:rsidRPr="00C0501F">
        <w:rPr>
          <w:rFonts w:ascii="Times New Roman" w:hAnsi="Times New Roman"/>
          <w:sz w:val="24"/>
          <w:szCs w:val="24"/>
          <w:lang w:val="en-US"/>
        </w:rPr>
        <w:t xml:space="preserve">It is commonly </w:t>
      </w:r>
      <w:r w:rsidR="00236AF3" w:rsidRPr="00C0501F">
        <w:rPr>
          <w:rFonts w:ascii="Times New Roman" w:hAnsi="Times New Roman"/>
          <w:sz w:val="24"/>
          <w:szCs w:val="24"/>
          <w:lang w:val="en-US"/>
        </w:rPr>
        <w:t>hypothesized</w:t>
      </w:r>
      <w:r w:rsidRPr="00C0501F">
        <w:rPr>
          <w:rFonts w:ascii="Times New Roman" w:hAnsi="Times New Roman"/>
          <w:sz w:val="24"/>
          <w:szCs w:val="24"/>
          <w:lang w:val="en-US"/>
        </w:rPr>
        <w:t xml:space="preserve"> that a warmer world may lead to an overall reduction in deaths in temperate climates because currently more people die in winter than in summer. However</w:t>
      </w:r>
      <w:r w:rsidR="00C23D9A" w:rsidRPr="00C0501F">
        <w:rPr>
          <w:rFonts w:ascii="Times New Roman" w:hAnsi="Times New Roman"/>
          <w:sz w:val="24"/>
          <w:szCs w:val="24"/>
          <w:lang w:val="en-US"/>
        </w:rPr>
        <w:t>,</w:t>
      </w:r>
      <w:r w:rsidRPr="00C0501F">
        <w:rPr>
          <w:rFonts w:ascii="Times New Roman" w:hAnsi="Times New Roman"/>
          <w:sz w:val="24"/>
          <w:szCs w:val="24"/>
          <w:lang w:val="en-US"/>
        </w:rPr>
        <w:t xml:space="preserve"> there is little systematic evidence on how much the seasonality of mortality</w:t>
      </w:r>
      <w:r w:rsidR="00C23D9A" w:rsidRPr="00C0501F">
        <w:rPr>
          <w:rFonts w:ascii="Times New Roman" w:hAnsi="Times New Roman"/>
          <w:sz w:val="24"/>
          <w:szCs w:val="24"/>
          <w:lang w:val="en-US"/>
        </w:rPr>
        <w:t xml:space="preserve"> varies over space and time. </w:t>
      </w:r>
      <w:r w:rsidR="003A23C3" w:rsidRPr="00C0501F">
        <w:rPr>
          <w:rFonts w:ascii="Times New Roman" w:hAnsi="Times New Roman"/>
          <w:sz w:val="24"/>
          <w:szCs w:val="24"/>
          <w:lang w:val="en-US"/>
        </w:rPr>
        <w:t xml:space="preserve">Here, we </w:t>
      </w:r>
      <w:r w:rsidR="00A90A4A" w:rsidRPr="00C0501F">
        <w:rPr>
          <w:rFonts w:ascii="Times New Roman" w:hAnsi="Times New Roman"/>
          <w:sz w:val="24"/>
          <w:szCs w:val="24"/>
          <w:lang w:val="en-US"/>
        </w:rPr>
        <w:t>establish</w:t>
      </w:r>
      <w:r w:rsidR="003A23C3" w:rsidRPr="00C0501F">
        <w:rPr>
          <w:rFonts w:ascii="Times New Roman" w:hAnsi="Times New Roman"/>
          <w:sz w:val="24"/>
          <w:szCs w:val="24"/>
          <w:lang w:val="en-US"/>
        </w:rPr>
        <w:t xml:space="preserve"> a novel technical framework </w:t>
      </w:r>
      <w:r w:rsidR="00D15C80" w:rsidRPr="00C0501F">
        <w:rPr>
          <w:rFonts w:ascii="Times New Roman" w:hAnsi="Times New Roman"/>
          <w:sz w:val="24"/>
          <w:szCs w:val="24"/>
          <w:lang w:val="en-US"/>
        </w:rPr>
        <w:t>that</w:t>
      </w:r>
      <w:r w:rsidR="003A23C3" w:rsidRPr="00C0501F">
        <w:rPr>
          <w:rFonts w:ascii="Times New Roman" w:hAnsi="Times New Roman"/>
          <w:sz w:val="24"/>
          <w:szCs w:val="24"/>
          <w:lang w:val="en-US"/>
        </w:rPr>
        <w:t xml:space="preserve"> allows us to understand how seasonality of mortality varies </w:t>
      </w:r>
      <w:r w:rsidR="004273F1">
        <w:rPr>
          <w:rFonts w:ascii="Times New Roman" w:hAnsi="Times New Roman"/>
          <w:sz w:val="24"/>
          <w:szCs w:val="24"/>
          <w:lang w:val="en-US"/>
        </w:rPr>
        <w:t>demographically</w:t>
      </w:r>
      <w:bookmarkStart w:id="0" w:name="_GoBack"/>
      <w:bookmarkEnd w:id="0"/>
      <w:r w:rsidR="003A23C3" w:rsidRPr="00C0501F">
        <w:rPr>
          <w:rFonts w:ascii="Times New Roman" w:hAnsi="Times New Roman"/>
          <w:sz w:val="24"/>
          <w:szCs w:val="24"/>
          <w:lang w:val="en-US"/>
        </w:rPr>
        <w:t>.</w:t>
      </w:r>
      <w:r w:rsidR="00B35C46" w:rsidRPr="00C0501F">
        <w:rPr>
          <w:rFonts w:ascii="Times New Roman" w:hAnsi="Times New Roman"/>
          <w:sz w:val="24"/>
          <w:szCs w:val="24"/>
          <w:lang w:val="en-US"/>
        </w:rPr>
        <w:t xml:space="preserve"> </w:t>
      </w:r>
      <w:r w:rsidR="00DB7F7E" w:rsidRPr="00C0501F">
        <w:rPr>
          <w:rFonts w:ascii="Times New Roman" w:hAnsi="Times New Roman"/>
          <w:sz w:val="24"/>
          <w:szCs w:val="24"/>
          <w:lang w:val="en-US"/>
        </w:rPr>
        <w:t xml:space="preserve">The framework also allows </w:t>
      </w:r>
      <w:r w:rsidR="00963B19" w:rsidRPr="00C0501F">
        <w:rPr>
          <w:rFonts w:ascii="Times New Roman" w:hAnsi="Times New Roman"/>
          <w:sz w:val="24"/>
          <w:szCs w:val="24"/>
          <w:lang w:val="en-US"/>
        </w:rPr>
        <w:t>evaluation</w:t>
      </w:r>
      <w:r w:rsidR="00E30DF9" w:rsidRPr="00C0501F">
        <w:rPr>
          <w:rFonts w:ascii="Times New Roman" w:hAnsi="Times New Roman"/>
          <w:sz w:val="24"/>
          <w:szCs w:val="24"/>
          <w:lang w:val="en-US"/>
        </w:rPr>
        <w:t xml:space="preserve"> of changes in </w:t>
      </w:r>
      <w:r w:rsidR="00DB7F7E" w:rsidRPr="00C0501F">
        <w:rPr>
          <w:rFonts w:ascii="Times New Roman" w:hAnsi="Times New Roman"/>
          <w:sz w:val="24"/>
          <w:szCs w:val="24"/>
          <w:lang w:val="en-US"/>
        </w:rPr>
        <w:t>seasonality through time</w:t>
      </w:r>
      <w:r w:rsidR="00FB4E0C" w:rsidRPr="00C0501F">
        <w:rPr>
          <w:rFonts w:ascii="Times New Roman" w:hAnsi="Times New Roman"/>
          <w:sz w:val="24"/>
          <w:szCs w:val="24"/>
          <w:lang w:val="en-US"/>
        </w:rPr>
        <w:t>.</w:t>
      </w:r>
      <w:r w:rsidR="003A23C3" w:rsidRPr="00C0501F">
        <w:rPr>
          <w:rFonts w:ascii="Times New Roman" w:hAnsi="Times New Roman"/>
          <w:sz w:val="24"/>
          <w:szCs w:val="24"/>
          <w:lang w:val="en-US"/>
        </w:rPr>
        <w:t xml:space="preserve"> </w:t>
      </w:r>
      <w:r w:rsidR="002F2133" w:rsidRPr="00C0501F">
        <w:rPr>
          <w:rFonts w:ascii="Times New Roman" w:hAnsi="Times New Roman"/>
          <w:sz w:val="24"/>
          <w:szCs w:val="24"/>
          <w:lang w:val="en-US"/>
        </w:rPr>
        <w:t xml:space="preserve">Using </w:t>
      </w:r>
      <w:r w:rsidR="003A23C3" w:rsidRPr="00C0501F">
        <w:rPr>
          <w:rFonts w:ascii="Times New Roman" w:hAnsi="Times New Roman"/>
          <w:sz w:val="24"/>
          <w:szCs w:val="24"/>
          <w:lang w:val="en-US"/>
        </w:rPr>
        <w:t xml:space="preserve">over three decades </w:t>
      </w:r>
      <w:r w:rsidR="00C62D97" w:rsidRPr="00C0501F">
        <w:rPr>
          <w:rFonts w:ascii="Times New Roman" w:hAnsi="Times New Roman"/>
          <w:sz w:val="24"/>
          <w:szCs w:val="24"/>
          <w:lang w:val="en-US"/>
        </w:rPr>
        <w:t>of complete</w:t>
      </w:r>
      <w:r w:rsidR="002F2133" w:rsidRPr="00C0501F">
        <w:rPr>
          <w:rFonts w:ascii="Times New Roman" w:hAnsi="Times New Roman"/>
          <w:sz w:val="24"/>
          <w:szCs w:val="24"/>
          <w:lang w:val="en-US"/>
        </w:rPr>
        <w:t xml:space="preserve"> death records </w:t>
      </w:r>
      <w:r w:rsidR="003A23C3" w:rsidRPr="00C0501F">
        <w:rPr>
          <w:rFonts w:ascii="Times New Roman" w:hAnsi="Times New Roman"/>
          <w:sz w:val="24"/>
          <w:szCs w:val="24"/>
          <w:lang w:val="en-US"/>
        </w:rPr>
        <w:t>in the USA,</w:t>
      </w:r>
      <w:r w:rsidR="003A23C3" w:rsidRPr="00C0501F">
        <w:rPr>
          <w:rFonts w:ascii="Times New Roman" w:hAnsi="Times New Roman"/>
          <w:color w:val="000000" w:themeColor="text1"/>
          <w:sz w:val="24"/>
          <w:szCs w:val="24"/>
          <w:lang w:val="en-US"/>
        </w:rPr>
        <w:t xml:space="preserve"> </w:t>
      </w:r>
      <w:r w:rsidR="00E30DF9" w:rsidRPr="00C0501F">
        <w:rPr>
          <w:rFonts w:ascii="Times New Roman" w:hAnsi="Times New Roman"/>
          <w:color w:val="000000" w:themeColor="text1"/>
          <w:sz w:val="24"/>
          <w:szCs w:val="24"/>
          <w:lang w:val="en-US"/>
        </w:rPr>
        <w:t xml:space="preserve">we find that </w:t>
      </w:r>
      <w:r w:rsidR="003A23C3" w:rsidRPr="00C0501F">
        <w:rPr>
          <w:rFonts w:ascii="Times New Roman" w:hAnsi="Times New Roman"/>
          <w:sz w:val="24"/>
          <w:szCs w:val="24"/>
          <w:lang w:val="en-US"/>
        </w:rPr>
        <w:t>seasonal mortality ha</w:t>
      </w:r>
      <w:r w:rsidR="004566E5" w:rsidRPr="00C0501F">
        <w:rPr>
          <w:rFonts w:ascii="Times New Roman" w:hAnsi="Times New Roman"/>
          <w:sz w:val="24"/>
          <w:szCs w:val="24"/>
          <w:lang w:val="en-US"/>
        </w:rPr>
        <w:t>s largely disappeared for under-</w:t>
      </w:r>
      <w:r w:rsidR="003A23C3" w:rsidRPr="00C0501F">
        <w:rPr>
          <w:rFonts w:ascii="Times New Roman" w:hAnsi="Times New Roman"/>
          <w:sz w:val="24"/>
          <w:szCs w:val="24"/>
          <w:lang w:val="en-US"/>
        </w:rPr>
        <w:t>fives, while in men and women over 45 it has declined less than 7 percentage points.</w:t>
      </w:r>
    </w:p>
    <w:p w14:paraId="2216F31D" w14:textId="77777777" w:rsidR="00A87EFB" w:rsidRPr="00C0501F" w:rsidRDefault="00A87EFB" w:rsidP="006E5AD1">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6FA4CFFF" w14:textId="2D7E314C" w:rsidR="00EB02E8" w:rsidRPr="00C0501F" w:rsidRDefault="00413B5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\body</w:t>
      </w:r>
    </w:p>
    <w:p w14:paraId="2E1B36AE" w14:textId="0F4F2D79"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It is well-established that death rates vary throughout the year, and in temperate climates there tend to be more deaths in winter than in summer.</w:t>
      </w:r>
      <w:r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(3-6)</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Therefore, it has been </w:t>
      </w:r>
      <w:r w:rsidR="00236AF3"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 </w:instrText>
      </w:r>
      <w:r w:rsidR="00773692"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EN.CITE.DATA </w:instrText>
      </w:r>
      <w:r w:rsidR="00773692" w:rsidRPr="00C0501F">
        <w:rPr>
          <w:rFonts w:ascii="Times New Roman" w:hAnsi="Times New Roman"/>
          <w:color w:val="000000" w:themeColor="text1"/>
          <w:sz w:val="24"/>
          <w:szCs w:val="24"/>
          <w:lang w:val="en-US"/>
        </w:rPr>
      </w:r>
      <w:r w:rsidR="00773692"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773692" w:rsidRPr="00C0501F">
        <w:rPr>
          <w:rFonts w:ascii="Times New Roman" w:hAnsi="Times New Roman"/>
          <w:noProof/>
          <w:color w:val="000000" w:themeColor="text1"/>
          <w:sz w:val="24"/>
          <w:szCs w:val="24"/>
          <w:lang w:val="en-US"/>
        </w:rPr>
        <w:t>(1, 2)</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 xml:space="preserve">n a large country like the USA, which possesses distinct climate regions, not only do </w:t>
      </w:r>
      <w:r w:rsidR="00310C35" w:rsidRPr="00C0501F">
        <w:rPr>
          <w:rFonts w:ascii="Times New Roman" w:hAnsi="Times New Roman"/>
          <w:color w:val="000000" w:themeColor="text1"/>
          <w:sz w:val="24"/>
          <w:szCs w:val="24"/>
          <w:lang w:val="en-US"/>
        </w:rPr>
        <w:t xml:space="preserve">average </w:t>
      </w:r>
      <w:r w:rsidRPr="00C0501F">
        <w:rPr>
          <w:rFonts w:ascii="Times New Roman" w:hAnsi="Times New Roman"/>
          <w:color w:val="000000" w:themeColor="text1"/>
          <w:sz w:val="24"/>
          <w:szCs w:val="24"/>
          <w:lang w:val="en-US"/>
        </w:rPr>
        <w:t xml:space="preserve">annual death rates vary geographically, but also the seasonality of mortality may vary, due to both </w:t>
      </w:r>
      <w:r w:rsidR="00236AF3" w:rsidRPr="00C0501F">
        <w:rPr>
          <w:rFonts w:ascii="Times New Roman" w:hAnsi="Times New Roman"/>
          <w:color w:val="000000" w:themeColor="text1"/>
          <w:sz w:val="24"/>
          <w:szCs w:val="24"/>
          <w:lang w:val="en-US"/>
        </w:rPr>
        <w:t>localized</w:t>
      </w:r>
      <w:r w:rsidRPr="00C0501F">
        <w:rPr>
          <w:rFonts w:ascii="Times New Roman" w:hAnsi="Times New Roman"/>
          <w:color w:val="000000" w:themeColor="text1"/>
          <w:sz w:val="24"/>
          <w:szCs w:val="24"/>
          <w:lang w:val="en-US"/>
        </w:rPr>
        <w:t xml:space="preserve"> weather patterns and regional differences in adaptation measures such as heating, air conditioning, and healthcare.</w:t>
      </w:r>
      <w:r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(7-10)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 presence and extent of seasonal variation in mortality may also itself change over time, due to shifts in weather regimes, lifestyle, adaptation technologies, and healthcare.</w:t>
      </w:r>
      <w:r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(11-13)</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C0501F">
        <w:rPr>
          <w:rFonts w:ascii="Times New Roman" w:hAnsi="Times New Roman"/>
          <w:color w:val="000000" w:themeColor="text1"/>
          <w:sz w:val="24"/>
          <w:szCs w:val="24"/>
          <w:lang w:val="en-US"/>
        </w:rPr>
        <w:t xml:space="preserve">There is however limited data to </w:t>
      </w:r>
      <w:r w:rsidR="00236AF3" w:rsidRPr="00C0501F">
        <w:rPr>
          <w:rFonts w:ascii="Times New Roman" w:hAnsi="Times New Roman"/>
          <w:color w:val="000000" w:themeColor="text1"/>
          <w:sz w:val="24"/>
          <w:szCs w:val="24"/>
          <w:lang w:val="en-US"/>
        </w:rPr>
        <w:t>characterize</w:t>
      </w:r>
      <w:r w:rsidR="004508FE" w:rsidRPr="00C0501F">
        <w:rPr>
          <w:rFonts w:ascii="Times New Roman" w:hAnsi="Times New Roman"/>
          <w:color w:val="000000" w:themeColor="text1"/>
          <w:sz w:val="24"/>
          <w:szCs w:val="24"/>
          <w:lang w:val="en-US"/>
        </w:rPr>
        <w:t xml:space="preserve"> the seasonality of mortality in relation to</w:t>
      </w:r>
      <w:r w:rsidR="004508FE" w:rsidRPr="00C0501F" w:rsidDel="00C57E45">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age, sex, and local climate, or to understand how it has changed over time.</w:t>
      </w:r>
    </w:p>
    <w:p w14:paraId="650D8534"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p>
    <w:p w14:paraId="52BC0D7B" w14:textId="14A891A1" w:rsidR="000210D1" w:rsidRPr="00C0501F" w:rsidRDefault="004508F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In this paper, w</w:t>
      </w:r>
      <w:r w:rsidR="000210D1" w:rsidRPr="00C0501F">
        <w:rPr>
          <w:rFonts w:ascii="Times New Roman" w:hAnsi="Times New Roman"/>
          <w:color w:val="000000" w:themeColor="text1"/>
          <w:sz w:val="24"/>
          <w:szCs w:val="24"/>
          <w:lang w:val="en-US"/>
        </w:rPr>
        <w:t xml:space="preserve">e comprehensively </w:t>
      </w:r>
      <w:r w:rsidR="00236AF3" w:rsidRPr="00C0501F">
        <w:rPr>
          <w:rFonts w:ascii="Times New Roman" w:hAnsi="Times New Roman"/>
          <w:color w:val="000000" w:themeColor="text1"/>
          <w:sz w:val="24"/>
          <w:szCs w:val="24"/>
          <w:lang w:val="en-US"/>
        </w:rPr>
        <w:t>characterize</w:t>
      </w:r>
      <w:r w:rsidR="000210D1" w:rsidRPr="00C0501F">
        <w:rPr>
          <w:rFonts w:ascii="Times New Roman" w:hAnsi="Times New Roman"/>
          <w:color w:val="000000" w:themeColor="text1"/>
          <w:sz w:val="24"/>
          <w:szCs w:val="24"/>
          <w:lang w:val="en-US"/>
        </w:rPr>
        <w:t xml:space="preserve"> the demographic, spatial and temporal patterns of mortality seasonality in the entire USA, through the application of wavelet analytical techniques that have been used to study the dynamics of weather phenomena</w:t>
      </w:r>
      <w:r w:rsidR="000210D1"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&lt;EndNote&gt;&lt;Cite&gt;&lt;Author&gt;Moy&lt;/Author&gt;&lt;Year&gt;2002&lt;/Year&gt;&lt;RecNum&gt;631&lt;/RecNum&gt;&lt;DisplayText&gt;(14)&lt;/DisplayText&gt;&lt;record&gt;&lt;rec-number&gt;631&lt;/rec-number&gt;&lt;foreign-keys&gt;&lt;key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(14)</w:t>
      </w:r>
      <w:r w:rsidR="000210D1" w:rsidRPr="00C0501F">
        <w:rPr>
          <w:rFonts w:ascii="Times New Roman" w:hAnsi="Times New Roman"/>
          <w:color w:val="000000" w:themeColor="text1"/>
          <w:sz w:val="24"/>
          <w:szCs w:val="24"/>
          <w:lang w:val="en-US"/>
        </w:rPr>
        <w:fldChar w:fldCharType="end"/>
      </w:r>
      <w:r w:rsidR="000210D1" w:rsidRPr="00C0501F">
        <w:rPr>
          <w:rFonts w:ascii="Times New Roman" w:hAnsi="Times New Roman"/>
          <w:color w:val="000000" w:themeColor="text1"/>
          <w:sz w:val="24"/>
          <w:szCs w:val="24"/>
          <w:lang w:val="en-US"/>
        </w:rPr>
        <w:t xml:space="preserve"> and infectious diseases</w:t>
      </w:r>
      <w:r w:rsidR="000210D1"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&lt;EndNote&gt;&lt;Cite&gt;&lt;Author&gt;Grenfell&lt;/Author&gt;&lt;Year&gt;2001&lt;/Year&gt;&lt;RecNum&gt;444&lt;/RecNum&gt;&lt;DisplayText&gt;(15)&lt;/DisplayText&gt;&lt;record&gt;&lt;rec-number&gt;444&lt;/rec-number&gt;&lt;foreign-keys&gt;&lt;key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(15)</w:t>
      </w:r>
      <w:r w:rsidR="000210D1" w:rsidRPr="00C0501F">
        <w:rPr>
          <w:rFonts w:ascii="Times New Roman" w:hAnsi="Times New Roman"/>
          <w:color w:val="000000" w:themeColor="text1"/>
          <w:sz w:val="24"/>
          <w:szCs w:val="24"/>
          <w:lang w:val="en-US"/>
        </w:rPr>
        <w:fldChar w:fldCharType="end"/>
      </w:r>
      <w:r w:rsidR="000210D1" w:rsidRPr="00C0501F">
        <w:rPr>
          <w:rFonts w:ascii="Times New Roman" w:hAnsi="Times New Roman"/>
          <w:color w:val="000000" w:themeColor="text1"/>
          <w:sz w:val="24"/>
          <w:szCs w:val="24"/>
          <w:lang w:val="en-US"/>
        </w:rPr>
        <w:t xml:space="preserve"> to over three decades of national mortality data.</w:t>
      </w:r>
    </w:p>
    <w:p w14:paraId="0A932C4E" w14:textId="77777777" w:rsidR="000210D1" w:rsidRPr="00C0501F" w:rsidRDefault="000210D1" w:rsidP="00C33FFB">
      <w:pPr>
        <w:spacing w:after="0" w:line="480" w:lineRule="auto"/>
        <w:jc w:val="both"/>
        <w:rPr>
          <w:rFonts w:ascii="Times New Roman" w:hAnsi="Times New Roman"/>
          <w:sz w:val="24"/>
          <w:szCs w:val="24"/>
          <w:lang w:val="en-US"/>
        </w:rPr>
      </w:pPr>
    </w:p>
    <w:p w14:paraId="4B176582"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Results</w:t>
      </w:r>
    </w:p>
    <w:p w14:paraId="5B9DF667" w14:textId="6F6204A1"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All-cause mortality</w:t>
      </w:r>
      <w:r w:rsidR="00421068" w:rsidRPr="00C0501F">
        <w:rPr>
          <w:rFonts w:ascii="Times New Roman" w:hAnsi="Times New Roman"/>
          <w:sz w:val="24"/>
          <w:szCs w:val="24"/>
          <w:lang w:val="en-US"/>
        </w:rPr>
        <w:t xml:space="preserve"> in males</w:t>
      </w:r>
      <w:r w:rsidRPr="00C0501F">
        <w:rPr>
          <w:rFonts w:ascii="Times New Roman" w:hAnsi="Times New Roman"/>
          <w:sz w:val="24"/>
          <w:szCs w:val="24"/>
          <w:lang w:val="en-US"/>
        </w:rPr>
        <w:t xml:space="preserve"> had a statistically significant 12-month seasonality in all age groups</w:t>
      </w:r>
      <w:r w:rsidR="00421068" w:rsidRPr="00C0501F">
        <w:rPr>
          <w:rFonts w:ascii="Times New Roman" w:hAnsi="Times New Roman"/>
          <w:sz w:val="24"/>
          <w:szCs w:val="24"/>
          <w:lang w:val="en-US"/>
        </w:rPr>
        <w:t>,</w:t>
      </w:r>
      <w:r w:rsidRPr="00C0501F">
        <w:rPr>
          <w:rFonts w:ascii="Times New Roman" w:hAnsi="Times New Roman"/>
          <w:sz w:val="24"/>
          <w:szCs w:val="24"/>
          <w:lang w:val="en-US"/>
        </w:rPr>
        <w:t xml:space="preserve"> except in ages 35-44 years, </w:t>
      </w:r>
      <w:r w:rsidR="00421068" w:rsidRPr="00C0501F">
        <w:rPr>
          <w:rFonts w:ascii="Times New Roman" w:hAnsi="Times New Roman"/>
          <w:sz w:val="24"/>
          <w:szCs w:val="24"/>
          <w:lang w:val="en-US"/>
        </w:rPr>
        <w:t xml:space="preserve">where it </w:t>
      </w:r>
      <w:r w:rsidRPr="00C0501F">
        <w:rPr>
          <w:rFonts w:ascii="Times New Roman" w:hAnsi="Times New Roman"/>
          <w:sz w:val="24"/>
          <w:szCs w:val="24"/>
          <w:lang w:val="en-US"/>
        </w:rPr>
        <w:t xml:space="preserve">displayed statistically significant periodicity at 6 months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A). In females, there was no significant 12-month seasonality in ages 5 to 34 years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B); </w:t>
      </w:r>
      <w:r w:rsidR="00421068" w:rsidRPr="00C0501F">
        <w:rPr>
          <w:rFonts w:ascii="Times New Roman" w:hAnsi="Times New Roman"/>
          <w:sz w:val="24"/>
          <w:szCs w:val="24"/>
          <w:lang w:val="en-US"/>
        </w:rPr>
        <w:t xml:space="preserve">however, </w:t>
      </w:r>
      <w:r w:rsidRPr="00C0501F">
        <w:rPr>
          <w:rFonts w:ascii="Times New Roman" w:hAnsi="Times New Roman"/>
          <w:sz w:val="24"/>
          <w:szCs w:val="24"/>
          <w:lang w:val="en-US"/>
        </w:rPr>
        <w:t xml:space="preserve">girls aged 5-14 years exhibited periodicity at 6 months for most 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C0501F" w:rsidRDefault="000210D1" w:rsidP="00C33FFB">
      <w:pPr>
        <w:spacing w:after="0" w:line="480" w:lineRule="auto"/>
        <w:jc w:val="both"/>
        <w:rPr>
          <w:rFonts w:ascii="Times New Roman" w:hAnsi="Times New Roman"/>
          <w:sz w:val="24"/>
          <w:szCs w:val="24"/>
          <w:lang w:val="en-US"/>
        </w:rPr>
      </w:pPr>
    </w:p>
    <w:p w14:paraId="43946A13" w14:textId="6F3163B2"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Death rates in men aged ≥45 years and women aged ≥35 years peaked in January and February, and were lowest in July and August (Figure </w:t>
      </w:r>
      <w:r w:rsidR="00040FE5" w:rsidRPr="00C0501F">
        <w:rPr>
          <w:rFonts w:ascii="Times New Roman" w:hAnsi="Times New Roman"/>
          <w:sz w:val="24"/>
          <w:szCs w:val="24"/>
          <w:lang w:val="en-US"/>
        </w:rPr>
        <w:t>3</w:t>
      </w:r>
      <w:r w:rsidRPr="00C0501F">
        <w:rPr>
          <w:rFonts w:ascii="Times New Roman" w:hAnsi="Times New Roman"/>
          <w:sz w:val="24"/>
          <w:szCs w:val="24"/>
          <w:lang w:val="en-US"/>
        </w:rPr>
        <w:t xml:space="preserve">).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C0501F" w:rsidRDefault="000210D1" w:rsidP="00C33FFB">
      <w:pPr>
        <w:spacing w:after="0" w:line="480" w:lineRule="auto"/>
        <w:jc w:val="both"/>
        <w:rPr>
          <w:rFonts w:ascii="Times New Roman" w:hAnsi="Times New Roman"/>
          <w:sz w:val="24"/>
          <w:szCs w:val="24"/>
          <w:lang w:val="en-US"/>
        </w:rPr>
      </w:pPr>
    </w:p>
    <w:p w14:paraId="7A184574" w14:textId="1E5891EC"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Percent difference in death rates between mortality in peak and minimum months declined by less than seven percentage points for people older than 45 years of age from 1982 to 2013 (Figure </w:t>
      </w:r>
      <w:r w:rsidR="00040FE5" w:rsidRPr="00C0501F">
        <w:rPr>
          <w:rFonts w:ascii="Times New Roman" w:hAnsi="Times New Roman"/>
          <w:sz w:val="24"/>
          <w:szCs w:val="24"/>
          <w:lang w:val="en-US"/>
        </w:rPr>
        <w:t>4</w:t>
      </w:r>
      <w:r w:rsidRPr="00C0501F">
        <w:rPr>
          <w:rFonts w:ascii="Times New Roman" w:hAnsi="Times New Roman"/>
          <w:sz w:val="24"/>
          <w:szCs w:val="24"/>
          <w:lang w:val="en-US"/>
        </w:rPr>
        <w:t xml:space="preserve">). In contrast, the difference between peak (summer) and minimum (winter) </w:t>
      </w:r>
      <w:r w:rsidR="005866BD" w:rsidRPr="00C0501F">
        <w:rPr>
          <w:rFonts w:ascii="Times New Roman" w:hAnsi="Times New Roman"/>
          <w:sz w:val="24"/>
          <w:szCs w:val="24"/>
          <w:lang w:val="en-US"/>
        </w:rPr>
        <w:t xml:space="preserve">death rates </w:t>
      </w:r>
      <w:r w:rsidRPr="00C0501F">
        <w:rPr>
          <w:rFonts w:ascii="Times New Roman" w:hAnsi="Times New Roman"/>
          <w:sz w:val="24"/>
          <w:szCs w:val="24"/>
          <w:lang w:val="en-US"/>
        </w:rPr>
        <w:t>declined significantly in younger ages, by nearly 25 percentage points in males aged 5-14 years and 15-24</w:t>
      </w:r>
      <w:r w:rsidR="005866BD" w:rsidRPr="00C0501F">
        <w:rPr>
          <w:rFonts w:ascii="Times New Roman" w:hAnsi="Times New Roman"/>
          <w:sz w:val="24"/>
          <w:szCs w:val="24"/>
          <w:lang w:val="en-US"/>
        </w:rPr>
        <w:t xml:space="preserve"> </w:t>
      </w:r>
      <w:r w:rsidRPr="00C0501F">
        <w:rPr>
          <w:rFonts w:ascii="Times New Roman" w:hAnsi="Times New Roman"/>
          <w:sz w:val="24"/>
          <w:szCs w:val="24"/>
          <w:lang w:val="en-US"/>
        </w:rPr>
        <w:t>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C0501F" w:rsidRDefault="000210D1" w:rsidP="00C33FFB">
      <w:pPr>
        <w:spacing w:after="0" w:line="480" w:lineRule="auto"/>
        <w:jc w:val="both"/>
        <w:rPr>
          <w:rFonts w:ascii="Times New Roman" w:hAnsi="Times New Roman"/>
          <w:sz w:val="24"/>
          <w:szCs w:val="24"/>
          <w:lang w:val="en-US"/>
        </w:rPr>
      </w:pPr>
    </w:p>
    <w:p w14:paraId="3A138FB3" w14:textId="4B2E3FAD"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The sub-national </w:t>
      </w:r>
      <w:r w:rsidR="00236AF3"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analysis shows that mortality peaks and minima in different climate regions (Figure 1) are consistent with the national ones (Figure </w:t>
      </w:r>
      <w:r w:rsidR="00040FE5" w:rsidRPr="00C0501F">
        <w:rPr>
          <w:rFonts w:ascii="Times New Roman" w:hAnsi="Times New Roman"/>
          <w:sz w:val="24"/>
          <w:szCs w:val="24"/>
          <w:lang w:val="en-US"/>
        </w:rPr>
        <w:t>5</w:t>
      </w:r>
      <w:r w:rsidRPr="00C0501F">
        <w:rPr>
          <w:rFonts w:ascii="Times New Roman" w:hAnsi="Times New Roman"/>
          <w:sz w:val="24"/>
          <w:szCs w:val="24"/>
          <w:lang w:val="en-US"/>
        </w:rPr>
        <w:t xml:space="preserve">),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the Southeast compared with -3.8 in the Northeast). Furthermore, above 45 years of age, there is little inter-region variation in the percent seasonal difference, despite the large variation in temperature difference between the peak and minimum months (Figure </w:t>
      </w:r>
      <w:r w:rsidR="00040FE5" w:rsidRPr="00C0501F">
        <w:rPr>
          <w:rFonts w:ascii="Times New Roman" w:hAnsi="Times New Roman"/>
          <w:sz w:val="24"/>
          <w:szCs w:val="24"/>
          <w:lang w:val="en-US"/>
        </w:rPr>
        <w:t>6</w:t>
      </w:r>
      <w:r w:rsidRPr="00C0501F">
        <w:rPr>
          <w:rFonts w:ascii="Times New Roman" w:hAnsi="Times New Roman"/>
          <w:sz w:val="24"/>
          <w:szCs w:val="24"/>
          <w:lang w:val="en-US"/>
        </w:rPr>
        <w:t>;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&lt;EndNote&gt;&lt;Cite&gt;&lt;Author&gt;Kinney&lt;/Author&gt;&lt;Year&gt;2015&lt;/Year&gt;&lt;RecNum&gt;79&lt;/RecNum&gt;&lt;DisplayText&gt;(16)&lt;/DisplayText&gt;&lt;record&gt;&lt;rec-number&gt;79&lt;/rec-number&gt;&lt;foreign-keys&gt;&lt;key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contrasts from the pattern observed across Europe, where the difference between winter and summer mortality tends to be lower in the colder Nordic countries than in warmer southern European nations, possibly because the former have </w:t>
      </w:r>
      <w:r w:rsidR="005866BD" w:rsidRPr="00C0501F">
        <w:rPr>
          <w:rFonts w:ascii="Times New Roman" w:hAnsi="Times New Roman"/>
          <w:sz w:val="24"/>
          <w:szCs w:val="24"/>
          <w:lang w:val="en-US"/>
        </w:rPr>
        <w:t xml:space="preserve">put in place </w:t>
      </w:r>
      <w:r w:rsidRPr="00C0501F">
        <w:rPr>
          <w:rFonts w:ascii="Times New Roman" w:hAnsi="Times New Roman"/>
          <w:sz w:val="24"/>
          <w:szCs w:val="24"/>
          <w:lang w:val="en-US"/>
        </w:rPr>
        <w:t>environmental (e.g., housing insulation and heating) and health system measures to counter the effects of cold winters.</w:t>
      </w:r>
      <w:r w:rsidRPr="00C0501F">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(3, 4, 6)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The absence of association between the magnitude of mortality seasonality and seasonal temperature difference indicates that different regions in the USA are similarly adapted to temperature seasonality. </w:t>
      </w:r>
    </w:p>
    <w:p w14:paraId="1CD536A0" w14:textId="77777777" w:rsidR="00802C27" w:rsidRPr="00C0501F" w:rsidRDefault="00802C27" w:rsidP="00C33FFB">
      <w:pPr>
        <w:spacing w:after="0" w:line="480" w:lineRule="auto"/>
        <w:jc w:val="both"/>
        <w:rPr>
          <w:rFonts w:ascii="Times New Roman" w:hAnsi="Times New Roman"/>
          <w:sz w:val="24"/>
          <w:szCs w:val="24"/>
          <w:lang w:val="en-US"/>
        </w:rPr>
      </w:pPr>
    </w:p>
    <w:p w14:paraId="5D78E82D" w14:textId="026FF9F7" w:rsidR="00802C27" w:rsidRPr="00C0501F" w:rsidRDefault="00802C27"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 xml:space="preserve">Strengths and limitations </w:t>
      </w:r>
    </w:p>
    <w:p w14:paraId="3A9D4CF4" w14:textId="661D5A7D" w:rsidR="00802C27" w:rsidRPr="00C0501F" w:rsidRDefault="0019272E"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The strengths of our study are its innovative </w:t>
      </w:r>
      <w:r w:rsidR="005F0F34" w:rsidRPr="00C0501F">
        <w:rPr>
          <w:rFonts w:ascii="Times New Roman" w:hAnsi="Times New Roman"/>
          <w:sz w:val="24"/>
          <w:szCs w:val="24"/>
          <w:lang w:val="en-US"/>
        </w:rPr>
        <w:t>method</w:t>
      </w:r>
      <w:r w:rsidR="009D20AE" w:rsidRPr="00C0501F">
        <w:rPr>
          <w:rFonts w:ascii="Times New Roman" w:hAnsi="Times New Roman"/>
          <w:sz w:val="24"/>
          <w:szCs w:val="24"/>
          <w:lang w:val="en-US"/>
        </w:rPr>
        <w:t>s</w:t>
      </w:r>
      <w:r w:rsidR="005F0F34" w:rsidRPr="00C0501F">
        <w:rPr>
          <w:rFonts w:ascii="Times New Roman" w:hAnsi="Times New Roman"/>
          <w:sz w:val="24"/>
          <w:szCs w:val="24"/>
          <w:lang w:val="en-US"/>
        </w:rPr>
        <w:t xml:space="preserve"> of characterizing seasonality of mortality dynamically over space and time; using wavelet and </w:t>
      </w:r>
      <w:r w:rsidR="00236AF3" w:rsidRPr="00C0501F">
        <w:rPr>
          <w:rFonts w:ascii="Times New Roman" w:hAnsi="Times New Roman"/>
          <w:sz w:val="24"/>
          <w:szCs w:val="24"/>
          <w:lang w:val="en-US"/>
        </w:rPr>
        <w:t>center</w:t>
      </w:r>
      <w:r w:rsidR="005F0F34" w:rsidRPr="00C0501F">
        <w:rPr>
          <w:rFonts w:ascii="Times New Roman" w:hAnsi="Times New Roman"/>
          <w:sz w:val="24"/>
          <w:szCs w:val="24"/>
          <w:lang w:val="en-US"/>
        </w:rPr>
        <w:t xml:space="preserve"> of gravity analyses</w:t>
      </w:r>
      <w:r w:rsidR="007852FE" w:rsidRPr="00C0501F">
        <w:rPr>
          <w:rFonts w:ascii="Times New Roman" w:hAnsi="Times New Roman"/>
          <w:sz w:val="24"/>
          <w:szCs w:val="24"/>
          <w:lang w:val="en-US"/>
        </w:rPr>
        <w:t>; using ERA-Interim data output to compare the association between temperature and seasonality of death.</w:t>
      </w:r>
    </w:p>
    <w:p w14:paraId="56A38DE9" w14:textId="77777777" w:rsidR="00EC004F" w:rsidRPr="00C0501F" w:rsidRDefault="00EC004F" w:rsidP="00C33FFB">
      <w:pPr>
        <w:spacing w:after="0" w:line="480" w:lineRule="auto"/>
        <w:jc w:val="both"/>
        <w:rPr>
          <w:rFonts w:ascii="Times New Roman" w:hAnsi="Times New Roman"/>
          <w:sz w:val="24"/>
          <w:szCs w:val="24"/>
          <w:lang w:val="en-US"/>
        </w:rPr>
      </w:pPr>
    </w:p>
    <w:p w14:paraId="6F7CC8CD" w14:textId="7BD62526" w:rsidR="00EC004F" w:rsidRPr="00C0501F" w:rsidRDefault="00EC004F" w:rsidP="005B7C1A">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 xml:space="preserve">The main limitation of our study is that we have </w:t>
      </w:r>
      <w:r w:rsidR="00236AF3" w:rsidRPr="00C0501F">
        <w:rPr>
          <w:rFonts w:ascii="Times New Roman" w:hAnsi="Times New Roman"/>
          <w:sz w:val="24"/>
          <w:szCs w:val="24"/>
          <w:lang w:val="en-US"/>
        </w:rPr>
        <w:t>analyzed</w:t>
      </w:r>
      <w:r w:rsidRPr="00C0501F">
        <w:rPr>
          <w:rFonts w:ascii="Times New Roman" w:hAnsi="Times New Roman"/>
          <w:sz w:val="24"/>
          <w:szCs w:val="24"/>
          <w:lang w:val="en-US"/>
        </w:rPr>
        <w:t xml:space="preserve"> all-cause mortality. Different diseases and injuries may be differentially affected by environmental and </w:t>
      </w:r>
      <w:r w:rsidR="00236AF3" w:rsidRPr="00C0501F">
        <w:rPr>
          <w:rFonts w:ascii="Times New Roman" w:hAnsi="Times New Roman"/>
          <w:sz w:val="24"/>
          <w:szCs w:val="24"/>
          <w:lang w:val="en-US"/>
        </w:rPr>
        <w:t>behavioral</w:t>
      </w:r>
      <w:r w:rsidRPr="00C0501F">
        <w:rPr>
          <w:rFonts w:ascii="Times New Roman" w:hAnsi="Times New Roman"/>
          <w:sz w:val="24"/>
          <w:szCs w:val="24"/>
          <w:lang w:val="en-US"/>
        </w:rPr>
        <w:t xml:space="preserve"> factors associated with season and hence differ in their seasonal </w:t>
      </w:r>
      <w:r w:rsidR="00236AF3" w:rsidRPr="00C0501F">
        <w:rPr>
          <w:rFonts w:ascii="Times New Roman" w:hAnsi="Times New Roman"/>
          <w:sz w:val="24"/>
          <w:szCs w:val="24"/>
          <w:lang w:val="en-US"/>
        </w:rPr>
        <w:t>behavior</w:t>
      </w:r>
      <w:r w:rsidRPr="00C0501F">
        <w:rPr>
          <w:rFonts w:ascii="Times New Roman" w:hAnsi="Times New Roman"/>
          <w:sz w:val="24"/>
          <w:szCs w:val="24"/>
          <w:lang w:val="en-US"/>
        </w:rPr>
        <w:t>. For example, suicides have been found to peak in early spring,</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(17)</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and cardiovascular disease mortality may peak earlier in the winter than that from respiratory conditions.</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(18)</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In contrast deaths from cancer show little or no seasonality.</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(19)</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All-cause mortality measures total mortality burden, and has the advantage of not being affected by errors and variations over time and space in assignment of cause of death. Nonetheless future work should apply our methods to specific causes of death.</w:t>
      </w:r>
      <w:r w:rsidRPr="00C0501F" w:rsidDel="009F79BF">
        <w:rPr>
          <w:rFonts w:ascii="Times New Roman" w:hAnsi="Times New Roman"/>
          <w:sz w:val="24"/>
          <w:szCs w:val="24"/>
          <w:lang w:val="en-US"/>
        </w:rPr>
        <w:t xml:space="preserve"> </w:t>
      </w:r>
    </w:p>
    <w:p w14:paraId="1B7C9EBF" w14:textId="77777777" w:rsidR="000210D1" w:rsidRPr="00C0501F" w:rsidRDefault="000210D1" w:rsidP="00C33FFB">
      <w:pPr>
        <w:spacing w:after="0" w:line="480" w:lineRule="auto"/>
        <w:jc w:val="both"/>
        <w:rPr>
          <w:rFonts w:ascii="Times New Roman" w:hAnsi="Times New Roman"/>
          <w:sz w:val="24"/>
          <w:szCs w:val="24"/>
          <w:lang w:val="en-US"/>
        </w:rPr>
      </w:pPr>
    </w:p>
    <w:p w14:paraId="16E2BB43"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Discussion</w:t>
      </w:r>
    </w:p>
    <w:p w14:paraId="1336C3D2" w14:textId="02D3122B" w:rsidR="000210D1" w:rsidRPr="00C0501F" w:rsidRDefault="00DF62BA"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a novel </w:t>
      </w:r>
      <w:r w:rsidR="005866BD" w:rsidRPr="00C0501F">
        <w:rPr>
          <w:rFonts w:ascii="Times New Roman" w:hAnsi="Times New Roman"/>
          <w:sz w:val="24"/>
          <w:szCs w:val="24"/>
          <w:lang w:val="en-US"/>
        </w:rPr>
        <w:t>analysis of</w:t>
      </w:r>
      <w:r w:rsidRPr="00C0501F">
        <w:rPr>
          <w:rFonts w:ascii="Times New Roman" w:hAnsi="Times New Roman"/>
          <w:sz w:val="24"/>
          <w:szCs w:val="24"/>
          <w:lang w:val="en-US"/>
        </w:rPr>
        <w:t xml:space="preserve"> mortality seasonality, we used wavelet and </w:t>
      </w:r>
      <w:r w:rsidR="00F557A4"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analyses, which allowed not only systematically identifying and </w:t>
      </w:r>
      <w:r w:rsidR="00F557A4" w:rsidRPr="00C0501F">
        <w:rPr>
          <w:rFonts w:ascii="Times New Roman" w:hAnsi="Times New Roman"/>
          <w:sz w:val="24"/>
          <w:szCs w:val="24"/>
          <w:lang w:val="en-US"/>
        </w:rPr>
        <w:t>characterizing</w:t>
      </w:r>
      <w:r w:rsidRPr="00C0501F">
        <w:rPr>
          <w:rFonts w:ascii="Times New Roman" w:hAnsi="Times New Roman"/>
          <w:sz w:val="24"/>
          <w:szCs w:val="24"/>
          <w:lang w:val="en-US"/>
        </w:rPr>
        <w:t xml:space="preserve"> seasonality, but also examining how it changes or disappears over time.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seasonality over three decades in relation to age, sex, and geography allowed us to identify distinct seasonal </w:t>
      </w:r>
      <w:r w:rsidR="00F557A4" w:rsidRPr="00C0501F">
        <w:rPr>
          <w:rFonts w:ascii="Times New Roman" w:hAnsi="Times New Roman"/>
          <w:sz w:val="24"/>
          <w:szCs w:val="24"/>
          <w:lang w:val="en-US"/>
        </w:rPr>
        <w:t>behaviors</w:t>
      </w:r>
      <w:r w:rsidR="000210D1" w:rsidRPr="00C0501F">
        <w:rPr>
          <w:rFonts w:ascii="Times New Roman" w:hAnsi="Times New Roman"/>
          <w:sz w:val="24"/>
          <w:szCs w:val="24"/>
          <w:lang w:val="en-US"/>
        </w:rPr>
        <w:t xml:space="preserve"> in relation to age and sex, including the higher summer mortality in young men which has rarely been reported,</w:t>
      </w:r>
      <w:r w:rsidR="000210D1"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0210D1"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w:t>
      </w:r>
      <w:r w:rsidR="000210D1" w:rsidRPr="00C0501F">
        <w:rPr>
          <w:rFonts w:ascii="Times New Roman" w:hAnsi="Times New Roman"/>
          <w:sz w:val="24"/>
          <w:szCs w:val="24"/>
          <w:lang w:val="en-US"/>
        </w:rPr>
        <w:fldChar w:fldCharType="end"/>
      </w:r>
      <w:r w:rsidR="000210D1" w:rsidRPr="00C0501F">
        <w:rPr>
          <w:rFonts w:ascii="Times New Roman" w:hAnsi="Times New Roman"/>
          <w:sz w:val="24"/>
          <w:szCs w:val="24"/>
          <w:lang w:val="en-US"/>
        </w:rPr>
        <w:t xml:space="preserve"> and to establish that mortality seasonality is consistent sub-nationally in terms of both timing and magnitude. Insights of this kind would not have been possible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data averaged over time or fixed to pre-specified frequencies. </w:t>
      </w:r>
    </w:p>
    <w:p w14:paraId="1E0911EF" w14:textId="77777777" w:rsidR="000210D1" w:rsidRPr="00C0501F" w:rsidRDefault="000210D1" w:rsidP="00C33FFB">
      <w:pPr>
        <w:spacing w:after="0" w:line="480" w:lineRule="auto"/>
        <w:jc w:val="both"/>
        <w:outlineLvl w:val="0"/>
        <w:rPr>
          <w:rFonts w:ascii="Times New Roman" w:hAnsi="Times New Roman"/>
          <w:sz w:val="24"/>
          <w:szCs w:val="24"/>
          <w:lang w:val="en-US"/>
        </w:rPr>
      </w:pPr>
    </w:p>
    <w:p w14:paraId="670B2812" w14:textId="4097BA00"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 substantial decline in seasonal mortality differences in adolescents and young adults may be related to diminishing role of injuries, especially from road traffic crashes, which are more likely to occur in the summer months,</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&lt;EndNote&gt;&lt;Cite&gt;&lt;Author&gt;Statistics&lt;/Author&gt;&lt;Year&gt;2012&lt;/Year&gt;&lt;RecNum&gt;951&lt;/RecNum&gt;&lt;DisplayText&gt;(20, 21)&lt;/DisplayText&gt;&lt;record&gt;&lt;rec-number&gt;951&lt;/rec-number&gt;&lt;foreign-keys&gt;&lt;key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(20, 21)</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and are more common in men. The weakening of seasonality in children under five years of age may be related to the reduction of deaths from respiratory causes, which have a strong seasonality, </w:t>
      </w:r>
      <w:r w:rsidR="002317EC" w:rsidRPr="00C0501F">
        <w:rPr>
          <w:rFonts w:ascii="Times New Roman" w:hAnsi="Times New Roman"/>
          <w:sz w:val="24"/>
          <w:szCs w:val="24"/>
          <w:lang w:val="en-US"/>
        </w:rPr>
        <w:t>and the accompanying</w:t>
      </w:r>
      <w:r w:rsidRPr="00C0501F">
        <w:rPr>
          <w:rFonts w:ascii="Times New Roman" w:hAnsi="Times New Roman"/>
          <w:sz w:val="24"/>
          <w:szCs w:val="24"/>
          <w:lang w:val="en-US"/>
        </w:rPr>
        <w:t xml:space="preserve"> increase in the proportion of deaths that occur in the neonatal period, which do not vary noticeably throughout the year.</w:t>
      </w:r>
      <w:r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(17, 20, 22, 23)</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Further elucidation on the causes of d</w:t>
      </w:r>
      <w:r w:rsidR="00DB65EC" w:rsidRPr="00C0501F">
        <w:rPr>
          <w:rFonts w:ascii="Times New Roman" w:hAnsi="Times New Roman"/>
          <w:sz w:val="24"/>
          <w:szCs w:val="24"/>
          <w:lang w:val="en-US"/>
        </w:rPr>
        <w:t>eseasonaliz</w:t>
      </w:r>
      <w:r w:rsidRPr="00C0501F">
        <w:rPr>
          <w:rFonts w:ascii="Times New Roman" w:hAnsi="Times New Roman"/>
          <w:sz w:val="24"/>
          <w:szCs w:val="24"/>
          <w:lang w:val="en-US"/>
        </w:rPr>
        <w:t xml:space="preserve">ation in these age groups requires </w:t>
      </w:r>
      <w:r w:rsidR="00F557A4" w:rsidRPr="00C0501F">
        <w:rPr>
          <w:rFonts w:ascii="Times New Roman" w:hAnsi="Times New Roman"/>
          <w:sz w:val="24"/>
          <w:szCs w:val="24"/>
          <w:lang w:val="en-US"/>
        </w:rPr>
        <w:t>analyzing</w:t>
      </w:r>
      <w:r w:rsidRPr="00C0501F">
        <w:rPr>
          <w:rFonts w:ascii="Times New Roman" w:hAnsi="Times New Roman"/>
          <w:sz w:val="24"/>
          <w:szCs w:val="24"/>
          <w:lang w:val="en-US"/>
        </w:rPr>
        <w:t xml:space="preserve"> changes in the composition of causes of deaths, as well as shifts in seasonality of causes of death themselves. </w:t>
      </w:r>
    </w:p>
    <w:p w14:paraId="320D38F2" w14:textId="77777777" w:rsidR="000210D1" w:rsidRPr="00C0501F" w:rsidRDefault="000210D1" w:rsidP="00C33FFB">
      <w:pPr>
        <w:spacing w:after="0" w:line="480" w:lineRule="auto"/>
        <w:jc w:val="both"/>
        <w:rPr>
          <w:rFonts w:ascii="Times New Roman" w:hAnsi="Times New Roman"/>
          <w:sz w:val="24"/>
          <w:szCs w:val="24"/>
          <w:lang w:val="en-US"/>
        </w:rPr>
      </w:pPr>
    </w:p>
    <w:p w14:paraId="404E5FCD" w14:textId="0A6B1265"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C0501F">
        <w:rPr>
          <w:rFonts w:ascii="Times New Roman" w:hAnsi="Times New Roman"/>
          <w:sz w:val="24"/>
          <w:szCs w:val="24"/>
          <w:lang w:val="en-US"/>
        </w:rPr>
        <w:t xml:space="preserve">of such interventions </w:t>
      </w:r>
      <w:r w:rsidRPr="00C0501F">
        <w:rPr>
          <w:rFonts w:ascii="Times New Roman" w:hAnsi="Times New Roman"/>
          <w:sz w:val="24"/>
          <w:szCs w:val="24"/>
          <w:lang w:val="en-US"/>
        </w:rPr>
        <w:t>include enhancing the availability of both environmental and medical protective factors, such as better insulation of homes, winter heating provision and flu vaccinations, for the vulnerable older population.</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&lt;EndNote&gt;&lt;Cite&gt;&lt;Author&gt;England&lt;/Author&gt;&lt;Year&gt;2016&lt;/Year&gt;&lt;RecNum&gt;953&lt;/RecNum&gt;&lt;DisplayText&gt;(24)&lt;/DisplayText&gt;&lt;record&gt;&lt;rec-number&gt;953&lt;/rec-number&gt;&lt;foreign-keys&gt;&lt;key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(24)</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(4, 24, 25)</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&lt;EndNote&gt;&lt;Cite&gt;&lt;Author&gt;Morris&lt;/Author&gt;&lt;Year&gt;2013&lt;/Year&gt;&lt;RecNum&gt;955&lt;/RecNum&gt;&lt;DisplayText&gt;(26)&lt;/DisplayText&gt;&lt;record&gt;&lt;rec-number&gt;955&lt;/rec-number&gt;&lt;foreign-keys&gt;&lt;key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Such interventions are important today, and will remain so as the population ages and climate change increases the within- and between-season weather variability.</w:t>
      </w:r>
    </w:p>
    <w:p w14:paraId="7AC6197F" w14:textId="77777777" w:rsidR="001C3C8D" w:rsidRPr="00C0501F" w:rsidRDefault="001C3C8D" w:rsidP="00C33FFB">
      <w:pPr>
        <w:spacing w:after="0" w:line="480" w:lineRule="auto"/>
        <w:jc w:val="both"/>
        <w:rPr>
          <w:rFonts w:ascii="Times New Roman" w:hAnsi="Times New Roman"/>
          <w:sz w:val="24"/>
          <w:szCs w:val="24"/>
          <w:lang w:val="en-US"/>
        </w:rPr>
      </w:pPr>
    </w:p>
    <w:p w14:paraId="0272D539" w14:textId="569C447C" w:rsidR="001C3C8D" w:rsidRPr="00C0501F" w:rsidRDefault="001C3C8D" w:rsidP="001C3C8D">
      <w:pPr>
        <w:spacing w:after="0" w:line="48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Methods</w:t>
      </w:r>
      <w:r w:rsidR="00B35118" w:rsidRPr="00C0501F">
        <w:rPr>
          <w:rFonts w:ascii="Times New Roman" w:hAnsi="Times New Roman"/>
          <w:b/>
          <w:color w:val="000000" w:themeColor="text1"/>
          <w:sz w:val="24"/>
          <w:szCs w:val="24"/>
          <w:lang w:val="en-US"/>
        </w:rPr>
        <w:t xml:space="preserve"> and methods</w:t>
      </w:r>
    </w:p>
    <w:p w14:paraId="0A6AA182"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Data</w:t>
      </w:r>
    </w:p>
    <w:p w14:paraId="37C2BBBD" w14:textId="4F39617D" w:rsidR="001C3C8D" w:rsidRPr="00C0501F" w:rsidRDefault="001C3C8D" w:rsidP="001C3C8D">
      <w:pPr>
        <w:spacing w:after="0" w:line="480" w:lineRule="auto"/>
        <w:jc w:val="both"/>
        <w:rPr>
          <w:rFonts w:ascii="Times New Roman" w:hAnsi="Times New Roman"/>
          <w:color w:val="000000" w:themeColor="text1"/>
          <w:sz w:val="24"/>
          <w:szCs w:val="24"/>
          <w:lang w:val="en-US"/>
        </w:rPr>
      </w:pPr>
      <w:r w:rsidRPr="00C0501F">
        <w:rPr>
          <w:rStyle w:val="apple-style-span"/>
          <w:rFonts w:ascii="Times New Roman" w:hAnsi="Times New Roman"/>
          <w:color w:val="000000" w:themeColor="text1"/>
          <w:sz w:val="24"/>
          <w:szCs w:val="24"/>
          <w:lang w:val="en-US"/>
        </w:rPr>
        <w:t xml:space="preserve">We </w:t>
      </w:r>
      <w:r w:rsidR="005F1013" w:rsidRPr="00C0501F">
        <w:rPr>
          <w:rStyle w:val="apple-style-span"/>
          <w:rFonts w:ascii="Times New Roman" w:hAnsi="Times New Roman"/>
          <w:color w:val="000000" w:themeColor="text1"/>
          <w:sz w:val="24"/>
          <w:szCs w:val="24"/>
          <w:lang w:val="en-US"/>
        </w:rPr>
        <w:t xml:space="preserve">used </w:t>
      </w:r>
      <w:r w:rsidRPr="00C0501F">
        <w:rPr>
          <w:rStyle w:val="apple-style-span"/>
          <w:rFonts w:ascii="Times New Roman" w:hAnsi="Times New Roman"/>
          <w:color w:val="000000" w:themeColor="text1"/>
          <w:sz w:val="24"/>
          <w:szCs w:val="24"/>
          <w:lang w:val="en-US"/>
        </w:rPr>
        <w:t xml:space="preserve">data on all 73,804,561 deaths in the USA from 1982 to 2013 from the National Center for Health Statistics (NCHS). </w:t>
      </w:r>
      <w:r w:rsidRPr="00C0501F">
        <w:rPr>
          <w:rFonts w:ascii="Times New Roman" w:hAnsi="Times New Roman"/>
          <w:color w:val="000000" w:themeColor="text1"/>
          <w:sz w:val="24"/>
          <w:szCs w:val="24"/>
          <w:lang w:val="en-US"/>
        </w:rPr>
        <w:t>Age, sex, state of residence, and month of death were available for each record. Yearly population counts were available from NCHS for 1990 to 2013 and from the US Census Bureau prior to 1990.</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&lt;EndNote&gt;&lt;Cite&gt;&lt;Author&gt;Ingram&lt;/Author&gt;&lt;Year&gt;2003&lt;/Year&gt;&lt;RecNum&gt;456&lt;/RecNum&gt;&lt;DisplayText&gt;(27)&lt;/DisplayText&gt;&lt;record&gt;&lt;rec-number&gt;456&lt;/rec-number&gt;&lt;foreign-keys&gt;&lt;key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(27)</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We inferred monthly population counts through linear interpolation, assigning each yearly count to July.</w:t>
      </w:r>
      <w:r w:rsidRPr="00C0501F">
        <w:rPr>
          <w:rFonts w:ascii="Times New Roman" w:hAnsi="Times New Roman"/>
          <w:sz w:val="24"/>
          <w:szCs w:val="24"/>
          <w:lang w:val="en-US"/>
        </w:rPr>
        <w:t xml:space="preserve"> We also subdivided the national data geographically by climate regions used by the National Oceanic and Atmospheric Administration (Figure 1).</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&lt;EndNote&gt;&lt;Cite&gt;&lt;Author&gt;Karl&lt;/Author&gt;&lt;Year&gt;1984&lt;/Year&gt;&lt;RecNum&gt;454&lt;/RecNum&gt;&lt;DisplayText&gt;(28)&lt;/DisplayText&gt;&lt;record&gt;&lt;rec-number&gt;454&lt;/rec-number&gt;&lt;foreign-keys&gt;&lt;key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(28)</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t>
      </w:r>
    </w:p>
    <w:p w14:paraId="44A92561"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80BE217"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AED5CC0"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F0C2E22" w14:textId="401DB9FD" w:rsidR="001C3C8D" w:rsidRPr="00C0501F" w:rsidRDefault="001C3C8D" w:rsidP="001C3C8D">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We obtained data on temperature from ERA-Interim, which combines predictions from a physical model with ground-based and satellite measurements.</w:t>
      </w:r>
      <w:r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(29)</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We used gridded four-times-daily estimates at a resolution of 80km to generate monthly population-weighted temperature by climate region throughout the analysis period.</w:t>
      </w:r>
    </w:p>
    <w:p w14:paraId="015295EA"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84DD107"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Statistical methods</w:t>
      </w:r>
    </w:p>
    <w:p w14:paraId="3C58DB07" w14:textId="7FA9F5B1" w:rsidR="001C3C8D" w:rsidRPr="00C0501F" w:rsidRDefault="001C3C8D" w:rsidP="001C3C8D">
      <w:pPr>
        <w:widowControl w:val="0"/>
        <w:autoSpaceDE w:val="0"/>
        <w:autoSpaceDN w:val="0"/>
        <w:adjustRightInd w:val="0"/>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&lt;EndNote&gt;&lt;Cite&gt;&lt;Author&gt;Cazelles&lt;/Author&gt;&lt;Year&gt;2008&lt;/Year&gt;&lt;RecNum&gt;455&lt;/RecNum&gt;&lt;DisplayText&gt;(30)&lt;/DisplayText&gt;&lt;record&gt;&lt;rec-number&gt;455&lt;/rec-number&gt;&lt;foreign-keys&gt;&lt;key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is equivalent to using a moving window on the death rate time series and </w:t>
      </w:r>
      <w:r w:rsidR="00F557A4" w:rsidRPr="00C0501F">
        <w:rPr>
          <w:rFonts w:ascii="Times New Roman" w:hAnsi="Times New Roman"/>
          <w:color w:val="000000" w:themeColor="text1"/>
          <w:sz w:val="24"/>
          <w:szCs w:val="24"/>
          <w:lang w:val="en-US"/>
        </w:rPr>
        <w:t>analyzing</w:t>
      </w:r>
      <w:r w:rsidRPr="00C0501F">
        <w:rPr>
          <w:rFonts w:ascii="Times New Roman" w:hAnsi="Times New Roman"/>
          <w:color w:val="000000" w:themeColor="text1"/>
          <w:sz w:val="24"/>
          <w:szCs w:val="24"/>
          <w:lang w:val="en-US"/>
        </w:rPr>
        <w:t xml:space="preserve"> periodicity in each window using a short-form Fourier transform, hence generating a dynamic spectral analysis. The resulting coefficients can be presented on a two-dimensional plot of time against frequency (Figure 2). Importantly, wavelet analysis is able to measure dynamic seasonal </w:t>
      </w:r>
      <w:r w:rsidR="00F557A4" w:rsidRPr="00C0501F">
        <w:rPr>
          <w:rFonts w:ascii="Times New Roman" w:hAnsi="Times New Roman"/>
          <w:color w:val="000000" w:themeColor="text1"/>
          <w:sz w:val="24"/>
          <w:szCs w:val="24"/>
          <w:lang w:val="en-US"/>
        </w:rPr>
        <w:t>behavior</w:t>
      </w:r>
      <w:r w:rsidRPr="00C0501F">
        <w:rPr>
          <w:rFonts w:ascii="Times New Roman" w:hAnsi="Times New Roman"/>
          <w:color w:val="000000" w:themeColor="text1"/>
          <w:sz w:val="24"/>
          <w:szCs w:val="24"/>
          <w:lang w:val="en-US"/>
        </w:rPr>
        <w:t xml:space="preserve">, in which the periodicity of death rates may disappear, emerge, or change over time. This is not possible in standard Fourier analysis or when fitting a statistical model with a period basis function. We used the R package WaveletComp (version 1.0) for the wavelet analysis. Before analysis, we logarithmically transformed death rates, detrended using a polynomial regression, and rescaled each all-cause mortality death rate time series so as to range between 1 and -1. </w:t>
      </w:r>
    </w:p>
    <w:p w14:paraId="37D7668C"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D85DBE1" w14:textId="3B93DB3D" w:rsidR="001C3C8D" w:rsidRPr="00C0501F" w:rsidRDefault="001C3C8D" w:rsidP="001C3C8D">
      <w:pPr>
        <w:pStyle w:val="CommentText"/>
        <w:spacing w:line="480" w:lineRule="auto"/>
        <w:jc w:val="both"/>
        <w:rPr>
          <w:rFonts w:ascii="Times New Roman" w:hAnsi="Times New Roman" w:cs="Times New Roman"/>
          <w:noProof/>
          <w:sz w:val="24"/>
          <w:szCs w:val="24"/>
          <w:lang w:val="en-US"/>
        </w:rPr>
      </w:pPr>
      <w:r w:rsidRPr="00C0501F">
        <w:rPr>
          <w:rFonts w:ascii="Times New Roman" w:hAnsi="Times New Roman" w:cs="Times New Roman"/>
          <w:color w:val="000000" w:themeColor="text1"/>
          <w:sz w:val="24"/>
          <w:szCs w:val="24"/>
          <w:lang w:val="en-US"/>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and the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of monthly death rates. These parameters estimate when in the year, on average, maximum and minimum death rates occur, respectively. For calculating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its death rate; for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the difference between its death rate and the year’s maximum death rate. </w:t>
      </w:r>
      <w:r w:rsidRPr="00C0501F">
        <w:rPr>
          <w:rFonts w:ascii="Times New Roman" w:hAnsi="Times New Roman" w:cs="Times New Roman"/>
          <w:sz w:val="24"/>
          <w:szCs w:val="24"/>
          <w:lang w:val="en-US"/>
        </w:rPr>
        <w:t xml:space="preserve">In taking the weighted average, we allowed </w:t>
      </w:r>
      <w:r w:rsidRPr="00C0501F">
        <w:rPr>
          <w:rFonts w:ascii="Times New Roman" w:hAnsi="Times New Roman" w:cs="Times New Roman"/>
          <w:noProof/>
          <w:sz w:val="24"/>
          <w:szCs w:val="24"/>
          <w:lang w:val="en-US"/>
        </w:rPr>
        <w:t xml:space="preserve">January (month 1) to neighbour December (month 12), a technique called circular statistics. </w:t>
      </w:r>
      <w:r w:rsidRPr="00C0501F">
        <w:rPr>
          <w:rFonts w:ascii="Times New Roman" w:hAnsi="Times New Roman" w:cs="Times New Roman"/>
          <w:color w:val="000000" w:themeColor="text1"/>
          <w:sz w:val="24"/>
          <w:szCs w:val="24"/>
          <w:lang w:val="en-US"/>
        </w:rPr>
        <w:t>Along with each circular mean, a 95% confidence interval (CI) was calculated by using 1000 bootstrap samples. The R package CircStats (version 0.2.4) was used for this purpose.</w:t>
      </w:r>
    </w:p>
    <w:p w14:paraId="73512A77"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9C64C72" w14:textId="478BC358" w:rsidR="000210D1" w:rsidRPr="00C0501F" w:rsidRDefault="001C3C8D" w:rsidP="00841B48">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376F84F6"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4C4C9926" w14:textId="77777777" w:rsidR="000210D1" w:rsidRPr="00C0501F" w:rsidRDefault="000210D1" w:rsidP="00C33FFB">
      <w:pPr>
        <w:spacing w:after="0" w:line="48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References</w:t>
      </w:r>
    </w:p>
    <w:p w14:paraId="17CB209E" w14:textId="77777777" w:rsidR="000E3A7A" w:rsidRPr="00C0501F" w:rsidRDefault="000210D1" w:rsidP="000E3A7A">
      <w:pPr>
        <w:pStyle w:val="EndNoteBibliography"/>
        <w:spacing w:after="0"/>
        <w:ind w:left="720" w:hanging="720"/>
        <w:rPr>
          <w:noProof/>
        </w:rPr>
      </w:pPr>
      <w:r w:rsidRPr="00C0501F">
        <w:rPr>
          <w:rFonts w:ascii="Times New Roman" w:hAnsi="Times New Roman"/>
          <w:color w:val="000000" w:themeColor="text1"/>
          <w:sz w:val="24"/>
          <w:szCs w:val="24"/>
        </w:rPr>
        <w:fldChar w:fldCharType="begin"/>
      </w:r>
      <w:r w:rsidRPr="00C0501F">
        <w:rPr>
          <w:rFonts w:ascii="Times New Roman" w:hAnsi="Times New Roman"/>
          <w:color w:val="000000" w:themeColor="text1"/>
          <w:sz w:val="24"/>
          <w:szCs w:val="24"/>
        </w:rPr>
        <w:instrText xml:space="preserve"> ADDIN EN.REFLIST </w:instrText>
      </w:r>
      <w:r w:rsidRPr="00C0501F">
        <w:rPr>
          <w:rFonts w:ascii="Times New Roman" w:hAnsi="Times New Roman"/>
          <w:color w:val="000000" w:themeColor="text1"/>
          <w:sz w:val="24"/>
          <w:szCs w:val="24"/>
        </w:rPr>
        <w:fldChar w:fldCharType="separate"/>
      </w:r>
      <w:r w:rsidR="000E3A7A" w:rsidRPr="00C0501F">
        <w:rPr>
          <w:noProof/>
        </w:rPr>
        <w:t>1.</w:t>
      </w:r>
      <w:r w:rsidR="000E3A7A" w:rsidRPr="00C0501F">
        <w:rPr>
          <w:noProof/>
        </w:rPr>
        <w:tab/>
        <w:t xml:space="preserve">Langford IH &amp; Bentham G (1995) The potential effects of climate change on winter mortality in England and Wales. </w:t>
      </w:r>
      <w:r w:rsidR="000E3A7A" w:rsidRPr="00C0501F">
        <w:rPr>
          <w:i/>
          <w:noProof/>
        </w:rPr>
        <w:t>Int J Biometeorol</w:t>
      </w:r>
      <w:r w:rsidR="000E3A7A" w:rsidRPr="00C0501F">
        <w:rPr>
          <w:noProof/>
        </w:rPr>
        <w:t xml:space="preserve"> 38(3):141-147.</w:t>
      </w:r>
    </w:p>
    <w:p w14:paraId="64B9DC59" w14:textId="77777777" w:rsidR="000E3A7A" w:rsidRPr="00C0501F" w:rsidRDefault="000E3A7A" w:rsidP="000E3A7A">
      <w:pPr>
        <w:pStyle w:val="EndNoteBibliography"/>
        <w:spacing w:after="0"/>
        <w:ind w:left="720" w:hanging="720"/>
        <w:rPr>
          <w:noProof/>
        </w:rPr>
      </w:pPr>
      <w:r w:rsidRPr="00C0501F">
        <w:rPr>
          <w:noProof/>
        </w:rPr>
        <w:t>2.</w:t>
      </w:r>
      <w:r w:rsidRPr="00C0501F">
        <w:rPr>
          <w:noProof/>
        </w:rPr>
        <w:tab/>
        <w:t xml:space="preserve">Martens WJ (1998) Climate change, thermal stress and mortality changes. </w:t>
      </w:r>
      <w:r w:rsidRPr="00C0501F">
        <w:rPr>
          <w:i/>
          <w:noProof/>
        </w:rPr>
        <w:t>Soc Sci Med</w:t>
      </w:r>
      <w:r w:rsidRPr="00C0501F">
        <w:rPr>
          <w:noProof/>
        </w:rPr>
        <w:t xml:space="preserve"> 46(3):331-344.</w:t>
      </w:r>
    </w:p>
    <w:p w14:paraId="3EAE95E3" w14:textId="77777777" w:rsidR="000E3A7A" w:rsidRPr="00C0501F" w:rsidRDefault="000E3A7A" w:rsidP="000E3A7A">
      <w:pPr>
        <w:pStyle w:val="EndNoteBibliography"/>
        <w:spacing w:after="0"/>
        <w:ind w:left="720" w:hanging="720"/>
        <w:rPr>
          <w:noProof/>
        </w:rPr>
      </w:pPr>
      <w:r w:rsidRPr="00C0501F">
        <w:rPr>
          <w:noProof/>
        </w:rPr>
        <w:t>3.</w:t>
      </w:r>
      <w:r w:rsidRPr="00C0501F">
        <w:rPr>
          <w:noProof/>
        </w:rPr>
        <w:tab/>
        <w:t xml:space="preserve">McKee C (1989) Deaths in winter: can Britain learn from Europe? </w:t>
      </w:r>
      <w:r w:rsidRPr="00C0501F">
        <w:rPr>
          <w:i/>
          <w:noProof/>
        </w:rPr>
        <w:t>European journal of epidemiology</w:t>
      </w:r>
      <w:r w:rsidRPr="00C0501F">
        <w:rPr>
          <w:noProof/>
        </w:rPr>
        <w:t xml:space="preserve"> 5(2):178-182.</w:t>
      </w:r>
    </w:p>
    <w:p w14:paraId="289C4A56" w14:textId="77777777" w:rsidR="000E3A7A" w:rsidRPr="00C0501F" w:rsidRDefault="000E3A7A" w:rsidP="000E3A7A">
      <w:pPr>
        <w:pStyle w:val="EndNoteBibliography"/>
        <w:spacing w:after="0"/>
        <w:ind w:left="720" w:hanging="720"/>
        <w:rPr>
          <w:noProof/>
        </w:rPr>
      </w:pPr>
      <w:r w:rsidRPr="00C0501F">
        <w:rPr>
          <w:noProof/>
        </w:rPr>
        <w:t>4.</w:t>
      </w:r>
      <w:r w:rsidRPr="00C0501F">
        <w:rPr>
          <w:noProof/>
        </w:rPr>
        <w:tab/>
        <w:t xml:space="preserve">Healy JD (2003) Excess winter mortality in Europe: a cross country analysis identifying key risk factors. </w:t>
      </w:r>
      <w:r w:rsidRPr="00C0501F">
        <w:rPr>
          <w:i/>
          <w:noProof/>
        </w:rPr>
        <w:t>Journal of Epidemiology and Community Health</w:t>
      </w:r>
      <w:r w:rsidRPr="00C0501F">
        <w:rPr>
          <w:noProof/>
        </w:rPr>
        <w:t xml:space="preserve"> 57(10):784-789.</w:t>
      </w:r>
    </w:p>
    <w:p w14:paraId="3B5D9906" w14:textId="77777777" w:rsidR="000E3A7A" w:rsidRPr="00C0501F" w:rsidRDefault="000E3A7A" w:rsidP="000E3A7A">
      <w:pPr>
        <w:pStyle w:val="EndNoteBibliography"/>
        <w:spacing w:after="0"/>
        <w:ind w:left="720" w:hanging="720"/>
        <w:rPr>
          <w:noProof/>
        </w:rPr>
      </w:pPr>
      <w:r w:rsidRPr="00C0501F">
        <w:rPr>
          <w:noProof/>
        </w:rPr>
        <w:t>5.</w:t>
      </w:r>
      <w:r w:rsidRPr="00C0501F">
        <w:rPr>
          <w:noProof/>
        </w:rPr>
        <w:tab/>
        <w:t xml:space="preserve">Campbell A (2016) Excess winter mortality in England and Wales: 2015/16 (provisional) and 2014/15 (final). </w:t>
      </w:r>
      <w:r w:rsidRPr="00C0501F">
        <w:rPr>
          <w:i/>
          <w:noProof/>
        </w:rPr>
        <w:t>Statistical bulletin, Office for National Statistics</w:t>
      </w:r>
      <w:r w:rsidRPr="00C0501F">
        <w:rPr>
          <w:noProof/>
        </w:rPr>
        <w:t>.</w:t>
      </w:r>
    </w:p>
    <w:p w14:paraId="5CDB9BE1" w14:textId="77777777" w:rsidR="000E3A7A" w:rsidRPr="00C0501F" w:rsidRDefault="000E3A7A" w:rsidP="000E3A7A">
      <w:pPr>
        <w:pStyle w:val="EndNoteBibliography"/>
        <w:spacing w:after="0"/>
        <w:ind w:left="720" w:hanging="720"/>
        <w:rPr>
          <w:noProof/>
        </w:rPr>
      </w:pPr>
      <w:r w:rsidRPr="00C0501F">
        <w:rPr>
          <w:noProof/>
        </w:rPr>
        <w:t>6.</w:t>
      </w:r>
      <w:r w:rsidRPr="00C0501F">
        <w:rPr>
          <w:noProof/>
        </w:rPr>
        <w:tab/>
        <w:t>Fowler T</w:t>
      </w:r>
      <w:r w:rsidRPr="00C0501F">
        <w:rPr>
          <w:i/>
          <w:noProof/>
        </w:rPr>
        <w:t>, et al.</w:t>
      </w:r>
      <w:r w:rsidRPr="00C0501F">
        <w:rPr>
          <w:noProof/>
        </w:rPr>
        <w:t xml:space="preserve"> (2015) Excess winter deaths in Europe: a multi-country descriptive analysis. </w:t>
      </w:r>
      <w:r w:rsidRPr="00C0501F">
        <w:rPr>
          <w:i/>
          <w:noProof/>
        </w:rPr>
        <w:t>Eur J Public Health</w:t>
      </w:r>
      <w:r w:rsidRPr="00C0501F">
        <w:rPr>
          <w:noProof/>
        </w:rPr>
        <w:t xml:space="preserve"> 25(2):339-345.</w:t>
      </w:r>
    </w:p>
    <w:p w14:paraId="59EE196C" w14:textId="77777777" w:rsidR="000E3A7A" w:rsidRPr="00C0501F" w:rsidRDefault="000E3A7A" w:rsidP="000E3A7A">
      <w:pPr>
        <w:pStyle w:val="EndNoteBibliography"/>
        <w:spacing w:after="0"/>
        <w:ind w:left="720" w:hanging="720"/>
        <w:rPr>
          <w:noProof/>
        </w:rPr>
      </w:pPr>
      <w:r w:rsidRPr="00C0501F">
        <w:rPr>
          <w:noProof/>
        </w:rPr>
        <w:t>7.</w:t>
      </w:r>
      <w:r w:rsidRPr="00C0501F">
        <w:rPr>
          <w:noProof/>
        </w:rPr>
        <w:tab/>
        <w:t xml:space="preserve">Davis RE, Knappenberger PC, Michaels PJ, &amp; Novicoff WM (2004) Seasonality of climate-human mortality relationships in US cities and impacts of climate change. </w:t>
      </w:r>
      <w:r w:rsidRPr="00C0501F">
        <w:rPr>
          <w:i/>
          <w:noProof/>
        </w:rPr>
        <w:t>Climate Research</w:t>
      </w:r>
      <w:r w:rsidRPr="00C0501F">
        <w:rPr>
          <w:noProof/>
        </w:rPr>
        <w:t xml:space="preserve"> 26(1):61-76.</w:t>
      </w:r>
    </w:p>
    <w:p w14:paraId="5189175B" w14:textId="77777777" w:rsidR="000E3A7A" w:rsidRPr="00C0501F" w:rsidRDefault="000E3A7A" w:rsidP="000E3A7A">
      <w:pPr>
        <w:pStyle w:val="EndNoteBibliography"/>
        <w:spacing w:after="0"/>
        <w:ind w:left="720" w:hanging="720"/>
        <w:rPr>
          <w:noProof/>
        </w:rPr>
      </w:pPr>
      <w:r w:rsidRPr="00C0501F">
        <w:rPr>
          <w:noProof/>
        </w:rPr>
        <w:t>8.</w:t>
      </w:r>
      <w:r w:rsidRPr="00C0501F">
        <w:rPr>
          <w:noProof/>
        </w:rPr>
        <w:tab/>
        <w:t xml:space="preserve">Medina-Ramon M &amp; Schwartz J (2007) Temperature, temperature extremes, and mortality: a study of acclimatisation and effect modification in 50 US cities. </w:t>
      </w:r>
      <w:r w:rsidRPr="00C0501F">
        <w:rPr>
          <w:i/>
          <w:noProof/>
        </w:rPr>
        <w:t>Occupational and Environmental Medicine</w:t>
      </w:r>
      <w:r w:rsidRPr="00C0501F">
        <w:rPr>
          <w:noProof/>
        </w:rPr>
        <w:t xml:space="preserve"> 64(12):827-833.</w:t>
      </w:r>
    </w:p>
    <w:p w14:paraId="0BDC8E2B" w14:textId="77777777" w:rsidR="000E3A7A" w:rsidRPr="00C0501F" w:rsidRDefault="000E3A7A" w:rsidP="000E3A7A">
      <w:pPr>
        <w:pStyle w:val="EndNoteBibliography"/>
        <w:spacing w:after="0"/>
        <w:ind w:left="720" w:hanging="720"/>
        <w:rPr>
          <w:noProof/>
        </w:rPr>
      </w:pPr>
      <w:r w:rsidRPr="00C0501F">
        <w:rPr>
          <w:noProof/>
        </w:rPr>
        <w:t>9.</w:t>
      </w:r>
      <w:r w:rsidRPr="00C0501F">
        <w:rPr>
          <w:noProof/>
        </w:rPr>
        <w:tab/>
        <w:t xml:space="preserve">Kalkstein AJ (2013) Regional similarities in seasonal mortality across the United States: an examination of 28 metropolitan statistical areas. </w:t>
      </w:r>
      <w:r w:rsidRPr="00C0501F">
        <w:rPr>
          <w:i/>
          <w:noProof/>
        </w:rPr>
        <w:t>PloS one</w:t>
      </w:r>
      <w:r w:rsidRPr="00C0501F">
        <w:rPr>
          <w:noProof/>
        </w:rPr>
        <w:t xml:space="preserve"> 8(5):e63971.</w:t>
      </w:r>
    </w:p>
    <w:p w14:paraId="5EF4C638" w14:textId="77777777" w:rsidR="000E3A7A" w:rsidRPr="00C0501F" w:rsidRDefault="000E3A7A" w:rsidP="000E3A7A">
      <w:pPr>
        <w:pStyle w:val="EndNoteBibliography"/>
        <w:spacing w:after="0"/>
        <w:ind w:left="720" w:hanging="720"/>
        <w:rPr>
          <w:noProof/>
        </w:rPr>
      </w:pPr>
      <w:r w:rsidRPr="00C0501F">
        <w:rPr>
          <w:noProof/>
        </w:rPr>
        <w:t>10.</w:t>
      </w:r>
      <w:r w:rsidRPr="00C0501F">
        <w:rPr>
          <w:noProof/>
        </w:rPr>
        <w:tab/>
        <w:t xml:space="preserve">Braga AL, Zanobetti A, &amp; Schwartz J (2001) The time course of weather-related deaths. </w:t>
      </w:r>
      <w:r w:rsidRPr="00C0501F">
        <w:rPr>
          <w:i/>
          <w:noProof/>
        </w:rPr>
        <w:t>Epidemiology</w:t>
      </w:r>
      <w:r w:rsidRPr="00C0501F">
        <w:rPr>
          <w:noProof/>
        </w:rPr>
        <w:t xml:space="preserve"> 12(6):662-667.</w:t>
      </w:r>
    </w:p>
    <w:p w14:paraId="22900CCF" w14:textId="77777777" w:rsidR="000E3A7A" w:rsidRPr="00C0501F" w:rsidRDefault="000E3A7A" w:rsidP="000E3A7A">
      <w:pPr>
        <w:pStyle w:val="EndNoteBibliography"/>
        <w:spacing w:after="0"/>
        <w:ind w:left="720" w:hanging="720"/>
        <w:rPr>
          <w:noProof/>
        </w:rPr>
      </w:pPr>
      <w:r w:rsidRPr="00C0501F">
        <w:rPr>
          <w:noProof/>
        </w:rPr>
        <w:t>11.</w:t>
      </w:r>
      <w:r w:rsidRPr="00C0501F">
        <w:rPr>
          <w:noProof/>
        </w:rPr>
        <w:tab/>
        <w:t xml:space="preserve">Carson C, Hajat S, Armstrong B, &amp; Wilkinson P (2006) Declining vulnerability to temperature-related mortality in London over the 20th century. </w:t>
      </w:r>
      <w:r w:rsidRPr="00C0501F">
        <w:rPr>
          <w:i/>
          <w:noProof/>
        </w:rPr>
        <w:t>American Journal of Epidemiology</w:t>
      </w:r>
      <w:r w:rsidRPr="00C0501F">
        <w:rPr>
          <w:noProof/>
        </w:rPr>
        <w:t xml:space="preserve"> 164(1):77-84.</w:t>
      </w:r>
    </w:p>
    <w:p w14:paraId="518317B5" w14:textId="77777777" w:rsidR="000E3A7A" w:rsidRPr="00C0501F" w:rsidRDefault="000E3A7A" w:rsidP="000E3A7A">
      <w:pPr>
        <w:pStyle w:val="EndNoteBibliography"/>
        <w:spacing w:after="0"/>
        <w:ind w:left="720" w:hanging="720"/>
        <w:rPr>
          <w:noProof/>
        </w:rPr>
      </w:pPr>
      <w:r w:rsidRPr="00C0501F">
        <w:rPr>
          <w:noProof/>
        </w:rPr>
        <w:t>12.</w:t>
      </w:r>
      <w:r w:rsidRPr="00C0501F">
        <w:rPr>
          <w:noProof/>
        </w:rPr>
        <w:tab/>
        <w:t xml:space="preserve">Sheridan SC, Kalkstein AJ, &amp; Kalkstein LS (2009) Trends in heat-related mortality in the United States, 1975-2004. </w:t>
      </w:r>
      <w:r w:rsidRPr="00C0501F">
        <w:rPr>
          <w:i/>
          <w:noProof/>
        </w:rPr>
        <w:t>Natural Hazards</w:t>
      </w:r>
      <w:r w:rsidRPr="00C0501F">
        <w:rPr>
          <w:noProof/>
        </w:rPr>
        <w:t xml:space="preserve"> 50(1):145-160.</w:t>
      </w:r>
    </w:p>
    <w:p w14:paraId="58701DED" w14:textId="77777777" w:rsidR="000E3A7A" w:rsidRPr="00C0501F" w:rsidRDefault="000E3A7A" w:rsidP="000E3A7A">
      <w:pPr>
        <w:pStyle w:val="EndNoteBibliography"/>
        <w:spacing w:after="0"/>
        <w:ind w:left="720" w:hanging="720"/>
        <w:rPr>
          <w:noProof/>
        </w:rPr>
      </w:pPr>
      <w:r w:rsidRPr="00C0501F">
        <w:rPr>
          <w:noProof/>
        </w:rPr>
        <w:t>13.</w:t>
      </w:r>
      <w:r w:rsidRPr="00C0501F">
        <w:rPr>
          <w:noProof/>
        </w:rPr>
        <w:tab/>
        <w:t xml:space="preserve">Bobb JF, Peng RD, Bell ML, &amp; Dominici F (2014) Heat-related mortality and adaptation to heat in the United States. </w:t>
      </w:r>
      <w:r w:rsidRPr="00C0501F">
        <w:rPr>
          <w:i/>
          <w:noProof/>
        </w:rPr>
        <w:t>Environ Health Perspect</w:t>
      </w:r>
      <w:r w:rsidRPr="00C0501F">
        <w:rPr>
          <w:noProof/>
        </w:rPr>
        <w:t xml:space="preserve"> 122(8):811-816.</w:t>
      </w:r>
    </w:p>
    <w:p w14:paraId="489CCBD7" w14:textId="77777777" w:rsidR="000E3A7A" w:rsidRPr="00C0501F" w:rsidRDefault="000E3A7A" w:rsidP="000E3A7A">
      <w:pPr>
        <w:pStyle w:val="EndNoteBibliography"/>
        <w:spacing w:after="0"/>
        <w:ind w:left="720" w:hanging="720"/>
        <w:rPr>
          <w:noProof/>
        </w:rPr>
      </w:pPr>
      <w:r w:rsidRPr="00C0501F">
        <w:rPr>
          <w:noProof/>
        </w:rPr>
        <w:t>14.</w:t>
      </w:r>
      <w:r w:rsidRPr="00C0501F">
        <w:rPr>
          <w:noProof/>
        </w:rPr>
        <w:tab/>
        <w:t xml:space="preserve">Moy CM, Seltzer GO, Rodbell DT, &amp; Anderson DM (2002) Variability of El Nino/Southern Oscillation activity at millennial timescales during the Holocene epoch. </w:t>
      </w:r>
      <w:r w:rsidRPr="00C0501F">
        <w:rPr>
          <w:i/>
          <w:noProof/>
        </w:rPr>
        <w:t>Nature</w:t>
      </w:r>
      <w:r w:rsidRPr="00C0501F">
        <w:rPr>
          <w:noProof/>
        </w:rPr>
        <w:t xml:space="preserve"> 420(6912):162-165.</w:t>
      </w:r>
    </w:p>
    <w:p w14:paraId="15516AB5" w14:textId="77777777" w:rsidR="000E3A7A" w:rsidRPr="00C0501F" w:rsidRDefault="000E3A7A" w:rsidP="000E3A7A">
      <w:pPr>
        <w:pStyle w:val="EndNoteBibliography"/>
        <w:spacing w:after="0"/>
        <w:ind w:left="720" w:hanging="720"/>
        <w:rPr>
          <w:noProof/>
        </w:rPr>
      </w:pPr>
      <w:r w:rsidRPr="00C0501F">
        <w:rPr>
          <w:noProof/>
        </w:rPr>
        <w:t>15.</w:t>
      </w:r>
      <w:r w:rsidRPr="00C0501F">
        <w:rPr>
          <w:noProof/>
        </w:rPr>
        <w:tab/>
        <w:t xml:space="preserve">Grenfell B, Bjørnstad O, &amp; Kappey J (2001) Travelling waves and spatial hierarchies in measles epidemics. </w:t>
      </w:r>
      <w:r w:rsidRPr="00C0501F">
        <w:rPr>
          <w:i/>
          <w:noProof/>
        </w:rPr>
        <w:t>Nature</w:t>
      </w:r>
      <w:r w:rsidRPr="00C0501F">
        <w:rPr>
          <w:noProof/>
        </w:rPr>
        <w:t xml:space="preserve"> 414(6865):716-723.</w:t>
      </w:r>
    </w:p>
    <w:p w14:paraId="4FB46E1D" w14:textId="77777777" w:rsidR="000E3A7A" w:rsidRPr="00C0501F" w:rsidRDefault="000E3A7A" w:rsidP="000E3A7A">
      <w:pPr>
        <w:pStyle w:val="EndNoteBibliography"/>
        <w:spacing w:after="0"/>
        <w:ind w:left="720" w:hanging="720"/>
        <w:rPr>
          <w:noProof/>
        </w:rPr>
      </w:pPr>
      <w:r w:rsidRPr="00C0501F">
        <w:rPr>
          <w:noProof/>
        </w:rPr>
        <w:t>16.</w:t>
      </w:r>
      <w:r w:rsidRPr="00C0501F">
        <w:rPr>
          <w:noProof/>
        </w:rPr>
        <w:tab/>
        <w:t>Kinney PL</w:t>
      </w:r>
      <w:r w:rsidRPr="00C0501F">
        <w:rPr>
          <w:i/>
          <w:noProof/>
        </w:rPr>
        <w:t>, et al.</w:t>
      </w:r>
      <w:r w:rsidRPr="00C0501F">
        <w:rPr>
          <w:noProof/>
        </w:rPr>
        <w:t xml:space="preserve"> (2015) Winter season mortality: will climate warming bring benefits? </w:t>
      </w:r>
      <w:r w:rsidRPr="00C0501F">
        <w:rPr>
          <w:i/>
          <w:noProof/>
        </w:rPr>
        <w:t>Environmental Research Letters</w:t>
      </w:r>
      <w:r w:rsidRPr="00C0501F">
        <w:rPr>
          <w:noProof/>
        </w:rPr>
        <w:t xml:space="preserve"> 10(6).</w:t>
      </w:r>
    </w:p>
    <w:p w14:paraId="11B7F652" w14:textId="77777777" w:rsidR="000E3A7A" w:rsidRPr="00C0501F" w:rsidRDefault="000E3A7A" w:rsidP="000E3A7A">
      <w:pPr>
        <w:pStyle w:val="EndNoteBibliography"/>
        <w:spacing w:after="0"/>
        <w:ind w:left="720" w:hanging="720"/>
        <w:rPr>
          <w:noProof/>
        </w:rPr>
      </w:pPr>
      <w:r w:rsidRPr="00C0501F">
        <w:rPr>
          <w:noProof/>
        </w:rPr>
        <w:t>17.</w:t>
      </w:r>
      <w:r w:rsidRPr="00C0501F">
        <w:rPr>
          <w:noProof/>
        </w:rPr>
        <w:tab/>
        <w:t xml:space="preserve">Feinstein CA (2002) Seasonality of deaths in the US by age and cause. </w:t>
      </w:r>
      <w:r w:rsidRPr="00C0501F">
        <w:rPr>
          <w:i/>
          <w:noProof/>
        </w:rPr>
        <w:t>Demographic Research</w:t>
      </w:r>
      <w:r w:rsidRPr="00C0501F">
        <w:rPr>
          <w:noProof/>
        </w:rPr>
        <w:t xml:space="preserve"> 6(17):469-486.</w:t>
      </w:r>
    </w:p>
    <w:p w14:paraId="6E7EDD96" w14:textId="77777777" w:rsidR="000E3A7A" w:rsidRPr="00C0501F" w:rsidRDefault="000E3A7A" w:rsidP="000E3A7A">
      <w:pPr>
        <w:pStyle w:val="EndNoteBibliography"/>
        <w:spacing w:after="0"/>
        <w:ind w:left="720" w:hanging="720"/>
        <w:rPr>
          <w:noProof/>
        </w:rPr>
      </w:pPr>
      <w:r w:rsidRPr="00C0501F">
        <w:rPr>
          <w:noProof/>
        </w:rPr>
        <w:t>18.</w:t>
      </w:r>
      <w:r w:rsidRPr="00C0501F">
        <w:rPr>
          <w:noProof/>
        </w:rPr>
        <w:tab/>
        <w:t xml:space="preserve">Mackenbach J, Kunst A, &amp; Looman C (1992) Seasonal variation in mortality in The Netherlands. </w:t>
      </w:r>
      <w:r w:rsidRPr="00C0501F">
        <w:rPr>
          <w:i/>
          <w:noProof/>
        </w:rPr>
        <w:t>Journal of Epidemiology and Community Health</w:t>
      </w:r>
      <w:r w:rsidRPr="00C0501F">
        <w:rPr>
          <w:noProof/>
        </w:rPr>
        <w:t xml:space="preserve"> 46(3):261-265.</w:t>
      </w:r>
    </w:p>
    <w:p w14:paraId="223EA46A" w14:textId="77777777" w:rsidR="000E3A7A" w:rsidRPr="00C0501F" w:rsidRDefault="000E3A7A" w:rsidP="000E3A7A">
      <w:pPr>
        <w:pStyle w:val="EndNoteBibliography"/>
        <w:spacing w:after="0"/>
        <w:ind w:left="720" w:hanging="720"/>
        <w:rPr>
          <w:noProof/>
        </w:rPr>
      </w:pPr>
      <w:r w:rsidRPr="00C0501F">
        <w:rPr>
          <w:noProof/>
        </w:rPr>
        <w:t>19.</w:t>
      </w:r>
      <w:r w:rsidRPr="00C0501F">
        <w:rPr>
          <w:noProof/>
        </w:rPr>
        <w:tab/>
        <w:t xml:space="preserve">Rosenwaike I (1966) Seasonal variation of deaths in the United States, 1951–1960. </w:t>
      </w:r>
      <w:r w:rsidRPr="00C0501F">
        <w:rPr>
          <w:i/>
          <w:noProof/>
        </w:rPr>
        <w:t>Journal of the American Statistical Association</w:t>
      </w:r>
      <w:r w:rsidRPr="00C0501F">
        <w:rPr>
          <w:noProof/>
        </w:rPr>
        <w:t xml:space="preserve"> 61(315):706-719.</w:t>
      </w:r>
    </w:p>
    <w:p w14:paraId="1B06ADF6" w14:textId="77777777" w:rsidR="000E3A7A" w:rsidRPr="00C0501F" w:rsidRDefault="000E3A7A" w:rsidP="000E3A7A">
      <w:pPr>
        <w:pStyle w:val="EndNoteBibliography"/>
        <w:spacing w:after="0"/>
        <w:ind w:left="720" w:hanging="720"/>
        <w:rPr>
          <w:noProof/>
        </w:rPr>
      </w:pPr>
      <w:r w:rsidRPr="00C0501F">
        <w:rPr>
          <w:noProof/>
        </w:rPr>
        <w:t>20.</w:t>
      </w:r>
      <w:r w:rsidRPr="00C0501F">
        <w:rPr>
          <w:noProof/>
        </w:rPr>
        <w:tab/>
        <w:t xml:space="preserve">National Center for Health Statistics (2012) Leading causes of death and numbers of deaths, by sex, race, and Hispanic origin: United States, 1980 and 2010. </w:t>
      </w:r>
      <w:r w:rsidRPr="00C0501F">
        <w:rPr>
          <w:i/>
          <w:noProof/>
        </w:rPr>
        <w:t>National Center for Health Statistics (NCHS)</w:t>
      </w:r>
      <w:r w:rsidRPr="00C0501F">
        <w:rPr>
          <w:noProof/>
        </w:rPr>
        <w:t>.</w:t>
      </w:r>
    </w:p>
    <w:p w14:paraId="101AF9EE" w14:textId="77777777" w:rsidR="000E3A7A" w:rsidRPr="00C0501F" w:rsidRDefault="000E3A7A" w:rsidP="000E3A7A">
      <w:pPr>
        <w:pStyle w:val="EndNoteBibliography"/>
        <w:spacing w:after="0"/>
        <w:ind w:left="720" w:hanging="720"/>
        <w:rPr>
          <w:noProof/>
        </w:rPr>
      </w:pPr>
      <w:r w:rsidRPr="00C0501F">
        <w:rPr>
          <w:noProof/>
        </w:rPr>
        <w:t>21.</w:t>
      </w:r>
      <w:r w:rsidRPr="00C0501F">
        <w:rPr>
          <w:noProof/>
        </w:rPr>
        <w:tab/>
        <w:t xml:space="preserve">National Highway Traffic Safety Administration (2005) Trend and Pattern Analysis of Highway Crash Fatality By Month and Day. </w:t>
      </w:r>
      <w:r w:rsidRPr="00C0501F">
        <w:rPr>
          <w:i/>
          <w:noProof/>
        </w:rPr>
        <w:t>National Center for Statistics and Analysis</w:t>
      </w:r>
      <w:r w:rsidRPr="00C0501F">
        <w:rPr>
          <w:noProof/>
        </w:rPr>
        <w:t>.</w:t>
      </w:r>
    </w:p>
    <w:p w14:paraId="190D7F77" w14:textId="77777777" w:rsidR="000E3A7A" w:rsidRPr="00C0501F" w:rsidRDefault="000E3A7A" w:rsidP="000E3A7A">
      <w:pPr>
        <w:pStyle w:val="EndNoteBibliography"/>
        <w:spacing w:after="0"/>
        <w:ind w:left="720" w:hanging="720"/>
        <w:rPr>
          <w:noProof/>
        </w:rPr>
      </w:pPr>
      <w:r w:rsidRPr="00C0501F">
        <w:rPr>
          <w:noProof/>
        </w:rPr>
        <w:t>22.</w:t>
      </w:r>
      <w:r w:rsidRPr="00C0501F">
        <w:rPr>
          <w:noProof/>
        </w:rPr>
        <w:tab/>
        <w:t xml:space="preserve">MacDorman MF &amp; Rosenberg HM (1993) Trends in infant mortality by cause of death and other characteristics, 1960-88. </w:t>
      </w:r>
      <w:r w:rsidRPr="00C0501F">
        <w:rPr>
          <w:i/>
          <w:noProof/>
        </w:rPr>
        <w:t>Vital Health Stat 20</w:t>
      </w:r>
      <w:r w:rsidRPr="00C0501F">
        <w:rPr>
          <w:noProof/>
        </w:rPr>
        <w:t xml:space="preserve"> (20):1-57.</w:t>
      </w:r>
    </w:p>
    <w:p w14:paraId="432D4010" w14:textId="77777777" w:rsidR="000E3A7A" w:rsidRPr="00C0501F" w:rsidRDefault="000E3A7A" w:rsidP="000E3A7A">
      <w:pPr>
        <w:pStyle w:val="EndNoteBibliography"/>
        <w:spacing w:after="0"/>
        <w:ind w:left="720" w:hanging="720"/>
        <w:rPr>
          <w:noProof/>
        </w:rPr>
      </w:pPr>
      <w:r w:rsidRPr="00C0501F">
        <w:rPr>
          <w:noProof/>
        </w:rPr>
        <w:t>23.</w:t>
      </w:r>
      <w:r w:rsidRPr="00C0501F">
        <w:rPr>
          <w:noProof/>
        </w:rPr>
        <w:tab/>
        <w:t xml:space="preserve">Matthews TJ, MacDorman MF, &amp; Thoma ME (2015) Infant Mortality Statistics From the 2013 Period Linked Birth/Infant Death Data Set. </w:t>
      </w:r>
      <w:r w:rsidRPr="00C0501F">
        <w:rPr>
          <w:i/>
          <w:noProof/>
        </w:rPr>
        <w:t>Natl Vital Stat Rep</w:t>
      </w:r>
      <w:r w:rsidRPr="00C0501F">
        <w:rPr>
          <w:noProof/>
        </w:rPr>
        <w:t xml:space="preserve"> 64(9):1-30.</w:t>
      </w:r>
    </w:p>
    <w:p w14:paraId="1AD0CFD5" w14:textId="77777777" w:rsidR="000E3A7A" w:rsidRPr="00C0501F" w:rsidRDefault="000E3A7A" w:rsidP="000E3A7A">
      <w:pPr>
        <w:pStyle w:val="EndNoteBibliography"/>
        <w:spacing w:after="0"/>
        <w:ind w:left="720" w:hanging="720"/>
        <w:rPr>
          <w:noProof/>
        </w:rPr>
      </w:pPr>
      <w:r w:rsidRPr="00C0501F">
        <w:rPr>
          <w:noProof/>
        </w:rPr>
        <w:t>24.</w:t>
      </w:r>
      <w:r w:rsidRPr="00C0501F">
        <w:rPr>
          <w:noProof/>
        </w:rPr>
        <w:tab/>
        <w:t xml:space="preserve">Public Health England (2016) The cold weather plan for England. </w:t>
      </w:r>
      <w:r w:rsidRPr="00C0501F">
        <w:rPr>
          <w:i/>
          <w:noProof/>
        </w:rPr>
        <w:t>Public Health England</w:t>
      </w:r>
      <w:r w:rsidRPr="00C0501F">
        <w:rPr>
          <w:noProof/>
        </w:rPr>
        <w:t>.</w:t>
      </w:r>
    </w:p>
    <w:p w14:paraId="049296E2" w14:textId="77777777" w:rsidR="000E3A7A" w:rsidRPr="00C0501F" w:rsidRDefault="000E3A7A" w:rsidP="000E3A7A">
      <w:pPr>
        <w:pStyle w:val="EndNoteBibliography"/>
        <w:spacing w:after="0"/>
        <w:ind w:left="720" w:hanging="720"/>
        <w:rPr>
          <w:noProof/>
        </w:rPr>
      </w:pPr>
      <w:r w:rsidRPr="00C0501F">
        <w:rPr>
          <w:noProof/>
        </w:rPr>
        <w:t>25.</w:t>
      </w:r>
      <w:r w:rsidRPr="00C0501F">
        <w:rPr>
          <w:noProof/>
        </w:rPr>
        <w:tab/>
        <w:t xml:space="preserve">Lerchl A (1998) Changes in the seasonality of mortality in Germany from 1946 to 1995: the role of temperature. </w:t>
      </w:r>
      <w:r w:rsidRPr="00C0501F">
        <w:rPr>
          <w:i/>
          <w:noProof/>
        </w:rPr>
        <w:t>International Journal of Biometeorology</w:t>
      </w:r>
      <w:r w:rsidRPr="00C0501F">
        <w:rPr>
          <w:noProof/>
        </w:rPr>
        <w:t xml:space="preserve"> 42(2):84-88.</w:t>
      </w:r>
    </w:p>
    <w:p w14:paraId="1D77FD4E" w14:textId="77777777" w:rsidR="000E3A7A" w:rsidRPr="00C0501F" w:rsidRDefault="000E3A7A" w:rsidP="000E3A7A">
      <w:pPr>
        <w:pStyle w:val="EndNoteBibliography"/>
        <w:spacing w:after="0"/>
        <w:ind w:left="720" w:hanging="720"/>
        <w:rPr>
          <w:noProof/>
        </w:rPr>
      </w:pPr>
      <w:r w:rsidRPr="00C0501F">
        <w:rPr>
          <w:noProof/>
        </w:rPr>
        <w:t>26.</w:t>
      </w:r>
      <w:r w:rsidRPr="00C0501F">
        <w:rPr>
          <w:noProof/>
        </w:rPr>
        <w:tab/>
        <w:t>Morris ME</w:t>
      </w:r>
      <w:r w:rsidRPr="00C0501F">
        <w:rPr>
          <w:i/>
          <w:noProof/>
        </w:rPr>
        <w:t>, et al.</w:t>
      </w:r>
      <w:r w:rsidRPr="00C0501F">
        <w:rPr>
          <w:noProof/>
        </w:rPr>
        <w:t xml:space="preserve"> (2013) Smart-home technologies to assist older people to live well at home. </w:t>
      </w:r>
      <w:r w:rsidRPr="00C0501F">
        <w:rPr>
          <w:i/>
          <w:noProof/>
        </w:rPr>
        <w:t>Journal of aging science</w:t>
      </w:r>
      <w:r w:rsidRPr="00C0501F">
        <w:rPr>
          <w:noProof/>
        </w:rPr>
        <w:t xml:space="preserve"> 1(1):1-9.</w:t>
      </w:r>
    </w:p>
    <w:p w14:paraId="1381E789" w14:textId="77777777" w:rsidR="000E3A7A" w:rsidRPr="00C0501F" w:rsidRDefault="000E3A7A" w:rsidP="000E3A7A">
      <w:pPr>
        <w:pStyle w:val="EndNoteBibliography"/>
        <w:spacing w:after="0"/>
        <w:ind w:left="720" w:hanging="720"/>
        <w:rPr>
          <w:noProof/>
        </w:rPr>
      </w:pPr>
      <w:r w:rsidRPr="00C0501F">
        <w:rPr>
          <w:noProof/>
        </w:rPr>
        <w:t>27.</w:t>
      </w:r>
      <w:r w:rsidRPr="00C0501F">
        <w:rPr>
          <w:noProof/>
        </w:rPr>
        <w:tab/>
        <w:t>Ingram DD</w:t>
      </w:r>
      <w:r w:rsidRPr="00C0501F">
        <w:rPr>
          <w:i/>
          <w:noProof/>
        </w:rPr>
        <w:t>, et al.</w:t>
      </w:r>
      <w:r w:rsidRPr="00C0501F">
        <w:rPr>
          <w:noProof/>
        </w:rPr>
        <w:t xml:space="preserve"> (2003) United States Census 2000 population with bridged race categories. </w:t>
      </w:r>
      <w:r w:rsidRPr="00C0501F">
        <w:rPr>
          <w:i/>
          <w:noProof/>
        </w:rPr>
        <w:t>Vital and health statistics. Series 2, Data evaluation and methods research</w:t>
      </w:r>
      <w:r w:rsidRPr="00C0501F">
        <w:rPr>
          <w:noProof/>
        </w:rPr>
        <w:t xml:space="preserve"> (135):1-55.</w:t>
      </w:r>
    </w:p>
    <w:p w14:paraId="750CC0B9" w14:textId="77777777" w:rsidR="000E3A7A" w:rsidRPr="00C0501F" w:rsidRDefault="000E3A7A" w:rsidP="000E3A7A">
      <w:pPr>
        <w:pStyle w:val="EndNoteBibliography"/>
        <w:spacing w:after="0"/>
        <w:ind w:left="720" w:hanging="720"/>
        <w:rPr>
          <w:noProof/>
        </w:rPr>
      </w:pPr>
      <w:r w:rsidRPr="00C0501F">
        <w:rPr>
          <w:noProof/>
        </w:rPr>
        <w:t>28.</w:t>
      </w:r>
      <w:r w:rsidRPr="00C0501F">
        <w:rPr>
          <w:noProof/>
        </w:rPr>
        <w:tab/>
        <w:t xml:space="preserve">Karl T &amp; Koss WJ (1984) Regional and national monthly, seasonal, and annual temperature weighted by area, 1895-1983. </w:t>
      </w:r>
      <w:r w:rsidRPr="00C0501F">
        <w:rPr>
          <w:i/>
          <w:noProof/>
        </w:rPr>
        <w:t>National Climatic Data Center</w:t>
      </w:r>
      <w:r w:rsidRPr="00C0501F">
        <w:rPr>
          <w:noProof/>
        </w:rPr>
        <w:t>.</w:t>
      </w:r>
    </w:p>
    <w:p w14:paraId="3D5301C5" w14:textId="77777777" w:rsidR="000E3A7A" w:rsidRPr="00C0501F" w:rsidRDefault="000E3A7A" w:rsidP="000E3A7A">
      <w:pPr>
        <w:pStyle w:val="EndNoteBibliography"/>
        <w:spacing w:after="0"/>
        <w:ind w:left="720" w:hanging="720"/>
        <w:rPr>
          <w:noProof/>
        </w:rPr>
      </w:pPr>
      <w:r w:rsidRPr="00C0501F">
        <w:rPr>
          <w:noProof/>
        </w:rPr>
        <w:t>29.</w:t>
      </w:r>
      <w:r w:rsidRPr="00C0501F">
        <w:rPr>
          <w:noProof/>
        </w:rPr>
        <w:tab/>
        <w:t>Dee DP</w:t>
      </w:r>
      <w:r w:rsidRPr="00C0501F">
        <w:rPr>
          <w:i/>
          <w:noProof/>
        </w:rPr>
        <w:t>, et al.</w:t>
      </w:r>
      <w:r w:rsidRPr="00C0501F">
        <w:rPr>
          <w:noProof/>
        </w:rPr>
        <w:t xml:space="preserve"> (2011) The ERA-Interim reanalysis: configuration and performance of the data assimilation system. </w:t>
      </w:r>
      <w:r w:rsidRPr="00C0501F">
        <w:rPr>
          <w:i/>
          <w:noProof/>
        </w:rPr>
        <w:t>Quarterly Journal of the Royal Meteorological Society</w:t>
      </w:r>
      <w:r w:rsidRPr="00C0501F">
        <w:rPr>
          <w:noProof/>
        </w:rPr>
        <w:t xml:space="preserve"> 137(656):553-597.</w:t>
      </w:r>
    </w:p>
    <w:p w14:paraId="626C6C76" w14:textId="77777777" w:rsidR="000E3A7A" w:rsidRPr="00C0501F" w:rsidRDefault="000E3A7A" w:rsidP="000E3A7A">
      <w:pPr>
        <w:pStyle w:val="EndNoteBibliography"/>
        <w:ind w:left="720" w:hanging="720"/>
        <w:rPr>
          <w:noProof/>
        </w:rPr>
      </w:pPr>
      <w:r w:rsidRPr="00C0501F">
        <w:rPr>
          <w:noProof/>
        </w:rPr>
        <w:t>30.</w:t>
      </w:r>
      <w:r w:rsidRPr="00C0501F">
        <w:rPr>
          <w:noProof/>
        </w:rPr>
        <w:tab/>
        <w:t>Cazelles B</w:t>
      </w:r>
      <w:r w:rsidRPr="00C0501F">
        <w:rPr>
          <w:i/>
          <w:noProof/>
        </w:rPr>
        <w:t>, et al.</w:t>
      </w:r>
      <w:r w:rsidRPr="00C0501F">
        <w:rPr>
          <w:noProof/>
        </w:rPr>
        <w:t xml:space="preserve"> (2008) Wavelet analysis of ecological time series. </w:t>
      </w:r>
      <w:r w:rsidRPr="00C0501F">
        <w:rPr>
          <w:i/>
          <w:noProof/>
        </w:rPr>
        <w:t>Oecologia</w:t>
      </w:r>
      <w:r w:rsidRPr="00C0501F">
        <w:rPr>
          <w:noProof/>
        </w:rPr>
        <w:t xml:space="preserve"> 156(2):287-304.</w:t>
      </w:r>
    </w:p>
    <w:p w14:paraId="538F727D" w14:textId="6EAC48A9" w:rsidR="00433EDB" w:rsidRPr="00C0501F" w:rsidRDefault="000210D1" w:rsidP="00C33FFB">
      <w:pPr>
        <w:jc w:val="both"/>
        <w:rPr>
          <w:rFonts w:ascii="Times New Roman" w:hAnsi="Times New Roman"/>
          <w:sz w:val="24"/>
          <w:szCs w:val="24"/>
          <w:lang w:val="en-US"/>
        </w:rPr>
      </w:pPr>
      <w:r w:rsidRPr="00C0501F">
        <w:rPr>
          <w:rFonts w:ascii="Times New Roman" w:hAnsi="Times New Roman"/>
          <w:sz w:val="24"/>
          <w:szCs w:val="24"/>
          <w:lang w:val="en-US"/>
        </w:rPr>
        <w:fldChar w:fldCharType="end"/>
      </w:r>
    </w:p>
    <w:p w14:paraId="4127FF2D" w14:textId="77777777" w:rsidR="000210D1" w:rsidRPr="00C0501F" w:rsidRDefault="000210D1" w:rsidP="00C33FFB">
      <w:pPr>
        <w:jc w:val="both"/>
        <w:rPr>
          <w:rFonts w:ascii="Times New Roman" w:hAnsi="Times New Roman"/>
          <w:sz w:val="24"/>
          <w:szCs w:val="24"/>
          <w:lang w:val="en-US"/>
        </w:rPr>
      </w:pPr>
    </w:p>
    <w:p w14:paraId="7AB9CFC4" w14:textId="77777777" w:rsidR="000210D1" w:rsidRPr="00C0501F" w:rsidRDefault="000210D1" w:rsidP="00C33FFB">
      <w:pPr>
        <w:jc w:val="both"/>
        <w:rPr>
          <w:rFonts w:ascii="Times New Roman" w:hAnsi="Times New Roman"/>
          <w:sz w:val="24"/>
          <w:szCs w:val="24"/>
          <w:lang w:val="en-US"/>
        </w:rPr>
      </w:pPr>
    </w:p>
    <w:p w14:paraId="45647AA7" w14:textId="77777777" w:rsidR="000210D1" w:rsidRPr="00C0501F" w:rsidRDefault="000210D1" w:rsidP="00C33FFB">
      <w:pPr>
        <w:jc w:val="both"/>
        <w:rPr>
          <w:rFonts w:ascii="Times New Roman" w:hAnsi="Times New Roman"/>
          <w:sz w:val="24"/>
          <w:szCs w:val="24"/>
          <w:lang w:val="en-US"/>
        </w:rPr>
      </w:pPr>
    </w:p>
    <w:p w14:paraId="3AC23A9A" w14:textId="2AD15234" w:rsidR="00F62450" w:rsidRPr="00C0501F" w:rsidRDefault="00F62450" w:rsidP="00C33FFB">
      <w:pPr>
        <w:spacing w:after="0" w:line="240" w:lineRule="auto"/>
        <w:jc w:val="both"/>
        <w:rPr>
          <w:rFonts w:ascii="Times New Roman" w:hAnsi="Times New Roman"/>
          <w:sz w:val="24"/>
          <w:szCs w:val="24"/>
          <w:lang w:val="en-US"/>
        </w:rPr>
      </w:pPr>
      <w:r w:rsidRPr="00C0501F">
        <w:rPr>
          <w:rFonts w:ascii="Times New Roman" w:hAnsi="Times New Roman"/>
          <w:sz w:val="24"/>
          <w:szCs w:val="24"/>
          <w:lang w:val="en-US"/>
        </w:rPr>
        <w:br w:type="page"/>
      </w:r>
    </w:p>
    <w:p w14:paraId="1D59C1FB" w14:textId="428A653A" w:rsidR="0036381E" w:rsidRPr="00C0501F" w:rsidRDefault="005B03DF" w:rsidP="0036381E">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1</w:t>
      </w:r>
      <w:r w:rsidR="00B66895"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Climate regions of the United States</w:t>
      </w:r>
      <w:r w:rsidR="004D0817" w:rsidRPr="00C0501F">
        <w:rPr>
          <w:rFonts w:ascii="Times New Roman" w:hAnsi="Times New Roman"/>
          <w:color w:val="000000" w:themeColor="text1"/>
          <w:sz w:val="24"/>
          <w:szCs w:val="24"/>
          <w:lang w:val="en-US"/>
        </w:rPr>
        <w:t>.</w:t>
      </w:r>
    </w:p>
    <w:p w14:paraId="6295BEF3" w14:textId="77777777" w:rsidR="0036381E" w:rsidRPr="00C0501F" w:rsidRDefault="0036381E" w:rsidP="0036381E">
      <w:pPr>
        <w:spacing w:after="0" w:line="240" w:lineRule="auto"/>
        <w:jc w:val="both"/>
        <w:rPr>
          <w:rFonts w:ascii="Times New Roman" w:hAnsi="Times New Roman"/>
          <w:b/>
          <w:color w:val="000000" w:themeColor="text1"/>
          <w:sz w:val="24"/>
          <w:szCs w:val="24"/>
          <w:lang w:val="en-US"/>
        </w:rPr>
      </w:pPr>
    </w:p>
    <w:p w14:paraId="1EF3EEF7" w14:textId="525A4D11" w:rsidR="0036381E" w:rsidRPr="00C0501F" w:rsidRDefault="000210D1" w:rsidP="00B66895">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 xml:space="preserve">Figure </w:t>
      </w:r>
      <w:r w:rsidR="00040FE5" w:rsidRPr="00C0501F">
        <w:rPr>
          <w:rFonts w:ascii="Times New Roman" w:hAnsi="Times New Roman"/>
          <w:b/>
          <w:color w:val="000000" w:themeColor="text1"/>
          <w:sz w:val="24"/>
          <w:szCs w:val="24"/>
          <w:lang w:val="en-US"/>
        </w:rPr>
        <w:t>2</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spectral analysis is less robust</w:t>
      </w:r>
      <w:r w:rsidR="0036381E" w:rsidRPr="00C0501F">
        <w:rPr>
          <w:rFonts w:ascii="Times New Roman" w:hAnsi="Times New Roman"/>
          <w:color w:val="000000" w:themeColor="text1"/>
          <w:sz w:val="24"/>
          <w:szCs w:val="24"/>
          <w:lang w:val="en-US"/>
        </w:rPr>
        <w:t>.</w:t>
      </w:r>
    </w:p>
    <w:p w14:paraId="25CB4F37"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4A26BBF" w14:textId="6D4B6DB3"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3</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Mean timing of national maximum and minimum all-cause mortality, by sex and age group for 1982-2013. Red dots indicate the month of maximum mortality, and green dots that of minimum mortality. Vertical segments represent 95% confidence intervals. Only age-sex groups with statistically significant 12-month seasonality are included.</w:t>
      </w:r>
    </w:p>
    <w:p w14:paraId="03AAA9C8"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25C7DD9" w14:textId="01BC54C8"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4</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National percent difference in death rates between the maximum and minimum mortality months in 2013 versus 1982 by sex and age group. Age-sex groups with a statistically significant change at the 5% level are highlighted with a bold black outline.</w:t>
      </w:r>
    </w:p>
    <w:p w14:paraId="454004FE"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507D35A2" w14:textId="310D2DBC" w:rsidR="0036381E" w:rsidRPr="00C0501F" w:rsidRDefault="0036381E" w:rsidP="004F1CE2">
      <w:pPr>
        <w:spacing w:line="240" w:lineRule="auto"/>
        <w:jc w:val="both"/>
        <w:rPr>
          <w:lang w:val="en-US"/>
        </w:rPr>
      </w:pPr>
      <w:r w:rsidRPr="00C0501F">
        <w:rPr>
          <w:rFonts w:ascii="Times New Roman" w:hAnsi="Times New Roman"/>
          <w:b/>
          <w:color w:val="000000" w:themeColor="text1"/>
          <w:sz w:val="24"/>
          <w:szCs w:val="24"/>
          <w:lang w:val="en-US"/>
        </w:rPr>
        <w:t>Figure 5</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Mean timing of (A) maximum and (B) minimum all-cause mortality, by climate region, sex and age group for 1982-2013. Only age-sex groups with significant 12-month seasonality in the national analysis are included. Average temperatures (in degrees Celsius) are included in white for the corresponding month of maximum and minimum mortality for each climate region.</w:t>
      </w:r>
    </w:p>
    <w:p w14:paraId="26D6A05B" w14:textId="61A05E2A" w:rsidR="0036381E" w:rsidRPr="00C0501F" w:rsidRDefault="0036381E" w:rsidP="0036381E">
      <w:pPr>
        <w:spacing w:after="0" w:line="24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6</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The relationship between percent difference in death rates and temperature difference between months in which mortality peaks versus troughs across climate regions, by sex and age group in 2013. Only age-sex groups with significant 12-month seasonality in the national analysis are included.</w:t>
      </w:r>
    </w:p>
    <w:p w14:paraId="6E7F5B18" w14:textId="77777777" w:rsidR="0036381E" w:rsidRPr="00C0501F" w:rsidRDefault="0036381E" w:rsidP="0036381E">
      <w:pPr>
        <w:rPr>
          <w:lang w:val="en-US"/>
        </w:rPr>
      </w:pPr>
    </w:p>
    <w:p w14:paraId="7CA672A2" w14:textId="77777777" w:rsidR="0036381E" w:rsidRPr="00C0501F" w:rsidRDefault="0036381E" w:rsidP="0036381E">
      <w:pPr>
        <w:pStyle w:val="Caption"/>
        <w:spacing w:after="0"/>
        <w:jc w:val="both"/>
        <w:rPr>
          <w:lang w:val="en-US"/>
        </w:rPr>
      </w:pPr>
    </w:p>
    <w:p w14:paraId="60AEA7C0" w14:textId="77777777" w:rsidR="0036381E" w:rsidRPr="00C0501F" w:rsidRDefault="0036381E" w:rsidP="0036381E">
      <w:pPr>
        <w:rPr>
          <w:lang w:val="en-US"/>
        </w:rPr>
      </w:pPr>
    </w:p>
    <w:p w14:paraId="7C2842B5" w14:textId="77777777" w:rsidR="0036381E" w:rsidRPr="00C0501F" w:rsidRDefault="0036381E" w:rsidP="0036381E">
      <w:pPr>
        <w:spacing w:after="0" w:line="480" w:lineRule="auto"/>
        <w:jc w:val="both"/>
        <w:rPr>
          <w:rFonts w:ascii="Times New Roman" w:hAnsi="Times New Roman"/>
          <w:color w:val="000000" w:themeColor="text1"/>
          <w:sz w:val="24"/>
          <w:szCs w:val="24"/>
          <w:lang w:val="en-US"/>
        </w:rPr>
      </w:pPr>
    </w:p>
    <w:p w14:paraId="70A81CF5" w14:textId="57E0A638" w:rsidR="0040449F" w:rsidRPr="00C0501F" w:rsidRDefault="0040449F" w:rsidP="00C33FFB">
      <w:pPr>
        <w:spacing w:after="0" w:line="480" w:lineRule="auto"/>
        <w:jc w:val="both"/>
        <w:outlineLvl w:val="0"/>
        <w:rPr>
          <w:rFonts w:ascii="Times New Roman" w:hAnsi="Times New Roman"/>
          <w:sz w:val="24"/>
          <w:szCs w:val="24"/>
          <w:lang w:val="en-US"/>
        </w:rPr>
      </w:pPr>
    </w:p>
    <w:sectPr w:rsidR="0040449F" w:rsidRPr="00C0501F"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070526" w14:textId="77777777" w:rsidR="005612F0" w:rsidRDefault="005612F0">
      <w:pPr>
        <w:spacing w:after="0" w:line="240" w:lineRule="auto"/>
      </w:pPr>
      <w:r>
        <w:separator/>
      </w:r>
    </w:p>
  </w:endnote>
  <w:endnote w:type="continuationSeparator" w:id="0">
    <w:p w14:paraId="74F42962" w14:textId="77777777" w:rsidR="005612F0" w:rsidRDefault="00561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5612F0"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08883CAD"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612F0">
      <w:rPr>
        <w:rStyle w:val="PageNumber"/>
        <w:noProof/>
      </w:rPr>
      <w:t>1</w:t>
    </w:r>
    <w:r>
      <w:rPr>
        <w:rStyle w:val="PageNumber"/>
      </w:rPr>
      <w:fldChar w:fldCharType="end"/>
    </w:r>
  </w:p>
  <w:p w14:paraId="3F8F309C" w14:textId="77777777" w:rsidR="00710F21" w:rsidRDefault="005612F0"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5DB84B" w14:textId="77777777" w:rsidR="005612F0" w:rsidRDefault="005612F0">
      <w:pPr>
        <w:spacing w:after="0" w:line="240" w:lineRule="auto"/>
      </w:pPr>
      <w:r>
        <w:separator/>
      </w:r>
    </w:p>
  </w:footnote>
  <w:footnote w:type="continuationSeparator" w:id="0">
    <w:p w14:paraId="3BE4D07B" w14:textId="77777777" w:rsidR="005612F0" w:rsidRDefault="005612F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10088"/>
    <w:rsid w:val="000171E9"/>
    <w:rsid w:val="000210D1"/>
    <w:rsid w:val="0003657E"/>
    <w:rsid w:val="00040FE5"/>
    <w:rsid w:val="0004316E"/>
    <w:rsid w:val="00061E82"/>
    <w:rsid w:val="00066C53"/>
    <w:rsid w:val="000711BB"/>
    <w:rsid w:val="00072F64"/>
    <w:rsid w:val="0008315C"/>
    <w:rsid w:val="00084F55"/>
    <w:rsid w:val="000B0D4A"/>
    <w:rsid w:val="000B49C7"/>
    <w:rsid w:val="000B6495"/>
    <w:rsid w:val="000B7625"/>
    <w:rsid w:val="000C7277"/>
    <w:rsid w:val="000E2CF4"/>
    <w:rsid w:val="000E3A7A"/>
    <w:rsid w:val="000E5F6C"/>
    <w:rsid w:val="000F58BA"/>
    <w:rsid w:val="001073C5"/>
    <w:rsid w:val="00111621"/>
    <w:rsid w:val="00115046"/>
    <w:rsid w:val="00115F35"/>
    <w:rsid w:val="001163FE"/>
    <w:rsid w:val="00131404"/>
    <w:rsid w:val="00132C6C"/>
    <w:rsid w:val="00142A44"/>
    <w:rsid w:val="0015398F"/>
    <w:rsid w:val="00156FC7"/>
    <w:rsid w:val="00161E98"/>
    <w:rsid w:val="0016206E"/>
    <w:rsid w:val="00180945"/>
    <w:rsid w:val="0019272E"/>
    <w:rsid w:val="00196C4A"/>
    <w:rsid w:val="001A1F00"/>
    <w:rsid w:val="001A3870"/>
    <w:rsid w:val="001A5AD8"/>
    <w:rsid w:val="001A7900"/>
    <w:rsid w:val="001B23D1"/>
    <w:rsid w:val="001B3247"/>
    <w:rsid w:val="001C3C8D"/>
    <w:rsid w:val="001C613C"/>
    <w:rsid w:val="001D0F84"/>
    <w:rsid w:val="001D36DD"/>
    <w:rsid w:val="001D78FC"/>
    <w:rsid w:val="001D7BA9"/>
    <w:rsid w:val="001E4AF8"/>
    <w:rsid w:val="001F0FFF"/>
    <w:rsid w:val="001F3D58"/>
    <w:rsid w:val="002166AE"/>
    <w:rsid w:val="00217F61"/>
    <w:rsid w:val="00220C4B"/>
    <w:rsid w:val="002231AC"/>
    <w:rsid w:val="002317EC"/>
    <w:rsid w:val="00235CE2"/>
    <w:rsid w:val="00236AF3"/>
    <w:rsid w:val="002452E3"/>
    <w:rsid w:val="0026033D"/>
    <w:rsid w:val="00260B02"/>
    <w:rsid w:val="00271614"/>
    <w:rsid w:val="00296A5E"/>
    <w:rsid w:val="002D1F5C"/>
    <w:rsid w:val="002F2133"/>
    <w:rsid w:val="002F4DC5"/>
    <w:rsid w:val="00306685"/>
    <w:rsid w:val="00310C35"/>
    <w:rsid w:val="00320003"/>
    <w:rsid w:val="003206D2"/>
    <w:rsid w:val="00325BCE"/>
    <w:rsid w:val="003339E3"/>
    <w:rsid w:val="0033413A"/>
    <w:rsid w:val="00341373"/>
    <w:rsid w:val="00357AC1"/>
    <w:rsid w:val="0036381E"/>
    <w:rsid w:val="00385CAD"/>
    <w:rsid w:val="00386081"/>
    <w:rsid w:val="0039751B"/>
    <w:rsid w:val="003A23C3"/>
    <w:rsid w:val="003A3A3F"/>
    <w:rsid w:val="003C153C"/>
    <w:rsid w:val="003D394A"/>
    <w:rsid w:val="003D6587"/>
    <w:rsid w:val="003E6E8C"/>
    <w:rsid w:val="003F22B3"/>
    <w:rsid w:val="004018CB"/>
    <w:rsid w:val="00402D6F"/>
    <w:rsid w:val="0040449F"/>
    <w:rsid w:val="00413B5E"/>
    <w:rsid w:val="00415980"/>
    <w:rsid w:val="00421068"/>
    <w:rsid w:val="004243A2"/>
    <w:rsid w:val="004273F1"/>
    <w:rsid w:val="00433EDB"/>
    <w:rsid w:val="00440599"/>
    <w:rsid w:val="0044771A"/>
    <w:rsid w:val="004508FE"/>
    <w:rsid w:val="004566E5"/>
    <w:rsid w:val="00464C54"/>
    <w:rsid w:val="00465E33"/>
    <w:rsid w:val="00474BAB"/>
    <w:rsid w:val="004873B6"/>
    <w:rsid w:val="004A5074"/>
    <w:rsid w:val="004A5369"/>
    <w:rsid w:val="004C3449"/>
    <w:rsid w:val="004C546E"/>
    <w:rsid w:val="004D0817"/>
    <w:rsid w:val="004E461D"/>
    <w:rsid w:val="004E72FD"/>
    <w:rsid w:val="004E75ED"/>
    <w:rsid w:val="004F1CE2"/>
    <w:rsid w:val="004F2FDD"/>
    <w:rsid w:val="004F404D"/>
    <w:rsid w:val="004F60F9"/>
    <w:rsid w:val="004F7FD8"/>
    <w:rsid w:val="005028B3"/>
    <w:rsid w:val="00506AF4"/>
    <w:rsid w:val="005130C5"/>
    <w:rsid w:val="00541914"/>
    <w:rsid w:val="005450E2"/>
    <w:rsid w:val="005612F0"/>
    <w:rsid w:val="00565B41"/>
    <w:rsid w:val="00577D56"/>
    <w:rsid w:val="005866BD"/>
    <w:rsid w:val="00593EAA"/>
    <w:rsid w:val="005A76F0"/>
    <w:rsid w:val="005B03DF"/>
    <w:rsid w:val="005B5156"/>
    <w:rsid w:val="005B7C1A"/>
    <w:rsid w:val="005C2851"/>
    <w:rsid w:val="005F0F34"/>
    <w:rsid w:val="005F1013"/>
    <w:rsid w:val="005F50AC"/>
    <w:rsid w:val="00602D21"/>
    <w:rsid w:val="00604288"/>
    <w:rsid w:val="00604A42"/>
    <w:rsid w:val="00611ED8"/>
    <w:rsid w:val="006124E6"/>
    <w:rsid w:val="00617238"/>
    <w:rsid w:val="006412F8"/>
    <w:rsid w:val="00641AF0"/>
    <w:rsid w:val="00643A32"/>
    <w:rsid w:val="006441C9"/>
    <w:rsid w:val="006445F8"/>
    <w:rsid w:val="00650609"/>
    <w:rsid w:val="00652AC7"/>
    <w:rsid w:val="00654669"/>
    <w:rsid w:val="006633AD"/>
    <w:rsid w:val="0067689E"/>
    <w:rsid w:val="006825A7"/>
    <w:rsid w:val="006934E5"/>
    <w:rsid w:val="00696DE7"/>
    <w:rsid w:val="006A5B04"/>
    <w:rsid w:val="006B3776"/>
    <w:rsid w:val="006C41B5"/>
    <w:rsid w:val="006C50E6"/>
    <w:rsid w:val="006E5AD1"/>
    <w:rsid w:val="006F25A2"/>
    <w:rsid w:val="006F382C"/>
    <w:rsid w:val="006F4CA6"/>
    <w:rsid w:val="006F59ED"/>
    <w:rsid w:val="00702978"/>
    <w:rsid w:val="00704498"/>
    <w:rsid w:val="00707E3F"/>
    <w:rsid w:val="00712E39"/>
    <w:rsid w:val="00716D2A"/>
    <w:rsid w:val="007471B0"/>
    <w:rsid w:val="007657EB"/>
    <w:rsid w:val="00766E22"/>
    <w:rsid w:val="00772531"/>
    <w:rsid w:val="00773692"/>
    <w:rsid w:val="0078487A"/>
    <w:rsid w:val="007852FE"/>
    <w:rsid w:val="00795E96"/>
    <w:rsid w:val="007B7B7F"/>
    <w:rsid w:val="007E021F"/>
    <w:rsid w:val="007E13E7"/>
    <w:rsid w:val="007E30DC"/>
    <w:rsid w:val="007F2345"/>
    <w:rsid w:val="007F2E1E"/>
    <w:rsid w:val="00800663"/>
    <w:rsid w:val="00802C27"/>
    <w:rsid w:val="008174C7"/>
    <w:rsid w:val="00841B48"/>
    <w:rsid w:val="00843A73"/>
    <w:rsid w:val="00856C5D"/>
    <w:rsid w:val="008A6465"/>
    <w:rsid w:val="008B54BC"/>
    <w:rsid w:val="008B7DDD"/>
    <w:rsid w:val="008C4931"/>
    <w:rsid w:val="008C4B74"/>
    <w:rsid w:val="008D6B6B"/>
    <w:rsid w:val="008D7ED7"/>
    <w:rsid w:val="008F16FF"/>
    <w:rsid w:val="00910BC9"/>
    <w:rsid w:val="00911EE8"/>
    <w:rsid w:val="00922A69"/>
    <w:rsid w:val="00925FBE"/>
    <w:rsid w:val="00932BD5"/>
    <w:rsid w:val="00935167"/>
    <w:rsid w:val="00937AF1"/>
    <w:rsid w:val="00963B19"/>
    <w:rsid w:val="00971022"/>
    <w:rsid w:val="00973308"/>
    <w:rsid w:val="0098603C"/>
    <w:rsid w:val="009A475F"/>
    <w:rsid w:val="009B275D"/>
    <w:rsid w:val="009B52E7"/>
    <w:rsid w:val="009B60EF"/>
    <w:rsid w:val="009C4D03"/>
    <w:rsid w:val="009C5745"/>
    <w:rsid w:val="009D20AE"/>
    <w:rsid w:val="009D5647"/>
    <w:rsid w:val="009E25B4"/>
    <w:rsid w:val="009E450A"/>
    <w:rsid w:val="00A10491"/>
    <w:rsid w:val="00A17972"/>
    <w:rsid w:val="00A21338"/>
    <w:rsid w:val="00A252DB"/>
    <w:rsid w:val="00A25BFD"/>
    <w:rsid w:val="00A35211"/>
    <w:rsid w:val="00A43C02"/>
    <w:rsid w:val="00A53CD7"/>
    <w:rsid w:val="00A54142"/>
    <w:rsid w:val="00A55A47"/>
    <w:rsid w:val="00A56493"/>
    <w:rsid w:val="00A57D16"/>
    <w:rsid w:val="00A6117A"/>
    <w:rsid w:val="00A718C6"/>
    <w:rsid w:val="00A73337"/>
    <w:rsid w:val="00A740DA"/>
    <w:rsid w:val="00A817BA"/>
    <w:rsid w:val="00A87EFB"/>
    <w:rsid w:val="00A90A4A"/>
    <w:rsid w:val="00AA0329"/>
    <w:rsid w:val="00AA1780"/>
    <w:rsid w:val="00AA2F95"/>
    <w:rsid w:val="00AA30BB"/>
    <w:rsid w:val="00AA5EC2"/>
    <w:rsid w:val="00AB3E0F"/>
    <w:rsid w:val="00AC3981"/>
    <w:rsid w:val="00AC6A7C"/>
    <w:rsid w:val="00AD2DD2"/>
    <w:rsid w:val="00AE341C"/>
    <w:rsid w:val="00AE56C4"/>
    <w:rsid w:val="00AF552B"/>
    <w:rsid w:val="00B11556"/>
    <w:rsid w:val="00B128A3"/>
    <w:rsid w:val="00B23634"/>
    <w:rsid w:val="00B3504F"/>
    <w:rsid w:val="00B35118"/>
    <w:rsid w:val="00B35C46"/>
    <w:rsid w:val="00B41144"/>
    <w:rsid w:val="00B45F2D"/>
    <w:rsid w:val="00B461EC"/>
    <w:rsid w:val="00B46AD5"/>
    <w:rsid w:val="00B66895"/>
    <w:rsid w:val="00B70782"/>
    <w:rsid w:val="00B86D7A"/>
    <w:rsid w:val="00B91584"/>
    <w:rsid w:val="00BB36A2"/>
    <w:rsid w:val="00BB739D"/>
    <w:rsid w:val="00BD7179"/>
    <w:rsid w:val="00BE5840"/>
    <w:rsid w:val="00BE6A78"/>
    <w:rsid w:val="00BE7C5B"/>
    <w:rsid w:val="00C02149"/>
    <w:rsid w:val="00C0501F"/>
    <w:rsid w:val="00C14611"/>
    <w:rsid w:val="00C163B5"/>
    <w:rsid w:val="00C23D9A"/>
    <w:rsid w:val="00C25541"/>
    <w:rsid w:val="00C33FFB"/>
    <w:rsid w:val="00C4447B"/>
    <w:rsid w:val="00C52535"/>
    <w:rsid w:val="00C56688"/>
    <w:rsid w:val="00C57CDC"/>
    <w:rsid w:val="00C60D59"/>
    <w:rsid w:val="00C62D97"/>
    <w:rsid w:val="00C77FA7"/>
    <w:rsid w:val="00CE1DCB"/>
    <w:rsid w:val="00CE3E2E"/>
    <w:rsid w:val="00CF138F"/>
    <w:rsid w:val="00CF318B"/>
    <w:rsid w:val="00D117B9"/>
    <w:rsid w:val="00D15C80"/>
    <w:rsid w:val="00D24DC4"/>
    <w:rsid w:val="00D349E0"/>
    <w:rsid w:val="00D435B3"/>
    <w:rsid w:val="00D44595"/>
    <w:rsid w:val="00D56CDF"/>
    <w:rsid w:val="00D578EC"/>
    <w:rsid w:val="00D57972"/>
    <w:rsid w:val="00D61489"/>
    <w:rsid w:val="00D64CF4"/>
    <w:rsid w:val="00D7364D"/>
    <w:rsid w:val="00D74BA2"/>
    <w:rsid w:val="00D75325"/>
    <w:rsid w:val="00D84009"/>
    <w:rsid w:val="00D8629D"/>
    <w:rsid w:val="00D92672"/>
    <w:rsid w:val="00D92A88"/>
    <w:rsid w:val="00DA178A"/>
    <w:rsid w:val="00DB1F30"/>
    <w:rsid w:val="00DB4B8F"/>
    <w:rsid w:val="00DB65EC"/>
    <w:rsid w:val="00DB7F7E"/>
    <w:rsid w:val="00DC1680"/>
    <w:rsid w:val="00DC4352"/>
    <w:rsid w:val="00DE1EA3"/>
    <w:rsid w:val="00DF62BA"/>
    <w:rsid w:val="00E03995"/>
    <w:rsid w:val="00E30DF9"/>
    <w:rsid w:val="00E34FC6"/>
    <w:rsid w:val="00E42E99"/>
    <w:rsid w:val="00E618D1"/>
    <w:rsid w:val="00E62060"/>
    <w:rsid w:val="00E71D20"/>
    <w:rsid w:val="00E80BC8"/>
    <w:rsid w:val="00E827DA"/>
    <w:rsid w:val="00E85B65"/>
    <w:rsid w:val="00EA1274"/>
    <w:rsid w:val="00EB02E8"/>
    <w:rsid w:val="00EB2F43"/>
    <w:rsid w:val="00EC004F"/>
    <w:rsid w:val="00ED0384"/>
    <w:rsid w:val="00ED3EB5"/>
    <w:rsid w:val="00EE0CA6"/>
    <w:rsid w:val="00EE40BC"/>
    <w:rsid w:val="00EF0C40"/>
    <w:rsid w:val="00EF0DEC"/>
    <w:rsid w:val="00F01B41"/>
    <w:rsid w:val="00F04AEE"/>
    <w:rsid w:val="00F11CCD"/>
    <w:rsid w:val="00F147B2"/>
    <w:rsid w:val="00F43484"/>
    <w:rsid w:val="00F557A4"/>
    <w:rsid w:val="00F55A45"/>
    <w:rsid w:val="00F62450"/>
    <w:rsid w:val="00F636D9"/>
    <w:rsid w:val="00F64873"/>
    <w:rsid w:val="00F73CE1"/>
    <w:rsid w:val="00FA2809"/>
    <w:rsid w:val="00FB0F7A"/>
    <w:rsid w:val="00FB162A"/>
    <w:rsid w:val="00FB2FE0"/>
    <w:rsid w:val="00FB4E0C"/>
    <w:rsid w:val="00FB6151"/>
    <w:rsid w:val="00FE2F81"/>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95AE918-8BDA-5545-9EE6-CA5FF1940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13</Pages>
  <Words>5504</Words>
  <Characters>31379</Characters>
  <Application>Microsoft Macintosh Word</Application>
  <DocSecurity>0</DocSecurity>
  <Lines>261</Lines>
  <Paragraphs>73</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Classification: 	Biological Sciences (Ecology)</vt:lpstr>
      <vt:lpstr/>
      <vt:lpstr>Main title: Seasonal dynamics of mortality in the USA from 1982 to 2013</vt:lpstr>
      <vt:lpstr>Short title: Seasonal dynamics of mortality in the USA </vt:lpstr>
      <vt:lpstr/>
      <vt:lpstr>Robbie M Parks1,2, James E Bennett1,2,3, Kyle J Foreman1,2,4, Ralf Toumi5, Majid</vt:lpstr>
      <vt:lpstr/>
      <vt:lpstr>The main limitation of our study is that we have analyzed all-cause mortality. D</vt:lpstr>
      <vt:lpstr/>
      <vt:lpstr>Methods and methods</vt:lpstr>
      <vt:lpstr>Data</vt:lpstr>
      <vt:lpstr>We obtained data on temperature from ERA-Interim, which combines predictions fro</vt:lpstr>
      <vt:lpstr>Statistical methods</vt:lpstr>
      <vt:lpstr>References</vt:lpstr>
      <vt:lpstr>Figure 6: The relationship between percent difference in death rates and tempera</vt:lpstr>
      <vt:lpstr/>
    </vt:vector>
  </TitlesOfParts>
  <Company/>
  <LinksUpToDate>false</LinksUpToDate>
  <CharactersWithSpaces>36810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9</cp:revision>
  <dcterms:created xsi:type="dcterms:W3CDTF">2017-10-11T11:43:00Z</dcterms:created>
  <dcterms:modified xsi:type="dcterms:W3CDTF">2017-10-11T14:08:00Z</dcterms:modified>
</cp:coreProperties>
</file>