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293423" w:displacedByCustomXml="next"/>
    <w:bookmarkStart w:id="1" w:name="_Toc7079038" w:displacedByCustomXml="next"/>
    <w:sdt>
      <w:sdtPr>
        <w:rPr>
          <w:rFonts w:eastAsiaTheme="minorEastAsia" w:cs="Times New Roman"/>
          <w:b w:val="0"/>
          <w:sz w:val="24"/>
          <w:szCs w:val="24"/>
          <w:lang w:eastAsia="en-US"/>
        </w:rPr>
        <w:id w:val="-1652053317"/>
        <w:docPartObj>
          <w:docPartGallery w:val="Table of Contents"/>
          <w:docPartUnique/>
        </w:docPartObj>
      </w:sdtPr>
      <w:sdtEndPr>
        <w:rPr>
          <w:bCs/>
          <w:noProof/>
        </w:rPr>
      </w:sdtEndPr>
      <w:sdtContent>
        <w:p w14:paraId="53505C17" w14:textId="02D55FAD" w:rsidR="00E14922" w:rsidRDefault="00E14922" w:rsidP="00E14922">
          <w:pPr>
            <w:pStyle w:val="Heading1"/>
            <w:numPr>
              <w:ilvl w:val="0"/>
              <w:numId w:val="0"/>
            </w:numPr>
          </w:pPr>
          <w:r>
            <w:t>Table of Contents</w:t>
          </w:r>
          <w:bookmarkEnd w:id="0"/>
        </w:p>
        <w:p w14:paraId="2C445781" w14:textId="2EED1E7A" w:rsidR="0034749E"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293423" w:history="1">
            <w:r w:rsidR="0034749E" w:rsidRPr="00014B28">
              <w:rPr>
                <w:rStyle w:val="Hyperlink"/>
                <w:noProof/>
              </w:rPr>
              <w:t>Table of Contents</w:t>
            </w:r>
            <w:r w:rsidR="0034749E">
              <w:rPr>
                <w:noProof/>
                <w:webHidden/>
              </w:rPr>
              <w:tab/>
            </w:r>
            <w:r w:rsidR="0034749E">
              <w:rPr>
                <w:noProof/>
                <w:webHidden/>
              </w:rPr>
              <w:fldChar w:fldCharType="begin"/>
            </w:r>
            <w:r w:rsidR="0034749E">
              <w:rPr>
                <w:noProof/>
                <w:webHidden/>
              </w:rPr>
              <w:instrText xml:space="preserve"> PAGEREF _Toc8293423 \h </w:instrText>
            </w:r>
            <w:r w:rsidR="0034749E">
              <w:rPr>
                <w:noProof/>
                <w:webHidden/>
              </w:rPr>
            </w:r>
            <w:r w:rsidR="0034749E">
              <w:rPr>
                <w:noProof/>
                <w:webHidden/>
              </w:rPr>
              <w:fldChar w:fldCharType="separate"/>
            </w:r>
            <w:r w:rsidR="0034749E">
              <w:rPr>
                <w:noProof/>
                <w:webHidden/>
              </w:rPr>
              <w:t>1</w:t>
            </w:r>
            <w:r w:rsidR="0034749E">
              <w:rPr>
                <w:noProof/>
                <w:webHidden/>
              </w:rPr>
              <w:fldChar w:fldCharType="end"/>
            </w:r>
          </w:hyperlink>
        </w:p>
        <w:p w14:paraId="54DDC668" w14:textId="13BEA808" w:rsidR="0034749E" w:rsidRDefault="0034749E">
          <w:pPr>
            <w:pStyle w:val="TOC1"/>
            <w:tabs>
              <w:tab w:val="left" w:pos="480"/>
              <w:tab w:val="right" w:leader="dot" w:pos="9010"/>
            </w:tabs>
            <w:rPr>
              <w:rFonts w:cstheme="minorBidi"/>
              <w:b w:val="0"/>
              <w:bCs w:val="0"/>
              <w:i w:val="0"/>
              <w:iCs w:val="0"/>
              <w:noProof/>
              <w:lang w:eastAsia="en-US"/>
            </w:rPr>
          </w:pPr>
          <w:hyperlink w:anchor="_Toc8293424" w:history="1">
            <w:r w:rsidRPr="00014B28">
              <w:rPr>
                <w:rStyle w:val="Hyperlink"/>
                <w:noProof/>
              </w:rPr>
              <w:t>1</w:t>
            </w:r>
            <w:r>
              <w:rPr>
                <w:rFonts w:cstheme="minorBidi"/>
                <w:b w:val="0"/>
                <w:bCs w:val="0"/>
                <w:i w:val="0"/>
                <w:iCs w:val="0"/>
                <w:noProof/>
                <w:lang w:eastAsia="en-US"/>
              </w:rPr>
              <w:tab/>
            </w:r>
            <w:r w:rsidRPr="00014B28">
              <w:rPr>
                <w:rStyle w:val="Hyperlink"/>
                <w:noProof/>
              </w:rPr>
              <w:t>Background</w:t>
            </w:r>
            <w:r>
              <w:rPr>
                <w:noProof/>
                <w:webHidden/>
              </w:rPr>
              <w:tab/>
            </w:r>
            <w:r>
              <w:rPr>
                <w:noProof/>
                <w:webHidden/>
              </w:rPr>
              <w:fldChar w:fldCharType="begin"/>
            </w:r>
            <w:r>
              <w:rPr>
                <w:noProof/>
                <w:webHidden/>
              </w:rPr>
              <w:instrText xml:space="preserve"> PAGEREF _Toc8293424 \h </w:instrText>
            </w:r>
            <w:r>
              <w:rPr>
                <w:noProof/>
                <w:webHidden/>
              </w:rPr>
            </w:r>
            <w:r>
              <w:rPr>
                <w:noProof/>
                <w:webHidden/>
              </w:rPr>
              <w:fldChar w:fldCharType="separate"/>
            </w:r>
            <w:r>
              <w:rPr>
                <w:noProof/>
                <w:webHidden/>
              </w:rPr>
              <w:t>2</w:t>
            </w:r>
            <w:r>
              <w:rPr>
                <w:noProof/>
                <w:webHidden/>
              </w:rPr>
              <w:fldChar w:fldCharType="end"/>
            </w:r>
          </w:hyperlink>
        </w:p>
        <w:p w14:paraId="5B1155C0" w14:textId="1F73D41C" w:rsidR="0034749E" w:rsidRDefault="0034749E">
          <w:pPr>
            <w:pStyle w:val="TOC2"/>
            <w:tabs>
              <w:tab w:val="left" w:pos="960"/>
              <w:tab w:val="right" w:leader="dot" w:pos="9010"/>
            </w:tabs>
            <w:rPr>
              <w:rFonts w:cstheme="minorBidi"/>
              <w:b w:val="0"/>
              <w:bCs w:val="0"/>
              <w:noProof/>
              <w:sz w:val="24"/>
              <w:szCs w:val="24"/>
              <w:lang w:eastAsia="en-US"/>
            </w:rPr>
          </w:pPr>
          <w:hyperlink w:anchor="_Toc8293425" w:history="1">
            <w:r w:rsidRPr="00014B28">
              <w:rPr>
                <w:rStyle w:val="Hyperlink"/>
                <w:noProof/>
              </w:rPr>
              <w:t>1.1</w:t>
            </w:r>
            <w:r>
              <w:rPr>
                <w:rFonts w:cstheme="minorBidi"/>
                <w:b w:val="0"/>
                <w:bCs w:val="0"/>
                <w:noProof/>
                <w:sz w:val="24"/>
                <w:szCs w:val="24"/>
                <w:lang w:eastAsia="en-US"/>
              </w:rPr>
              <w:tab/>
            </w:r>
            <w:r w:rsidRPr="00014B28">
              <w:rPr>
                <w:rStyle w:val="Hyperlink"/>
                <w:noProof/>
              </w:rPr>
              <w:t>Seasonal dynamics of mortality</w:t>
            </w:r>
            <w:r>
              <w:rPr>
                <w:noProof/>
                <w:webHidden/>
              </w:rPr>
              <w:tab/>
            </w:r>
            <w:r>
              <w:rPr>
                <w:noProof/>
                <w:webHidden/>
              </w:rPr>
              <w:fldChar w:fldCharType="begin"/>
            </w:r>
            <w:r>
              <w:rPr>
                <w:noProof/>
                <w:webHidden/>
              </w:rPr>
              <w:instrText xml:space="preserve"> PAGEREF _Toc8293425 \h </w:instrText>
            </w:r>
            <w:r>
              <w:rPr>
                <w:noProof/>
                <w:webHidden/>
              </w:rPr>
            </w:r>
            <w:r>
              <w:rPr>
                <w:noProof/>
                <w:webHidden/>
              </w:rPr>
              <w:fldChar w:fldCharType="separate"/>
            </w:r>
            <w:r>
              <w:rPr>
                <w:noProof/>
                <w:webHidden/>
              </w:rPr>
              <w:t>2</w:t>
            </w:r>
            <w:r>
              <w:rPr>
                <w:noProof/>
                <w:webHidden/>
              </w:rPr>
              <w:fldChar w:fldCharType="end"/>
            </w:r>
          </w:hyperlink>
        </w:p>
        <w:p w14:paraId="43139C03" w14:textId="6750E133" w:rsidR="0034749E" w:rsidRDefault="0034749E">
          <w:pPr>
            <w:pStyle w:val="TOC2"/>
            <w:tabs>
              <w:tab w:val="left" w:pos="960"/>
              <w:tab w:val="right" w:leader="dot" w:pos="9010"/>
            </w:tabs>
            <w:rPr>
              <w:rFonts w:cstheme="minorBidi"/>
              <w:b w:val="0"/>
              <w:bCs w:val="0"/>
              <w:noProof/>
              <w:sz w:val="24"/>
              <w:szCs w:val="24"/>
              <w:lang w:eastAsia="en-US"/>
            </w:rPr>
          </w:pPr>
          <w:hyperlink w:anchor="_Toc8293426" w:history="1">
            <w:r w:rsidRPr="00014B28">
              <w:rPr>
                <w:rStyle w:val="Hyperlink"/>
                <w:noProof/>
              </w:rPr>
              <w:t>1.2</w:t>
            </w:r>
            <w:r>
              <w:rPr>
                <w:rFonts w:cstheme="minorBidi"/>
                <w:b w:val="0"/>
                <w:bCs w:val="0"/>
                <w:noProof/>
                <w:sz w:val="24"/>
                <w:szCs w:val="24"/>
                <w:lang w:eastAsia="en-US"/>
              </w:rPr>
              <w:tab/>
            </w:r>
            <w:r w:rsidRPr="00014B28">
              <w:rPr>
                <w:rStyle w:val="Hyperlink"/>
                <w:noProof/>
              </w:rPr>
              <w:t>Mortality and temperature</w:t>
            </w:r>
            <w:r>
              <w:rPr>
                <w:noProof/>
                <w:webHidden/>
              </w:rPr>
              <w:tab/>
            </w:r>
            <w:r>
              <w:rPr>
                <w:noProof/>
                <w:webHidden/>
              </w:rPr>
              <w:fldChar w:fldCharType="begin"/>
            </w:r>
            <w:r>
              <w:rPr>
                <w:noProof/>
                <w:webHidden/>
              </w:rPr>
              <w:instrText xml:space="preserve"> PAGEREF _Toc8293426 \h </w:instrText>
            </w:r>
            <w:r>
              <w:rPr>
                <w:noProof/>
                <w:webHidden/>
              </w:rPr>
            </w:r>
            <w:r>
              <w:rPr>
                <w:noProof/>
                <w:webHidden/>
              </w:rPr>
              <w:fldChar w:fldCharType="separate"/>
            </w:r>
            <w:r>
              <w:rPr>
                <w:noProof/>
                <w:webHidden/>
              </w:rPr>
              <w:t>5</w:t>
            </w:r>
            <w:r>
              <w:rPr>
                <w:noProof/>
                <w:webHidden/>
              </w:rPr>
              <w:fldChar w:fldCharType="end"/>
            </w:r>
          </w:hyperlink>
        </w:p>
        <w:p w14:paraId="62550331" w14:textId="6B197808" w:rsidR="0034749E" w:rsidRDefault="0034749E">
          <w:pPr>
            <w:pStyle w:val="TOC2"/>
            <w:tabs>
              <w:tab w:val="left" w:pos="960"/>
              <w:tab w:val="right" w:leader="dot" w:pos="9010"/>
            </w:tabs>
            <w:rPr>
              <w:rFonts w:cstheme="minorBidi"/>
              <w:b w:val="0"/>
              <w:bCs w:val="0"/>
              <w:noProof/>
              <w:sz w:val="24"/>
              <w:szCs w:val="24"/>
              <w:lang w:eastAsia="en-US"/>
            </w:rPr>
          </w:pPr>
          <w:hyperlink w:anchor="_Toc8293427" w:history="1">
            <w:r w:rsidRPr="00014B28">
              <w:rPr>
                <w:rStyle w:val="Hyperlink"/>
                <w:noProof/>
              </w:rPr>
              <w:t>1.3</w:t>
            </w:r>
            <w:r>
              <w:rPr>
                <w:rFonts w:cstheme="minorBidi"/>
                <w:b w:val="0"/>
                <w:bCs w:val="0"/>
                <w:noProof/>
                <w:sz w:val="24"/>
                <w:szCs w:val="24"/>
                <w:lang w:eastAsia="en-US"/>
              </w:rPr>
              <w:tab/>
            </w:r>
            <w:r w:rsidRPr="00014B28">
              <w:rPr>
                <w:rStyle w:val="Hyperlink"/>
                <w:noProof/>
              </w:rPr>
              <w:t>Temperature an</w:t>
            </w:r>
            <w:r w:rsidRPr="00014B28">
              <w:rPr>
                <w:rStyle w:val="Hyperlink"/>
                <w:noProof/>
              </w:rPr>
              <w:t>d</w:t>
            </w:r>
            <w:r w:rsidRPr="00014B28">
              <w:rPr>
                <w:rStyle w:val="Hyperlink"/>
                <w:noProof/>
              </w:rPr>
              <w:t xml:space="preserve"> climate change</w:t>
            </w:r>
            <w:r>
              <w:rPr>
                <w:noProof/>
                <w:webHidden/>
              </w:rPr>
              <w:tab/>
            </w:r>
            <w:r>
              <w:rPr>
                <w:noProof/>
                <w:webHidden/>
              </w:rPr>
              <w:fldChar w:fldCharType="begin"/>
            </w:r>
            <w:r>
              <w:rPr>
                <w:noProof/>
                <w:webHidden/>
              </w:rPr>
              <w:instrText xml:space="preserve"> PAGEREF _Toc8293427 \h </w:instrText>
            </w:r>
            <w:r>
              <w:rPr>
                <w:noProof/>
                <w:webHidden/>
              </w:rPr>
            </w:r>
            <w:r>
              <w:rPr>
                <w:noProof/>
                <w:webHidden/>
              </w:rPr>
              <w:fldChar w:fldCharType="separate"/>
            </w:r>
            <w:r>
              <w:rPr>
                <w:noProof/>
                <w:webHidden/>
              </w:rPr>
              <w:t>9</w:t>
            </w:r>
            <w:r>
              <w:rPr>
                <w:noProof/>
                <w:webHidden/>
              </w:rPr>
              <w:fldChar w:fldCharType="end"/>
            </w:r>
          </w:hyperlink>
        </w:p>
        <w:p w14:paraId="7268626A" w14:textId="16C9A5AE" w:rsidR="0034749E" w:rsidRDefault="0034749E">
          <w:pPr>
            <w:pStyle w:val="TOC2"/>
            <w:tabs>
              <w:tab w:val="left" w:pos="960"/>
              <w:tab w:val="right" w:leader="dot" w:pos="9010"/>
            </w:tabs>
            <w:rPr>
              <w:rFonts w:cstheme="minorBidi"/>
              <w:b w:val="0"/>
              <w:bCs w:val="0"/>
              <w:noProof/>
              <w:sz w:val="24"/>
              <w:szCs w:val="24"/>
              <w:lang w:eastAsia="en-US"/>
            </w:rPr>
          </w:pPr>
          <w:hyperlink w:anchor="_Toc8293428" w:history="1">
            <w:r w:rsidRPr="00014B28">
              <w:rPr>
                <w:rStyle w:val="Hyperlink"/>
                <w:noProof/>
              </w:rPr>
              <w:t>1.4</w:t>
            </w:r>
            <w:r>
              <w:rPr>
                <w:rFonts w:cstheme="minorBidi"/>
                <w:b w:val="0"/>
                <w:bCs w:val="0"/>
                <w:noProof/>
                <w:sz w:val="24"/>
                <w:szCs w:val="24"/>
                <w:lang w:eastAsia="en-US"/>
              </w:rPr>
              <w:tab/>
            </w:r>
            <w:r w:rsidRPr="00014B28">
              <w:rPr>
                <w:rStyle w:val="Hyperlink"/>
                <w:noProof/>
              </w:rPr>
              <w:t>Modelling methodology</w:t>
            </w:r>
            <w:r>
              <w:rPr>
                <w:noProof/>
                <w:webHidden/>
              </w:rPr>
              <w:tab/>
            </w:r>
            <w:r>
              <w:rPr>
                <w:noProof/>
                <w:webHidden/>
              </w:rPr>
              <w:fldChar w:fldCharType="begin"/>
            </w:r>
            <w:r>
              <w:rPr>
                <w:noProof/>
                <w:webHidden/>
              </w:rPr>
              <w:instrText xml:space="preserve"> PAGEREF _Toc8293428 \h </w:instrText>
            </w:r>
            <w:r>
              <w:rPr>
                <w:noProof/>
                <w:webHidden/>
              </w:rPr>
            </w:r>
            <w:r>
              <w:rPr>
                <w:noProof/>
                <w:webHidden/>
              </w:rPr>
              <w:fldChar w:fldCharType="separate"/>
            </w:r>
            <w:r>
              <w:rPr>
                <w:noProof/>
                <w:webHidden/>
              </w:rPr>
              <w:t>10</w:t>
            </w:r>
            <w:r>
              <w:rPr>
                <w:noProof/>
                <w:webHidden/>
              </w:rPr>
              <w:fldChar w:fldCharType="end"/>
            </w:r>
          </w:hyperlink>
        </w:p>
        <w:p w14:paraId="299460C3" w14:textId="0EFCED01" w:rsidR="0034749E" w:rsidRDefault="0034749E">
          <w:pPr>
            <w:pStyle w:val="TOC2"/>
            <w:tabs>
              <w:tab w:val="left" w:pos="960"/>
              <w:tab w:val="right" w:leader="dot" w:pos="9010"/>
            </w:tabs>
            <w:rPr>
              <w:rFonts w:cstheme="minorBidi"/>
              <w:b w:val="0"/>
              <w:bCs w:val="0"/>
              <w:noProof/>
              <w:sz w:val="24"/>
              <w:szCs w:val="24"/>
              <w:lang w:eastAsia="en-US"/>
            </w:rPr>
          </w:pPr>
          <w:hyperlink w:anchor="_Toc8293429" w:history="1">
            <w:r w:rsidRPr="00014B28">
              <w:rPr>
                <w:rStyle w:val="Hyperlink"/>
                <w:noProof/>
              </w:rPr>
              <w:t>1.5</w:t>
            </w:r>
            <w:r>
              <w:rPr>
                <w:rFonts w:cstheme="minorBidi"/>
                <w:b w:val="0"/>
                <w:bCs w:val="0"/>
                <w:noProof/>
                <w:sz w:val="24"/>
                <w:szCs w:val="24"/>
                <w:lang w:eastAsia="en-US"/>
              </w:rPr>
              <w:tab/>
            </w:r>
            <w:r w:rsidRPr="00014B28">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_Toc8293429 \h </w:instrText>
            </w:r>
            <w:r>
              <w:rPr>
                <w:noProof/>
                <w:webHidden/>
              </w:rPr>
            </w:r>
            <w:r>
              <w:rPr>
                <w:noProof/>
                <w:webHidden/>
              </w:rPr>
              <w:fldChar w:fldCharType="separate"/>
            </w:r>
            <w:r>
              <w:rPr>
                <w:noProof/>
                <w:webHidden/>
              </w:rPr>
              <w:t>13</w:t>
            </w:r>
            <w:r>
              <w:rPr>
                <w:noProof/>
                <w:webHidden/>
              </w:rPr>
              <w:fldChar w:fldCharType="end"/>
            </w:r>
          </w:hyperlink>
        </w:p>
        <w:p w14:paraId="3C50F42E" w14:textId="58FD5B7F" w:rsidR="0034749E" w:rsidRDefault="0034749E">
          <w:pPr>
            <w:pStyle w:val="TOC2"/>
            <w:tabs>
              <w:tab w:val="left" w:pos="960"/>
              <w:tab w:val="right" w:leader="dot" w:pos="9010"/>
            </w:tabs>
            <w:rPr>
              <w:rFonts w:cstheme="minorBidi"/>
              <w:b w:val="0"/>
              <w:bCs w:val="0"/>
              <w:noProof/>
              <w:sz w:val="24"/>
              <w:szCs w:val="24"/>
              <w:lang w:eastAsia="en-US"/>
            </w:rPr>
          </w:pPr>
          <w:hyperlink w:anchor="_Toc8293430" w:history="1">
            <w:r w:rsidRPr="00014B28">
              <w:rPr>
                <w:rStyle w:val="Hyperlink"/>
                <w:noProof/>
              </w:rPr>
              <w:t>1.6</w:t>
            </w:r>
            <w:r>
              <w:rPr>
                <w:rFonts w:cstheme="minorBidi"/>
                <w:b w:val="0"/>
                <w:bCs w:val="0"/>
                <w:noProof/>
                <w:sz w:val="24"/>
                <w:szCs w:val="24"/>
                <w:lang w:eastAsia="en-US"/>
              </w:rPr>
              <w:tab/>
            </w:r>
            <w:r w:rsidRPr="00014B28">
              <w:rPr>
                <w:rStyle w:val="Hyperlink"/>
                <w:noProof/>
              </w:rPr>
              <w:t>Summary</w:t>
            </w:r>
            <w:r>
              <w:rPr>
                <w:noProof/>
                <w:webHidden/>
              </w:rPr>
              <w:tab/>
            </w:r>
            <w:r>
              <w:rPr>
                <w:noProof/>
                <w:webHidden/>
              </w:rPr>
              <w:fldChar w:fldCharType="begin"/>
            </w:r>
            <w:r>
              <w:rPr>
                <w:noProof/>
                <w:webHidden/>
              </w:rPr>
              <w:instrText xml:space="preserve"> PAGEREF _Toc8293430 \h </w:instrText>
            </w:r>
            <w:r>
              <w:rPr>
                <w:noProof/>
                <w:webHidden/>
              </w:rPr>
            </w:r>
            <w:r>
              <w:rPr>
                <w:noProof/>
                <w:webHidden/>
              </w:rPr>
              <w:fldChar w:fldCharType="separate"/>
            </w:r>
            <w:r>
              <w:rPr>
                <w:noProof/>
                <w:webHidden/>
              </w:rPr>
              <w:t>13</w:t>
            </w:r>
            <w:r>
              <w:rPr>
                <w:noProof/>
                <w:webHidden/>
              </w:rPr>
              <w:fldChar w:fldCharType="end"/>
            </w:r>
          </w:hyperlink>
        </w:p>
        <w:p w14:paraId="08B44C4D" w14:textId="6B33A413" w:rsidR="0034749E" w:rsidRDefault="0034749E">
          <w:pPr>
            <w:pStyle w:val="TOC1"/>
            <w:tabs>
              <w:tab w:val="right" w:leader="dot" w:pos="9010"/>
            </w:tabs>
            <w:rPr>
              <w:rFonts w:cstheme="minorBidi"/>
              <w:b w:val="0"/>
              <w:bCs w:val="0"/>
              <w:i w:val="0"/>
              <w:iCs w:val="0"/>
              <w:noProof/>
              <w:lang w:eastAsia="en-US"/>
            </w:rPr>
          </w:pPr>
          <w:hyperlink w:anchor="_Toc8293431" w:history="1">
            <w:r w:rsidRPr="00014B28">
              <w:rPr>
                <w:rStyle w:val="Hyperlink"/>
                <w:noProof/>
              </w:rPr>
              <w:t>Works cited</w:t>
            </w:r>
            <w:r>
              <w:rPr>
                <w:noProof/>
                <w:webHidden/>
              </w:rPr>
              <w:tab/>
            </w:r>
            <w:r>
              <w:rPr>
                <w:noProof/>
                <w:webHidden/>
              </w:rPr>
              <w:fldChar w:fldCharType="begin"/>
            </w:r>
            <w:r>
              <w:rPr>
                <w:noProof/>
                <w:webHidden/>
              </w:rPr>
              <w:instrText xml:space="preserve"> PAGEREF _Toc8293431 \h </w:instrText>
            </w:r>
            <w:r>
              <w:rPr>
                <w:noProof/>
                <w:webHidden/>
              </w:rPr>
            </w:r>
            <w:r>
              <w:rPr>
                <w:noProof/>
                <w:webHidden/>
              </w:rPr>
              <w:fldChar w:fldCharType="separate"/>
            </w:r>
            <w:r>
              <w:rPr>
                <w:noProof/>
                <w:webHidden/>
              </w:rPr>
              <w:t>14</w:t>
            </w:r>
            <w:r>
              <w:rPr>
                <w:noProof/>
                <w:webHidden/>
              </w:rPr>
              <w:fldChar w:fldCharType="end"/>
            </w:r>
          </w:hyperlink>
        </w:p>
        <w:p w14:paraId="4CE9CF6C" w14:textId="5FA7325F" w:rsidR="00E14922" w:rsidRDefault="00E14922" w:rsidP="00E14922">
          <w:pPr>
            <w:pStyle w:val="Style1"/>
          </w:pPr>
          <w:r w:rsidRPr="00E14922">
            <w:rPr>
              <w:b/>
              <w:bCs/>
              <w:noProof/>
            </w:rPr>
            <w:fldChar w:fldCharType="end"/>
          </w:r>
        </w:p>
      </w:sdtContent>
    </w:sdt>
    <w:p w14:paraId="52D0DB32" w14:textId="77777777" w:rsidR="00B549DF" w:rsidRDefault="00B549DF">
      <w:pPr>
        <w:spacing w:after="0" w:line="240" w:lineRule="auto"/>
        <w:jc w:val="left"/>
        <w:rPr>
          <w:rFonts w:eastAsiaTheme="majorEastAsia" w:cstheme="majorBidi"/>
          <w:b/>
          <w:sz w:val="32"/>
          <w:szCs w:val="32"/>
        </w:rPr>
      </w:pPr>
      <w:r>
        <w:br w:type="page"/>
      </w:r>
    </w:p>
    <w:p w14:paraId="51041B4F" w14:textId="2D989D22" w:rsidR="00785362" w:rsidRPr="00785362" w:rsidRDefault="000858BC" w:rsidP="00785362">
      <w:pPr>
        <w:pStyle w:val="Heading1"/>
      </w:pPr>
      <w:bookmarkStart w:id="2" w:name="_Toc8293424"/>
      <w:r>
        <w:lastRenderedPageBreak/>
        <w:t>Background</w:t>
      </w:r>
      <w:bookmarkEnd w:id="1"/>
      <w:bookmarkEnd w:id="2"/>
    </w:p>
    <w:p w14:paraId="0F42D578" w14:textId="2B4197C6" w:rsidR="00954451" w:rsidRDefault="00EB4E62" w:rsidP="00D551EC">
      <w:pPr>
        <w:pStyle w:val="Heading2"/>
      </w:pPr>
      <w:bookmarkStart w:id="3" w:name="_Toc8293425"/>
      <w:r>
        <w:t>Seasonal</w:t>
      </w:r>
      <w:r w:rsidR="00D551EC">
        <w:t xml:space="preserve">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08BA74DF"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(Brown, Fearn, &amp; Wells, 2010; Healy, 2003; Reichert et al., 2004)</w:t>
      </w:r>
      <w:r w:rsidR="00AC46FB">
        <w:fldChar w:fldCharType="end"/>
      </w:r>
      <w:r w:rsidR="004F5E26">
        <w:t>.</w:t>
      </w:r>
      <w:r w:rsidR="00D51CB2">
        <w:t xml:space="preserve"> </w:t>
      </w:r>
      <w:r w:rsidR="00C64389">
        <w:t>This phenomenon is known as e</w:t>
      </w:r>
      <w:r w:rsidR="007E5386">
        <w:t xml:space="preserve">xcess winter </w:t>
      </w:r>
      <w:r w:rsidR="007E5386">
        <w:lastRenderedPageBreak/>
        <w:t>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BE6523">
        <w:t xml:space="preserve"> </w:t>
      </w:r>
      <w:r w:rsidR="00BE6523">
        <w:fldChar w:fldCharType="begin" w:fldLock="1"/>
      </w:r>
      <w:r w:rsidR="00BE652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BE6523">
        <w:fldChar w:fldCharType="separate"/>
      </w:r>
      <w:r w:rsidR="00BE6523" w:rsidRPr="003306B1">
        <w:rPr>
          <w:noProof/>
        </w:rPr>
        <w:t>(Rau, 2004)</w:t>
      </w:r>
      <w:r w:rsidR="00BE6523">
        <w:fldChar w:fldCharType="end"/>
      </w:r>
      <w:r w:rsidR="008733D9">
        <w:t>.</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w:t>
      </w:r>
      <w:r w:rsidR="007258BE">
        <w:rPr>
          <w:szCs w:val="24"/>
        </w:rPr>
        <w:lastRenderedPageBreak/>
        <w:t>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65D44AF9"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a smooth seasonal cycle. </w:t>
      </w:r>
    </w:p>
    <w:p w14:paraId="5227BBD6" w14:textId="5C6FA947" w:rsidR="004D76D5" w:rsidRDefault="004C7DC5" w:rsidP="002A73E8">
      <w:pPr>
        <w:pStyle w:val="Heading2"/>
      </w:pPr>
      <w:bookmarkStart w:id="4" w:name="_Toc8293426"/>
      <w:r>
        <w:lastRenderedPageBreak/>
        <w:t>Mortality and temperature</w:t>
      </w:r>
      <w:bookmarkEnd w:id="4"/>
    </w:p>
    <w:p w14:paraId="3F93815D" w14:textId="3E420688" w:rsidR="00020C6F" w:rsidRDefault="00505972" w:rsidP="00CA74E1">
      <w:pPr>
        <w:ind w:firstLine="720"/>
        <w:rPr>
          <w:color w:val="000000" w:themeColor="text1"/>
          <w:szCs w:val="24"/>
        </w:rPr>
      </w:pPr>
      <w:r>
        <w:rPr>
          <w:rFonts w:cs="Calibri"/>
          <w:color w:val="000000" w:themeColor="text1"/>
          <w:szCs w:val="24"/>
        </w:rPr>
        <w:t xml:space="preserve">The Intergovernmental Panel on Climate Change (IPCC) defines </w:t>
      </w:r>
      <w:r w:rsidR="00487898">
        <w:rPr>
          <w:rFonts w:cs="Calibri"/>
          <w:color w:val="000000" w:themeColor="text1"/>
          <w:szCs w:val="24"/>
        </w:rPr>
        <w:t xml:space="preserve">climate </w:t>
      </w:r>
      <w:r>
        <w:rPr>
          <w:rFonts w:cs="Calibri"/>
          <w:color w:val="000000" w:themeColor="text1"/>
          <w:szCs w:val="24"/>
        </w:rPr>
        <w:t>adap</w:t>
      </w:r>
      <w:r w:rsidR="001067A9">
        <w:rPr>
          <w:rFonts w:cs="Calibri"/>
          <w:color w:val="000000" w:themeColor="text1"/>
          <w:szCs w:val="24"/>
        </w:rPr>
        <w:t>t</w:t>
      </w:r>
      <w:r>
        <w:rPr>
          <w:rFonts w:cs="Calibri"/>
          <w:color w:val="000000" w:themeColor="text1"/>
          <w:szCs w:val="24"/>
        </w:rPr>
        <w:t xml:space="preserve">ation as </w:t>
      </w:r>
      <w:r w:rsidR="001067A9">
        <w:rPr>
          <w:rFonts w:cs="Calibri"/>
          <w:color w:val="000000" w:themeColor="text1"/>
          <w:szCs w:val="24"/>
        </w:rPr>
        <w:t>‘the process of adjustment to actual or expected climate and its effects</w:t>
      </w:r>
      <w:r w:rsidR="00840858">
        <w:rPr>
          <w:rFonts w:cs="Calibri"/>
          <w:color w:val="000000" w:themeColor="text1"/>
          <w:szCs w:val="24"/>
        </w:rPr>
        <w:t xml:space="preserve">’ </w:t>
      </w:r>
      <w:r w:rsidR="00D128B1">
        <w:rPr>
          <w:rFonts w:cs="Calibri"/>
          <w:color w:val="000000" w:themeColor="text1"/>
          <w:szCs w:val="24"/>
        </w:rPr>
        <w:fldChar w:fldCharType="begin" w:fldLock="1"/>
      </w:r>
      <w:r w:rsidR="005A60EE">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2014a)","plainTextFormattedCitation":"(IPCC, 2014a)","previouslyFormattedCitation":"(IPCC, 2014a)"},"properties":{"noteIndex":0},"schema":"https://github.com/citation-style-language/schema/raw/master/csl-citation.json"}</w:instrText>
      </w:r>
      <w:r w:rsidR="00D128B1">
        <w:rPr>
          <w:rFonts w:cs="Calibri"/>
          <w:color w:val="000000" w:themeColor="text1"/>
          <w:szCs w:val="24"/>
        </w:rPr>
        <w:fldChar w:fldCharType="separate"/>
      </w:r>
      <w:r w:rsidR="00E65FE4" w:rsidRPr="00E65FE4">
        <w:rPr>
          <w:rFonts w:cs="Calibri"/>
          <w:noProof/>
          <w:color w:val="000000" w:themeColor="text1"/>
          <w:szCs w:val="24"/>
        </w:rPr>
        <w:t>(IPCC, 2014a)</w:t>
      </w:r>
      <w:r w:rsidR="00D128B1">
        <w:rPr>
          <w:rFonts w:cs="Calibri"/>
          <w:color w:val="000000" w:themeColor="text1"/>
          <w:szCs w:val="24"/>
        </w:rPr>
        <w:fldChar w:fldCharType="end"/>
      </w:r>
      <w:r w:rsidR="001067A9">
        <w:rPr>
          <w:rFonts w:cs="Calibri"/>
          <w:color w:val="000000" w:themeColor="text1"/>
          <w:szCs w:val="24"/>
        </w:rPr>
        <w:t xml:space="preserve">. </w:t>
      </w:r>
      <w:r w:rsidR="00496846">
        <w:rPr>
          <w:rFonts w:cs="Calibri"/>
          <w:color w:val="000000" w:themeColor="text1"/>
          <w:szCs w:val="24"/>
        </w:rPr>
        <w:t>Throughout history, h</w:t>
      </w:r>
      <w:r w:rsidR="00C12284">
        <w:rPr>
          <w:rFonts w:cs="Calibri"/>
          <w:color w:val="000000" w:themeColor="text1"/>
          <w:szCs w:val="24"/>
        </w:rPr>
        <w:t>umans</w:t>
      </w:r>
      <w:r w:rsidR="00D75978" w:rsidRPr="00A60C11">
        <w:rPr>
          <w:rFonts w:cs="Calibri"/>
          <w:color w:val="000000" w:themeColor="text1"/>
          <w:szCs w:val="24"/>
        </w:rPr>
        <w:t xml:space="preserve"> have</w:t>
      </w:r>
      <w:r w:rsidR="00131628">
        <w:rPr>
          <w:rFonts w:cs="Calibri"/>
          <w:color w:val="000000" w:themeColor="text1"/>
          <w:szCs w:val="24"/>
        </w:rPr>
        <w:t xml:space="preserve"> </w:t>
      </w:r>
      <w:r w:rsidR="00D75978" w:rsidRPr="00A60C11">
        <w:rPr>
          <w:rFonts w:cs="Calibri"/>
          <w:color w:val="000000" w:themeColor="text1"/>
          <w:szCs w:val="24"/>
        </w:rPr>
        <w:t xml:space="preserve">biologically and behaviourally adapted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ED057C">
        <w:rPr>
          <w:rFonts w:cs="Calibri"/>
          <w:color w:val="000000" w:themeColor="text1"/>
          <w:szCs w:val="24"/>
        </w:rPr>
        <w:t xml:space="preserve">Biologically the human body takes </w:t>
      </w:r>
      <w:r w:rsidR="00F93FF6">
        <w:rPr>
          <w:rFonts w:cs="Calibri"/>
          <w:color w:val="000000" w:themeColor="text1"/>
          <w:szCs w:val="24"/>
        </w:rPr>
        <w:t xml:space="preserve">several days to adapt to </w:t>
      </w:r>
      <w:r w:rsidR="004A5FF9">
        <w:rPr>
          <w:rFonts w:cs="Calibri"/>
          <w:color w:val="000000" w:themeColor="text1"/>
          <w:szCs w:val="24"/>
        </w:rPr>
        <w:t>ambient temperature within a narrow range</w:t>
      </w:r>
      <w:r w:rsidR="00625880">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 </w:t>
      </w:r>
      <w:r w:rsidR="007A63EE">
        <w:rPr>
          <w:color w:val="000000" w:themeColor="text1"/>
          <w:szCs w:val="24"/>
        </w:rPr>
        <w:fldChar w:fldCharType="begin" w:fldLock="1"/>
      </w:r>
      <w:r w:rsidR="00E65FE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mortality.","type":"article-journal"},"uris":["http://www.mendeley.com/documents/?uuid=36d833d1-1737-4ae8-8983-ce4e1c9e580d"]}],"mendeley":{"formattedCitation":"(Garcia-Herrera, Díaz, Trigo, Luterbacher, &amp; Fischer, 2010; Kaiser et al., 2007)","plainTextFormattedCitation":"(Garcia-Herrera, Díaz, Trigo, Luterbacher, &amp; Fischer, 2010; Kaiser et al., 2007)","previouslyFormattedCitation":"(Garcia-Herrera, Díaz, Trigo, Luterbacher, &amp; Fischer, 2010; Kaiser et al., 2007)"},"properties":{"noteIndex":0},"schema":"https://github.com/citation-style-language/schema/raw/master/csl-citation.json"}</w:instrText>
      </w:r>
      <w:r w:rsidR="007A63EE">
        <w:rPr>
          <w:color w:val="000000" w:themeColor="text1"/>
          <w:szCs w:val="24"/>
        </w:rPr>
        <w:fldChar w:fldCharType="separate"/>
      </w:r>
      <w:r w:rsidR="0091101F" w:rsidRPr="0091101F">
        <w:rPr>
          <w:noProof/>
          <w:color w:val="000000" w:themeColor="text1"/>
          <w:szCs w:val="24"/>
        </w:rPr>
        <w:t>(Garcia-Herrera, Díaz, Trigo, Luterbacher, &amp; Fischer, 2010; Kaiser et al., 2007)</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8911E2">
        <w:rPr>
          <w:color w:val="000000" w:themeColor="text1"/>
          <w:szCs w:val="24"/>
        </w:rPr>
        <w:t>.</w:t>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8911E2">
        <w:rPr>
          <w:szCs w:val="24"/>
        </w:rPr>
        <w:t>,</w:t>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F11926">
        <w:rPr>
          <w:color w:val="000000" w:themeColor="text1"/>
          <w:szCs w:val="24"/>
        </w:rPr>
        <w:t xml:space="preserve"> </w:t>
      </w:r>
      <w:r w:rsidR="009A4D2D">
        <w:rPr>
          <w:color w:val="000000" w:themeColor="text1"/>
          <w:szCs w:val="24"/>
        </w:rPr>
        <w:fldChar w:fldCharType="begin" w:fldLock="1"/>
      </w:r>
      <w:r w:rsidR="004A0635">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Europe","type":"article-journal","volume":"349"},"uris":["http://www.mendeley.com/documents/?uuid=f6889fcb-209f-4436-baf2-9ae3768f2d65"]}],"mendeley":{"formattedCitation":"(The Eurowinter Group, 1997)","plainTextFormattedCitation":"(The Eurowinter Group, 1997)","previouslyFormattedCitation":"(The Eurowinter Group, 1997)"},"properties":{"noteIndex":0},"schema":"https://github.com/citation-style-language/schema/raw/master/csl-citation.json"}</w:instrText>
      </w:r>
      <w:r w:rsidR="009A4D2D">
        <w:rPr>
          <w:color w:val="000000" w:themeColor="text1"/>
          <w:szCs w:val="24"/>
        </w:rPr>
        <w:fldChar w:fldCharType="separate"/>
      </w:r>
      <w:r w:rsidR="009A4D2D" w:rsidRPr="009A4D2D">
        <w:rPr>
          <w:noProof/>
          <w:color w:val="000000" w:themeColor="text1"/>
          <w:szCs w:val="24"/>
        </w:rPr>
        <w:t>(The Eurowinter Group, 1997)</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5276F5">
        <w:rPr>
          <w:rFonts w:cs="Calibri"/>
          <w:szCs w:val="24"/>
        </w:rPr>
        <w:t xml:space="preserve"> </w:t>
      </w:r>
      <w:r w:rsidR="00E65FE4">
        <w:rPr>
          <w:rFonts w:cs="Calibri"/>
          <w:szCs w:val="24"/>
        </w:rPr>
        <w:fldChar w:fldCharType="begin" w:fldLock="1"/>
      </w:r>
      <w:r w:rsidR="005A60EE">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Report","type":"book"},"uris":["http://www.mendeley.com/documents/?uuid=17cf5203-8818-4d61-96d9-3addeae2f64e"]}],"mendeley":{"formattedCitation":"(IPCC, 2014b)","plainTextFormattedCitation":"(IPCC, 2014b)","previouslyFormattedCitation":"(IPCC, 2014b)"},"properties":{"noteIndex":0},"schema":"https://github.com/citation-style-language/schema/raw/master/csl-citation.json"}</w:instrText>
      </w:r>
      <w:r w:rsidR="00E65FE4">
        <w:rPr>
          <w:rFonts w:cs="Calibri"/>
          <w:szCs w:val="24"/>
        </w:rPr>
        <w:fldChar w:fldCharType="separate"/>
      </w:r>
      <w:r w:rsidR="00E65FE4" w:rsidRPr="00E65FE4">
        <w:rPr>
          <w:rFonts w:cs="Calibri"/>
          <w:noProof/>
          <w:szCs w:val="24"/>
        </w:rPr>
        <w:t>(IPCC, 2014b)</w:t>
      </w:r>
      <w:r w:rsidR="00E65FE4">
        <w:rPr>
          <w:rFonts w:cs="Calibri"/>
          <w:szCs w:val="24"/>
        </w:rPr>
        <w:fldChar w:fldCharType="end"/>
      </w:r>
      <w:r w:rsidR="00F03415">
        <w:rPr>
          <w:color w:val="000000" w:themeColor="text1"/>
          <w:szCs w:val="24"/>
        </w:rPr>
        <w:t>.</w:t>
      </w:r>
    </w:p>
    <w:p w14:paraId="50124F24" w14:textId="77777777" w:rsidR="00CA6258"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both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w:t>
      </w:r>
      <w:r w:rsidR="005A60EE">
        <w:rPr>
          <w:szCs w:val="24"/>
        </w:rPr>
        <w:lastRenderedPageBreak/>
        <w:t xml:space="preserve">perspiration </w:t>
      </w:r>
      <w:r w:rsidR="005A60EE">
        <w:rPr>
          <w:szCs w:val="24"/>
        </w:rPr>
        <w:fldChar w:fldCharType="begin" w:fldLock="1"/>
      </w:r>
      <w:r w:rsidR="00AB141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5A60EE">
        <w:rPr>
          <w:szCs w:val="24"/>
        </w:rPr>
        <w:fldChar w:fldCharType="separate"/>
      </w:r>
      <w:r w:rsidR="005A60EE" w:rsidRPr="005A60EE">
        <w:rPr>
          <w:noProof/>
          <w:szCs w:val="24"/>
        </w:rPr>
        <w:t>(Kovats &amp; Hajat, 2008)</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AB1419">
        <w:rPr>
          <w:szCs w:val="24"/>
        </w:rPr>
        <w:t xml:space="preserve"> </w:t>
      </w:r>
      <w:r w:rsidR="00AB1419">
        <w:rPr>
          <w:szCs w:val="24"/>
        </w:rPr>
        <w:fldChar w:fldCharType="begin" w:fldLock="1"/>
      </w:r>
      <w:r w:rsidR="002D3397">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Environments","type":"article-journal"},"uris":["http://www.mendeley.com/documents/?uuid=2426471c-f6c2-47fa-84a5-ff9983ed4241"]}],"mendeley":{"formattedCitation":"(Kilbourne, 1997)","plainTextFormattedCitation":"(Kilbourne, 1997)","previouslyFormattedCitation":"(Kilbourne, 1997)"},"properties":{"noteIndex":0},"schema":"https://github.com/citation-style-language/schema/raw/master/csl-citation.json"}</w:instrText>
      </w:r>
      <w:r w:rsidR="00AB1419">
        <w:rPr>
          <w:szCs w:val="24"/>
        </w:rPr>
        <w:fldChar w:fldCharType="separate"/>
      </w:r>
      <w:r w:rsidR="00AB1419" w:rsidRPr="00AB1419">
        <w:rPr>
          <w:noProof/>
          <w:szCs w:val="24"/>
        </w:rPr>
        <w:t>(Kilbourne, 1997)</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r w:rsidR="00095503">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2D3397">
        <w:rPr>
          <w:szCs w:val="24"/>
        </w:rPr>
        <w:t xml:space="preserve"> </w:t>
      </w:r>
      <w:r w:rsidR="002D3397">
        <w:rPr>
          <w:szCs w:val="24"/>
        </w:rPr>
        <w:fldChar w:fldCharType="begin" w:fldLock="1"/>
      </w:r>
      <w:r w:rsidR="00567F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2D3397">
        <w:rPr>
          <w:szCs w:val="24"/>
        </w:rPr>
        <w:fldChar w:fldCharType="separate"/>
      </w:r>
      <w:r w:rsidR="002D3397" w:rsidRPr="002D3397">
        <w:rPr>
          <w:noProof/>
          <w:szCs w:val="24"/>
        </w:rPr>
        <w:t>(Antonio Gasparrini et al., 2015)</w:t>
      </w:r>
      <w:r w:rsidR="002D3397">
        <w:rPr>
          <w:szCs w:val="24"/>
        </w:rPr>
        <w:fldChar w:fldCharType="end"/>
      </w:r>
      <w:r w:rsidR="000721B3">
        <w:rPr>
          <w:szCs w:val="24"/>
        </w:rPr>
        <w:t>.</w:t>
      </w:r>
      <w:r w:rsidR="00003680">
        <w:rPr>
          <w:szCs w:val="24"/>
        </w:rPr>
        <w:t xml:space="preserve"> </w:t>
      </w:r>
    </w:p>
    <w:p w14:paraId="4665E141" w14:textId="0F19139E" w:rsidR="002551CF" w:rsidRPr="00CF1882" w:rsidRDefault="00D07474" w:rsidP="00CF1882">
      <w:pPr>
        <w:ind w:firstLine="720"/>
        <w:rPr>
          <w:szCs w:val="24"/>
        </w:rPr>
      </w:pPr>
      <w:r>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 xml:space="preserve">which suggests other direct and indirect pathways exist </w:t>
      </w:r>
      <w:r w:rsidR="00075402" w:rsidRPr="00075402">
        <w:rPr>
          <w:szCs w:val="24"/>
        </w:rPr>
        <w:fldChar w:fldCharType="begin" w:fldLock="1"/>
      </w:r>
      <w:r w:rsidR="00075402" w:rsidRPr="0007540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075402" w:rsidRPr="00075402">
        <w:rPr>
          <w:szCs w:val="24"/>
        </w:rPr>
        <w:fldChar w:fldCharType="separate"/>
      </w:r>
      <w:r w:rsidR="00075402" w:rsidRPr="00075402">
        <w:rPr>
          <w:noProof/>
          <w:szCs w:val="24"/>
        </w:rPr>
        <w:t>(Basu, 2009; Antonio Gasp</w:t>
      </w:r>
      <w:bookmarkStart w:id="5" w:name="_GoBack"/>
      <w:bookmarkEnd w:id="5"/>
      <w:r w:rsidR="00075402" w:rsidRPr="00075402">
        <w:rPr>
          <w:noProof/>
          <w:szCs w:val="24"/>
        </w:rPr>
        <w:t>arrini et al., 2015; Ye et al., 2012)</w:t>
      </w:r>
      <w:r w:rsidR="00075402" w:rsidRPr="00075402">
        <w:rPr>
          <w:szCs w:val="24"/>
        </w:rPr>
        <w:fldChar w:fldCharType="end"/>
      </w:r>
      <w:r w:rsidR="00075402" w:rsidRPr="00075402">
        <w:rPr>
          <w:szCs w:val="24"/>
        </w:rPr>
        <w:t xml:space="preserve">. </w:t>
      </w:r>
      <w:r w:rsidR="00E126BB">
        <w:rPr>
          <w:szCs w:val="24"/>
        </w:rPr>
        <w:t xml:space="preserve">Elevated 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deaths make up a significant proportion</w:t>
      </w:r>
      <w:r w:rsidR="009C39AB">
        <w:rPr>
          <w:szCs w:val="24"/>
        </w:rPr>
        <w:t xml:space="preserve"> </w:t>
      </w:r>
      <w:r w:rsidR="00A33CF3">
        <w:rPr>
          <w:szCs w:val="24"/>
        </w:rPr>
        <w:fldChar w:fldCharType="begin" w:fldLock="1"/>
      </w:r>
      <w:r w:rsidR="00F937AA">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Wales","type":"article-journal","volume":"4"},"uris":["http://www.mendeley.com/documents/?uuid=5f34f7af-83b0-4896-a914-0daa32211ebb"]},{"id":"ITEM-4","itemData":{"DOI":"10.1097/EDE.0b013e318190ee08","abstract":"Background—Many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Mass.)","id":"ITEM-4","issue":"2","issued":{"date-parts":[["2009"]]},"page":"205","title":"Weather-related mortality: how heat, cold, and heat waves affect mortality in the United States","type":"article-journal","volume":"20"},"uris":["http://www.mendeley.com/documents/?uuid=5fe7563e-b493-41ad-a49d-689ded5488ac"]}],"mendeley":{"formattedCitation":"(Anderson &amp; Bell, 2009; Bennett, Blangiardo, Fecht, Elliott, &amp; Ezzati, 2014; Antonio Gasparrini et al., 2015; Antonio Gasparrini, Armstrong, Kovats, &amp; Wilkinson, 2012)","plainTextFormattedCitation":"(Anderson &amp; Bell, 2009; Bennett, Blangiardo, Fecht, Elliott, &amp; Ezzati, 2014; Antonio Gasparrini et al., 2015; Antonio Gasparrini, Armstrong, Kovats, &amp; Wilkinson, 2012)","previouslyFormattedCitation":"(Bennett, Blangiardo, Fecht, Elliott, &amp; Ezzati, 2014; Antonio Gasparrini et al., 2015; Antonio Gasparrini, Armstrong, Kovats, &amp; Wilkinson, 2012)"},"properties":{"noteIndex":0},"schema":"https://github.com/citation-style-language/schema/raw/master/csl-citation.json"}</w:instrText>
      </w:r>
      <w:r w:rsidR="00A33CF3">
        <w:rPr>
          <w:szCs w:val="24"/>
        </w:rPr>
        <w:fldChar w:fldCharType="separate"/>
      </w:r>
      <w:r w:rsidR="00F937AA" w:rsidRPr="00F937AA">
        <w:rPr>
          <w:noProof/>
          <w:szCs w:val="24"/>
        </w:rPr>
        <w:t>(Anderson &amp; Bell, 2009; Bennett, Blangiardo, Fecht, Elliott, &amp; Ezzati, 2014; Antonio Gasparrini et al., 2015; Antonio Gasparrini, Armstrong, Kovats, &amp; Wilkinson, 2012)</w:t>
      </w:r>
      <w:r w:rsidR="00A33CF3">
        <w:rPr>
          <w:szCs w:val="24"/>
        </w:rPr>
        <w:fldChar w:fldCharType="end"/>
      </w:r>
      <w:r w:rsidR="00670146">
        <w:rPr>
          <w:szCs w:val="24"/>
        </w:rPr>
        <w:t>.</w:t>
      </w:r>
      <w:r w:rsidR="00CC0EAF">
        <w:rPr>
          <w:szCs w:val="24"/>
        </w:rPr>
        <w:t xml:space="preserve"> </w:t>
      </w:r>
      <w:r w:rsidR="009A6681">
        <w:rPr>
          <w:szCs w:val="24"/>
        </w:rPr>
        <w:t>S</w:t>
      </w:r>
      <w:r w:rsidR="001151EB">
        <w:rPr>
          <w:szCs w:val="24"/>
        </w:rPr>
        <w:t>ome s</w:t>
      </w:r>
      <w:r w:rsidR="009A6681">
        <w:rPr>
          <w:szCs w:val="24"/>
        </w:rPr>
        <w:t xml:space="preserve">tudies on the effect of elevated </w:t>
      </w:r>
      <w:r w:rsidR="001151EB">
        <w:rPr>
          <w:szCs w:val="24"/>
        </w:rPr>
        <w:t xml:space="preserve">daily </w:t>
      </w:r>
      <w:r w:rsidR="009A6681">
        <w:rPr>
          <w:szCs w:val="24"/>
        </w:rPr>
        <w:t>temperatures on injury deaths exist</w:t>
      </w:r>
      <w:r w:rsidR="001151EB">
        <w:rPr>
          <w:szCs w:val="24"/>
        </w:rPr>
        <w:t>. A recent study examined the association of elevated temperature with</w:t>
      </w:r>
      <w:r w:rsidR="00CF1882" w:rsidRPr="00A60C11">
        <w:rPr>
          <w:szCs w:val="24"/>
        </w:rPr>
        <w:t xml:space="preserve"> </w:t>
      </w:r>
      <w:r w:rsidR="001151EB">
        <w:rPr>
          <w:szCs w:val="24"/>
        </w:rPr>
        <w:t>suicide</w:t>
      </w:r>
      <w:r w:rsidR="00CF1882">
        <w:rPr>
          <w:szCs w:val="24"/>
        </w:rPr>
        <w:t xml:space="preserve"> </w:t>
      </w:r>
      <w:r w:rsidR="00CF1882" w:rsidRPr="00A60C11">
        <w:rPr>
          <w:szCs w:val="24"/>
        </w:rPr>
        <w:fldChar w:fldCharType="begin" w:fldLock="1"/>
      </w:r>
      <w:r w:rsidR="00CF1882">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CF1882" w:rsidRPr="00A60C11">
        <w:rPr>
          <w:szCs w:val="24"/>
        </w:rPr>
        <w:fldChar w:fldCharType="separate"/>
      </w:r>
      <w:r w:rsidR="00CF1882" w:rsidRPr="006B7E8C">
        <w:rPr>
          <w:noProof/>
          <w:szCs w:val="24"/>
        </w:rPr>
        <w:t>(Burke et al., 2018)</w:t>
      </w:r>
      <w:r w:rsidR="00CF1882" w:rsidRPr="00A60C11">
        <w:rPr>
          <w:szCs w:val="24"/>
        </w:rPr>
        <w:fldChar w:fldCharType="end"/>
      </w:r>
      <w:r w:rsidR="00CF1882" w:rsidRPr="00A60C11">
        <w:rPr>
          <w:szCs w:val="24"/>
        </w:rPr>
        <w:t>.</w:t>
      </w:r>
      <w:r w:rsidR="00CF1882">
        <w:rPr>
          <w:szCs w:val="24"/>
        </w:rPr>
        <w:t xml:space="preserve"> </w:t>
      </w:r>
      <w:r w:rsidR="0066400A">
        <w:rPr>
          <w:szCs w:val="24"/>
        </w:rPr>
        <w:t>One study has looked at the effect of temperature on other conditions such as endocrine disease, diabetes mellitus, diseases of the genitourinary system</w:t>
      </w:r>
      <w:r w:rsidR="000D6649">
        <w:rPr>
          <w:szCs w:val="24"/>
        </w:rPr>
        <w:t xml:space="preserve">, </w:t>
      </w:r>
      <w:r w:rsidR="002551CF" w:rsidRPr="00A60C11">
        <w:rPr>
          <w:szCs w:val="24"/>
        </w:rPr>
        <w:t xml:space="preserve">The </w:t>
      </w:r>
      <w:r w:rsidR="00BF1E98">
        <w:rPr>
          <w:szCs w:val="24"/>
        </w:rPr>
        <w:t xml:space="preserve">evidence of </w:t>
      </w:r>
      <w:r w:rsidR="002551CF" w:rsidRPr="00A60C11">
        <w:rPr>
          <w:szCs w:val="24"/>
        </w:rPr>
        <w:t>link</w:t>
      </w:r>
      <w:r w:rsidR="00BF1E98">
        <w:rPr>
          <w:szCs w:val="24"/>
        </w:rPr>
        <w:t>s</w:t>
      </w:r>
      <w:r w:rsidR="002551CF" w:rsidRPr="00A60C11">
        <w:rPr>
          <w:szCs w:val="24"/>
        </w:rPr>
        <w:t xml:space="preserve"> between cancer mortality and temperature is extremely limited</w:t>
      </w:r>
      <w:r w:rsidR="00BF1E98">
        <w:rPr>
          <w:szCs w:val="24"/>
        </w:rPr>
        <w:t xml:space="preserve">, </w:t>
      </w:r>
      <w:r w:rsidR="00D46C8F">
        <w:rPr>
          <w:szCs w:val="24"/>
        </w:rPr>
        <w:t xml:space="preserve">with </w:t>
      </w:r>
      <w:r w:rsidR="00BF1E98">
        <w:rPr>
          <w:szCs w:val="24"/>
        </w:rPr>
        <w:t>few</w:t>
      </w:r>
      <w:r w:rsidR="00D46C8F">
        <w:rPr>
          <w:szCs w:val="24"/>
        </w:rPr>
        <w:t xml:space="preserve"> studies focusing on d </w:t>
      </w:r>
      <w:r w:rsidR="002551CF">
        <w:rPr>
          <w:szCs w:val="24"/>
        </w:rPr>
        <w:t xml:space="preserve"> </w:t>
      </w:r>
      <w:r w:rsidR="002551CF" w:rsidRPr="00A60C11">
        <w:rPr>
          <w:szCs w:val="24"/>
        </w:rPr>
        <w:fldChar w:fldCharType="begin" w:fldLock="1"/>
      </w:r>
      <w:r w:rsidR="002551CF">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2551CF" w:rsidRPr="00A60C11">
        <w:rPr>
          <w:szCs w:val="24"/>
        </w:rPr>
        <w:fldChar w:fldCharType="separate"/>
      </w:r>
      <w:r w:rsidR="002551CF" w:rsidRPr="006B7E8C">
        <w:rPr>
          <w:noProof/>
          <w:szCs w:val="24"/>
        </w:rPr>
        <w:t>(Newell &amp; Waggoner, 1970)</w:t>
      </w:r>
      <w:r w:rsidR="002551CF" w:rsidRPr="00A60C11">
        <w:rPr>
          <w:szCs w:val="24"/>
        </w:rPr>
        <w:fldChar w:fldCharType="end"/>
      </w:r>
      <w:r w:rsidR="002551CF">
        <w:rPr>
          <w:szCs w:val="24"/>
        </w:rPr>
        <w:t>.</w:t>
      </w:r>
      <w:r w:rsidR="002551CF" w:rsidRPr="00A60C11">
        <w:rPr>
          <w:szCs w:val="24"/>
        </w:rPr>
        <w:t xml:space="preserve"> </w:t>
      </w:r>
    </w:p>
    <w:p w14:paraId="6EFAF70C" w14:textId="3B0F3049" w:rsidR="00D66462" w:rsidRDefault="00A71C62" w:rsidP="009C39AB">
      <w:pPr>
        <w:ind w:firstLine="720"/>
        <w:rPr>
          <w:color w:val="000000" w:themeColor="text1"/>
          <w:szCs w:val="24"/>
        </w:rPr>
      </w:pPr>
      <w:r w:rsidRPr="00A60C11">
        <w:rPr>
          <w:color w:val="000000" w:themeColor="text1"/>
          <w:szCs w:val="24"/>
        </w:rPr>
        <w:t>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sidR="00F937AA">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Wales","type":"article-journal"},"uris":["http://www.mendeley.com/documents/?uuid=282525fb-21fc-43e2-900c-3add322572de"]}],"mendeley":{"formattedCitation":"(Basu, 2009; Bennett et al., 2014; Antonio Gasparrini et al., 2012; S. Hajat, Kovats, &amp; Lachowycz, 2007; Li et al., 2016; Song et al., 2017; Ye et al., 2012; Zanobetti, O’Neill, Gronlund, &amp; Schwartz, 2012)","plainTextFormattedCitation":"(Basu, 2009; Bennett et al., 2014; Antonio Gasparrini et al., 2012; S. Hajat, Kovats, &amp; Lachowycz, 2007; Li et al., 2016; Song et al., 2017; Ye et al., 2012; Zanobetti, O’Neill, Gronlund, &amp; Schwartz, 2012)","previouslyFormattedCitation":"(Basu, 2009; Bennett et al., 2014; Antonio Gasparrini et al., 2012; S.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A33CF3" w:rsidRPr="00A33CF3">
        <w:rPr>
          <w:noProof/>
          <w:color w:val="000000" w:themeColor="text1"/>
          <w:szCs w:val="24"/>
        </w:rPr>
        <w:t>(Basu, 2009; Bennett et al., 2014; Antonio Gasparrini et al., 2012; S.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w:t>
      </w:r>
      <w:r w:rsidR="00D66462">
        <w:rPr>
          <w:color w:val="000000" w:themeColor="text1"/>
          <w:szCs w:val="24"/>
        </w:rPr>
        <w:t xml:space="preserve">While many studies already mentioned will variously create a study design by </w:t>
      </w:r>
    </w:p>
    <w:p w14:paraId="691998B5" w14:textId="52E9D0C5" w:rsidR="007F4729" w:rsidRPr="009C39AB" w:rsidRDefault="00A71C62" w:rsidP="009C39AB">
      <w:pPr>
        <w:ind w:firstLine="720"/>
        <w:rPr>
          <w:color w:val="000000" w:themeColor="text1"/>
          <w:szCs w:val="24"/>
        </w:rPr>
      </w:pPr>
      <w:r w:rsidRPr="00A60C11">
        <w:rPr>
          <w:color w:val="000000" w:themeColor="text1"/>
          <w:szCs w:val="24"/>
        </w:rPr>
        <w:lastRenderedPageBreak/>
        <w:t xml:space="preserve">There is currently no detailed information on how different types of mortality respond with temperature in relation to age group and sex in the </w:t>
      </w:r>
      <w:r w:rsidR="00B453B1">
        <w:rPr>
          <w:color w:val="000000" w:themeColor="text1"/>
          <w:szCs w:val="24"/>
        </w:rPr>
        <w:t>United States</w:t>
      </w:r>
      <w:r w:rsidRPr="00A60C11">
        <w:rPr>
          <w:color w:val="000000" w:themeColor="text1"/>
          <w:szCs w:val="24"/>
        </w:rPr>
        <w:t>. As such, it is important to build an analysis distinguishing by these features of a population.</w:t>
      </w:r>
      <w:r w:rsidR="00CA74E1">
        <w:rPr>
          <w:color w:val="000000" w:themeColor="text1"/>
          <w:szCs w:val="24"/>
        </w:rPr>
        <w:t xml:space="preserve"> </w:t>
      </w:r>
      <w:r w:rsidR="00294F37"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w:t>
      </w:r>
      <w:r w:rsidR="00294F37">
        <w:rPr>
          <w:szCs w:val="24"/>
        </w:rPr>
        <w:t>United States</w:t>
      </w:r>
      <w:r w:rsidR="00294F37" w:rsidRPr="00A60C11">
        <w:rPr>
          <w:szCs w:val="24"/>
        </w:rPr>
        <w:t xml:space="preserve"> in different cities have looked at similar stratification of a population. These previous studies have also mostly examined single or multi-day episodes. As such, a large part of the gap in the research here is to understand how vulnerability will vary between age groups and sexes for a population by cause of death.</w:t>
      </w:r>
    </w:p>
    <w:p w14:paraId="16045796" w14:textId="77777777" w:rsidR="007F4729" w:rsidRDefault="007F4729" w:rsidP="007F4729">
      <w:pPr>
        <w:rPr>
          <w:color w:val="000000" w:themeColor="text1"/>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 impact of extreme heat on mortality from natural causes has also attracted interest</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14A771D9" w14:textId="342CD9EF" w:rsidR="007F4729" w:rsidRPr="004C7DC5" w:rsidRDefault="007F4729" w:rsidP="004C7DC5">
      <w:pPr>
        <w:rPr>
          <w:szCs w:val="24"/>
        </w:rPr>
      </w:pPr>
      <w:r>
        <w:rPr>
          <w:szCs w:val="24"/>
        </w:rPr>
        <w:tab/>
      </w:r>
      <w:r w:rsidRPr="00A60C11">
        <w:rPr>
          <w:szCs w:val="24"/>
        </w:rPr>
        <w:t xml:space="preserve">Other studies have looked at how other environmental measures as covariates may act as confounders to the relationship between mortality and temperature. There is however </w:t>
      </w:r>
      <w:r w:rsidRPr="00A60C11">
        <w:rPr>
          <w:szCs w:val="24"/>
        </w:rPr>
        <w:lastRenderedPageBreak/>
        <w:t>disagreement on how important certain covariates may be in effect modification. While some studies find that humidity may modify the temperature and mortality relationship, [ref] others 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43CC08C9" w14:textId="1251D292" w:rsidR="00016E6B" w:rsidRDefault="00DD457C" w:rsidP="00E03E8F">
      <w:pPr>
        <w:ind w:firstLine="720"/>
      </w:pPr>
      <w:r>
        <w:rPr>
          <w:szCs w:val="24"/>
        </w:rPr>
        <w:t>The relationship between deviations of temperature from</w:t>
      </w:r>
    </w:p>
    <w:p w14:paraId="2D304690" w14:textId="69B785C4" w:rsidR="00016E6B" w:rsidRPr="00510397" w:rsidRDefault="00016E6B" w:rsidP="00510397">
      <w:pPr>
        <w:spacing w:after="0"/>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 xml:space="preserve">have been several methodologies developed to quantify the association.  [[[Case crossover, conditional Poisson models, more Ben Armstrong models, look at J Bennett’s Nature CC paper]]] Gasparrini and Armstrong have also produced research which questions the added effect of a heat wave in comparison to a series of individual elevated temperature days </w:t>
      </w:r>
      <w:r>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Pr>
          <w:szCs w:val="24"/>
        </w:rPr>
        <w:fldChar w:fldCharType="separate"/>
      </w:r>
      <w:r w:rsidRPr="00892E9A">
        <w:rPr>
          <w:noProof/>
          <w:szCs w:val="24"/>
        </w:rPr>
        <w:t>(A Gasparrini &amp; Armstrong, 2011)</w:t>
      </w:r>
      <w:r>
        <w:rPr>
          <w:szCs w:val="24"/>
        </w:rPr>
        <w:fldChar w:fldCharType="end"/>
      </w:r>
      <w:r>
        <w:rPr>
          <w:szCs w:val="24"/>
        </w:rPr>
        <w:t>.</w:t>
      </w:r>
    </w:p>
    <w:p w14:paraId="24663658" w14:textId="59F59EDD" w:rsidR="000B6A17" w:rsidRPr="0001662B" w:rsidRDefault="00BA5A74" w:rsidP="00F21E10">
      <w:pPr>
        <w:pStyle w:val="Heading2"/>
      </w:pPr>
      <w:bookmarkStart w:id="6" w:name="_Toc7079050"/>
      <w:bookmarkStart w:id="7" w:name="_Toc8293428"/>
      <w:r>
        <w:t xml:space="preserve">Modelling </w:t>
      </w:r>
      <w:r w:rsidR="00BB36BA">
        <w:t>methodology</w:t>
      </w:r>
      <w:bookmarkEnd w:id="6"/>
      <w:bookmarkEnd w:id="7"/>
    </w:p>
    <w:p w14:paraId="13F54120" w14:textId="526C6B89"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w:t>
      </w:r>
      <w:r w:rsidR="00ED021C" w:rsidRPr="00A60C11">
        <w:rPr>
          <w:color w:val="000000" w:themeColor="text1"/>
          <w:szCs w:val="24"/>
        </w:rPr>
        <w:lastRenderedPageBreak/>
        <w:t xml:space="preserve">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xml:space="preserve">, thought will need to go into how these are modelled, either as jointly or separately. The vulnerability of the groups to anomalous temperature throughout the year must </w:t>
      </w:r>
      <w:r w:rsidR="00AF2371" w:rsidRPr="00A2572A">
        <w:rPr>
          <w:color w:val="000000" w:themeColor="text1"/>
          <w:szCs w:val="24"/>
          <w:lang w:val="en-US"/>
        </w:rPr>
        <w:lastRenderedPageBreak/>
        <w:t>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11E97CD2" w14:textId="0CEB61E9"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w:t>
      </w:r>
      <w:r w:rsidR="000A0BD8">
        <w:rPr>
          <w:color w:val="000000" w:themeColor="text1"/>
          <w:szCs w:val="24"/>
          <w:lang w:val="en-US"/>
        </w:rPr>
        <w:t>g</w:t>
      </w:r>
      <w:r w:rsidR="00101AAE" w:rsidRPr="001E6D66">
        <w:rPr>
          <w:color w:val="000000" w:themeColor="text1"/>
          <w:szCs w:val="24"/>
          <w:lang w:val="en-US"/>
        </w:rPr>
        <w:t>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3FAD43C" w14:textId="77777777" w:rsidR="00A80221" w:rsidRDefault="00A80221" w:rsidP="00A80221">
      <w:pPr>
        <w:pStyle w:val="Heading2"/>
      </w:pPr>
      <w:bookmarkStart w:id="8" w:name="_Toc8293427"/>
      <w:r>
        <w:lastRenderedPageBreak/>
        <w:t>T</w:t>
      </w:r>
      <w:r w:rsidRPr="00306A2A">
        <w:t>emperature</w:t>
      </w:r>
      <w:r>
        <w:t xml:space="preserve"> and climate change</w:t>
      </w:r>
      <w:bookmarkEnd w:id="8"/>
      <w:r>
        <w:t xml:space="preserve"> </w:t>
      </w:r>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77777777" w:rsidR="00A80221" w:rsidRPr="002A08CC" w:rsidRDefault="00A80221" w:rsidP="00A80221">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09AA512B" w14:textId="77777777" w:rsidR="00A80221" w:rsidRPr="00A60C11" w:rsidRDefault="00A80221" w:rsidP="00A80221">
      <w:pPr>
        <w:ind w:firstLine="720"/>
        <w:rPr>
          <w:szCs w:val="24"/>
        </w:rPr>
      </w:pPr>
      <w:r w:rsidRPr="00A60C11">
        <w:rPr>
          <w:szCs w:val="24"/>
        </w:rPr>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definitions, for example, will define a heat wave by a set of days over an absolute threshold, 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5F8855B" w14:textId="77777777" w:rsidR="00A80221" w:rsidRPr="00A60C11" w:rsidRDefault="00A80221" w:rsidP="00A80221">
      <w:pPr>
        <w:rPr>
          <w:szCs w:val="24"/>
        </w:rPr>
      </w:pPr>
      <w:r>
        <w:rPr>
          <w:szCs w:val="24"/>
        </w:rPr>
        <w:lastRenderedPageBreak/>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6C195B9E" w14:textId="11441D22" w:rsidR="00A80221" w:rsidRDefault="004A7EFA" w:rsidP="00A80221">
      <w:bookmarkStart w:id="9" w:name="_Toc7079045"/>
      <w:r>
        <w:t>[[[</w:t>
      </w:r>
      <w:r w:rsidR="00A80221">
        <w:t>Temperature trends in the United States</w:t>
      </w:r>
      <w:bookmarkEnd w:id="9"/>
      <w:r>
        <w:t>]]]</w:t>
      </w:r>
    </w:p>
    <w:p w14:paraId="45FAC855" w14:textId="77777777" w:rsidR="00E76643" w:rsidRPr="00522FCC" w:rsidRDefault="00E76643" w:rsidP="00E76643">
      <w:pPr>
        <w:pStyle w:val="Heading2"/>
      </w:pPr>
      <w:bookmarkStart w:id="10" w:name="_Toc7079055"/>
      <w:bookmarkStart w:id="11" w:name="_Toc8293429"/>
      <w:r>
        <w:t>From research to action: The Global Heat Health Information Network</w:t>
      </w:r>
      <w:bookmarkEnd w:id="10"/>
      <w:bookmarkEnd w:id="11"/>
    </w:p>
    <w:p w14:paraId="40E4355A" w14:textId="77777777" w:rsidR="00E76643" w:rsidRPr="001E6D66" w:rsidRDefault="00E76643" w:rsidP="00E76643">
      <w:pPr>
        <w:rPr>
          <w:szCs w:val="24"/>
        </w:rPr>
      </w:pPr>
      <w:r>
        <w:rPr>
          <w:szCs w:val="24"/>
        </w:rPr>
        <w:tab/>
      </w:r>
      <w:r w:rsidRPr="001E6D66">
        <w:rPr>
          <w:szCs w:val="24"/>
        </w:rPr>
        <w:t xml:space="preserve">The scientific community have long recognised the importance of implementing the knowledge gained from their research into shaping policy. This is especially urgent in the context of climate change and the potential for heat to cause changes in health outcomes globally. Heat health is the state of a human’s health during periods of heat stress.   </w:t>
      </w:r>
    </w:p>
    <w:p w14:paraId="0DDF9AAF" w14:textId="77777777" w:rsidR="00E76643" w:rsidRPr="001E6D66" w:rsidRDefault="00E76643" w:rsidP="00E76643">
      <w:pPr>
        <w:rPr>
          <w:szCs w:val="24"/>
        </w:rPr>
      </w:pPr>
      <w:r w:rsidRPr="001E6D66">
        <w:rPr>
          <w:szCs w:val="24"/>
        </w:rPr>
        <w:tab/>
        <w:t>There are many good examples of building heat resilience, especially in the summer months. One excellent example is the Ahmedabad heat health action plan, active in Ahmedabad, India, where the measures invoked included [[[some special but easy techniques]]]</w:t>
      </w:r>
    </w:p>
    <w:p w14:paraId="563DEF02" w14:textId="77777777" w:rsidR="00E76643" w:rsidRDefault="00E76643" w:rsidP="00E76643">
      <w:pPr>
        <w:rPr>
          <w:szCs w:val="24"/>
        </w:rPr>
      </w:pPr>
      <w:r w:rsidRPr="001E6D66">
        <w:rPr>
          <w:szCs w:val="24"/>
        </w:rPr>
        <w:lastRenderedPageBreak/>
        <w:tab/>
        <w:t>In the summer of 2017, I spent three months interning at the World Meteorological Organization (WMO), working with Joy Shumake-Guillemot. There, I was a founding member of the Global Heat Health Information Network (GHHIN)</w:t>
      </w:r>
    </w:p>
    <w:p w14:paraId="0475408A" w14:textId="77777777" w:rsidR="00A80221" w:rsidRPr="001E6D66" w:rsidRDefault="00A80221" w:rsidP="56D10C38">
      <w:pPr>
        <w:rPr>
          <w:szCs w:val="24"/>
        </w:rPr>
      </w:pPr>
    </w:p>
    <w:p w14:paraId="342E0FA9" w14:textId="1E4C1521" w:rsidR="00C817A6" w:rsidRPr="001174F6" w:rsidRDefault="007C719B" w:rsidP="56D10C38">
      <w:pPr>
        <w:pStyle w:val="Heading2"/>
        <w:rPr>
          <w:szCs w:val="24"/>
        </w:rPr>
      </w:pPr>
      <w:bookmarkStart w:id="12" w:name="_Toc7079056"/>
      <w:bookmarkStart w:id="13" w:name="_Toc8293430"/>
      <w:r w:rsidRPr="56D10C38">
        <w:t>Summary</w:t>
      </w:r>
      <w:bookmarkEnd w:id="12"/>
      <w:bookmarkEnd w:id="13"/>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14" w:name="_Toc8293431"/>
      <w:r w:rsidR="00522FCC">
        <w:lastRenderedPageBreak/>
        <w:t>Works cited</w:t>
      </w:r>
      <w:bookmarkEnd w:id="14"/>
    </w:p>
    <w:p w14:paraId="611C9126" w14:textId="0473A041" w:rsidR="00F937AA" w:rsidRPr="00F937AA" w:rsidRDefault="00A55581" w:rsidP="00F937AA">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F937AA" w:rsidRPr="00F937AA">
        <w:rPr>
          <w:rFonts w:cs="Times New Roman"/>
          <w:noProof/>
          <w:lang w:val="en-US"/>
        </w:rPr>
        <w:t xml:space="preserve">Anderson, B. G., &amp; Bell, M. L. (2009). Weather-related mortality: how heat, cold, and heat waves affect mortality in the United States. </w:t>
      </w:r>
      <w:r w:rsidR="00F937AA" w:rsidRPr="00F937AA">
        <w:rPr>
          <w:rFonts w:cs="Times New Roman"/>
          <w:i/>
          <w:iCs/>
          <w:noProof/>
          <w:lang w:val="en-US"/>
        </w:rPr>
        <w:t>Epidemiology (Cambridge, Mass.)</w:t>
      </w:r>
      <w:r w:rsidR="00F937AA" w:rsidRPr="00F937AA">
        <w:rPr>
          <w:rFonts w:cs="Times New Roman"/>
          <w:noProof/>
          <w:lang w:val="en-US"/>
        </w:rPr>
        <w:t xml:space="preserve">, </w:t>
      </w:r>
      <w:r w:rsidR="00F937AA" w:rsidRPr="00F937AA">
        <w:rPr>
          <w:rFonts w:cs="Times New Roman"/>
          <w:i/>
          <w:iCs/>
          <w:noProof/>
          <w:lang w:val="en-US"/>
        </w:rPr>
        <w:t>20</w:t>
      </w:r>
      <w:r w:rsidR="00F937AA" w:rsidRPr="00F937AA">
        <w:rPr>
          <w:rFonts w:cs="Times New Roman"/>
          <w:noProof/>
          <w:lang w:val="en-US"/>
        </w:rPr>
        <w:t>(2), 205. https://doi.org/10.1097/EDE.0b013e318190ee08</w:t>
      </w:r>
    </w:p>
    <w:p w14:paraId="1FF93B6B"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Basu, R. (2009). High ambient temperature and mortality: A review of epidemiologic studies from 2001 to 2008. </w:t>
      </w:r>
      <w:r w:rsidRPr="00F937AA">
        <w:rPr>
          <w:rFonts w:cs="Times New Roman"/>
          <w:i/>
          <w:iCs/>
          <w:noProof/>
          <w:lang w:val="en-US"/>
        </w:rPr>
        <w:t>Environmental Health: A Global Access Science Source</w:t>
      </w:r>
      <w:r w:rsidRPr="00F937AA">
        <w:rPr>
          <w:rFonts w:cs="Times New Roman"/>
          <w:noProof/>
          <w:lang w:val="en-US"/>
        </w:rPr>
        <w:t xml:space="preserve">, </w:t>
      </w:r>
      <w:r w:rsidRPr="00F937AA">
        <w:rPr>
          <w:rFonts w:cs="Times New Roman"/>
          <w:i/>
          <w:iCs/>
          <w:noProof/>
          <w:lang w:val="en-US"/>
        </w:rPr>
        <w:t>8</w:t>
      </w:r>
      <w:r w:rsidRPr="00F937AA">
        <w:rPr>
          <w:rFonts w:cs="Times New Roman"/>
          <w:noProof/>
          <w:lang w:val="en-US"/>
        </w:rPr>
        <w:t>(1), 40. https://doi.org/10.1186/1476-069X-8-40</w:t>
      </w:r>
    </w:p>
    <w:p w14:paraId="37693ED4"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Bennett, J. E., Blangiardo, M., Fecht, D., Elliott, P., &amp; Ezzati, M. (2014). Vulnerability to the mortality effects of warm temperature in the districts of England and Wales. </w:t>
      </w:r>
      <w:r w:rsidRPr="00F937AA">
        <w:rPr>
          <w:rFonts w:cs="Times New Roman"/>
          <w:i/>
          <w:iCs/>
          <w:noProof/>
          <w:lang w:val="en-US"/>
        </w:rPr>
        <w:t>Nature Climate Change</w:t>
      </w:r>
      <w:r w:rsidRPr="00F937AA">
        <w:rPr>
          <w:rFonts w:cs="Times New Roman"/>
          <w:noProof/>
          <w:lang w:val="en-US"/>
        </w:rPr>
        <w:t xml:space="preserve">, </w:t>
      </w:r>
      <w:r w:rsidRPr="00F937AA">
        <w:rPr>
          <w:rFonts w:cs="Times New Roman"/>
          <w:i/>
          <w:iCs/>
          <w:noProof/>
          <w:lang w:val="en-US"/>
        </w:rPr>
        <w:t>4</w:t>
      </w:r>
      <w:r w:rsidRPr="00F937AA">
        <w:rPr>
          <w:rFonts w:cs="Times New Roman"/>
          <w:noProof/>
          <w:lang w:val="en-US"/>
        </w:rPr>
        <w:t>(4), 269–273. https://doi.org/10.1038/nclimate2123</w:t>
      </w:r>
    </w:p>
    <w:p w14:paraId="5B9C2561"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Borden, K. A., &amp; Cutter, S. L. (2008). Spatial patterns of natural hazards mortality in the United States. </w:t>
      </w:r>
      <w:r w:rsidRPr="00F937AA">
        <w:rPr>
          <w:rFonts w:cs="Times New Roman"/>
          <w:i/>
          <w:iCs/>
          <w:noProof/>
          <w:lang w:val="en-US"/>
        </w:rPr>
        <w:t>International Journal of Health Geographics</w:t>
      </w:r>
      <w:r w:rsidRPr="00F937AA">
        <w:rPr>
          <w:rFonts w:cs="Times New Roman"/>
          <w:noProof/>
          <w:lang w:val="en-US"/>
        </w:rPr>
        <w:t>. https://doi.org/10.1186/1476-072X-7-64</w:t>
      </w:r>
    </w:p>
    <w:p w14:paraId="1052D654"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Brooke Anderson, G., &amp; Bell, M. L. (2011). Heat waves in the United States: Mortality risk during heat waves and effect modification by heat wave characteristics in 43 U.S. communities. </w:t>
      </w:r>
      <w:r w:rsidRPr="00F937AA">
        <w:rPr>
          <w:rFonts w:cs="Times New Roman"/>
          <w:i/>
          <w:iCs/>
          <w:noProof/>
          <w:lang w:val="en-US"/>
        </w:rPr>
        <w:t>Environmental Health Perspectives</w:t>
      </w:r>
      <w:r w:rsidRPr="00F937AA">
        <w:rPr>
          <w:rFonts w:cs="Times New Roman"/>
          <w:noProof/>
          <w:lang w:val="en-US"/>
        </w:rPr>
        <w:t>. https://doi.org/10.1289/ehp.1002313</w:t>
      </w:r>
    </w:p>
    <w:p w14:paraId="54F5110F"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Brown, G., Fearn, V., &amp; Wells, C. (2010). Exploratory analysis of seasonal mortality in England and Wales, 1998 to 2007. </w:t>
      </w:r>
      <w:r w:rsidRPr="00F937AA">
        <w:rPr>
          <w:rFonts w:cs="Times New Roman"/>
          <w:i/>
          <w:iCs/>
          <w:noProof/>
          <w:lang w:val="en-US"/>
        </w:rPr>
        <w:t>Health Statistics Quarterly</w:t>
      </w:r>
      <w:r w:rsidRPr="00F937AA">
        <w:rPr>
          <w:rFonts w:cs="Times New Roman"/>
          <w:noProof/>
          <w:lang w:val="en-US"/>
        </w:rPr>
        <w:t>. https://doi.org/10.1057/hsq.2010.21</w:t>
      </w:r>
    </w:p>
    <w:p w14:paraId="589C3D4C"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Burke, M., González, F., Baylis, P., Heft-Neal, S., Baysan, C., Basu, S., &amp; Hsiang, S. (2018). Higher temperatures increase suicide rates in the United States and Mexico. </w:t>
      </w:r>
      <w:r w:rsidRPr="00F937AA">
        <w:rPr>
          <w:rFonts w:cs="Times New Roman"/>
          <w:i/>
          <w:iCs/>
          <w:noProof/>
          <w:lang w:val="en-US"/>
        </w:rPr>
        <w:t>Nature Climate Change</w:t>
      </w:r>
      <w:r w:rsidRPr="00F937AA">
        <w:rPr>
          <w:rFonts w:cs="Times New Roman"/>
          <w:noProof/>
          <w:lang w:val="en-US"/>
        </w:rPr>
        <w:t>. https://doi.org/10.1038/s41558-018-0222-x</w:t>
      </w:r>
    </w:p>
    <w:p w14:paraId="7CE86612"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Carmona, R., Díaz, J., Mirón, I. J., Ortiz, C., Luna, M. Y., &amp; Linares, C. (2016). Mortality attributable to extreme temperatures in Spain: A comparative analysis by city. </w:t>
      </w:r>
      <w:r w:rsidRPr="00F937AA">
        <w:rPr>
          <w:rFonts w:cs="Times New Roman"/>
          <w:i/>
          <w:iCs/>
          <w:noProof/>
          <w:lang w:val="en-US"/>
        </w:rPr>
        <w:t>Environment International</w:t>
      </w:r>
      <w:r w:rsidRPr="00F937AA">
        <w:rPr>
          <w:rFonts w:cs="Times New Roman"/>
          <w:noProof/>
          <w:lang w:val="en-US"/>
        </w:rPr>
        <w:t>. https://doi.org/10.1016/j.envint.2016.02.018</w:t>
      </w:r>
    </w:p>
    <w:p w14:paraId="7AA0BC18"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Dee, D. P., Uppala, S. M., Simmons, A. J., Berrisford, P., Poli, P., Kobayashi, S., … Vitart, F. (2011). The ERA-Interim reanalysis: configuration and performance of the data assimilation system. </w:t>
      </w:r>
      <w:r w:rsidRPr="00F937AA">
        <w:rPr>
          <w:rFonts w:cs="Times New Roman"/>
          <w:i/>
          <w:iCs/>
          <w:noProof/>
          <w:lang w:val="en-US"/>
        </w:rPr>
        <w:t>Quarterly Journal of the Royal Meteorological Society</w:t>
      </w:r>
      <w:r w:rsidRPr="00F937AA">
        <w:rPr>
          <w:rFonts w:cs="Times New Roman"/>
          <w:noProof/>
          <w:lang w:val="en-US"/>
        </w:rPr>
        <w:t xml:space="preserve">, </w:t>
      </w:r>
      <w:r w:rsidRPr="00F937AA">
        <w:rPr>
          <w:rFonts w:cs="Times New Roman"/>
          <w:i/>
          <w:iCs/>
          <w:noProof/>
          <w:lang w:val="en-US"/>
        </w:rPr>
        <w:t>137</w:t>
      </w:r>
      <w:r w:rsidRPr="00F937AA">
        <w:rPr>
          <w:rFonts w:cs="Times New Roman"/>
          <w:noProof/>
          <w:lang w:val="en-US"/>
        </w:rPr>
        <w:t>(656), 553–597. https://doi.org/10.1002/qj.828</w:t>
      </w:r>
    </w:p>
    <w:p w14:paraId="035CD2CB"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Department of Homeland Security. (2019). Extreme heat. Retrieved May 8, 2019, from https://www.ready.gov/heat</w:t>
      </w:r>
    </w:p>
    <w:p w14:paraId="1B0F62C8"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Feinstein, C. A. (2002). Seasonality of deaths in the US by age and cause. </w:t>
      </w:r>
      <w:r w:rsidRPr="00F937AA">
        <w:rPr>
          <w:rFonts w:cs="Times New Roman"/>
          <w:i/>
          <w:iCs/>
          <w:noProof/>
          <w:lang w:val="en-US"/>
        </w:rPr>
        <w:t>Demographic Research</w:t>
      </w:r>
      <w:r w:rsidRPr="00F937AA">
        <w:rPr>
          <w:rFonts w:cs="Times New Roman"/>
          <w:noProof/>
          <w:lang w:val="en-US"/>
        </w:rPr>
        <w:t xml:space="preserve">, </w:t>
      </w:r>
      <w:r w:rsidRPr="00F937AA">
        <w:rPr>
          <w:rFonts w:cs="Times New Roman"/>
          <w:i/>
          <w:iCs/>
          <w:noProof/>
          <w:lang w:val="en-US"/>
        </w:rPr>
        <w:t>6</w:t>
      </w:r>
      <w:r w:rsidRPr="00F937AA">
        <w:rPr>
          <w:rFonts w:cs="Times New Roman"/>
          <w:noProof/>
          <w:lang w:val="en-US"/>
        </w:rPr>
        <w:t>, 469–486. https://doi.org/10.4054/DemRes.2002.6.17</w:t>
      </w:r>
    </w:p>
    <w:p w14:paraId="384D4C80"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Garcia-Herrera, R., Díaz, J., Trigo, R. M., Luterbacher, J., &amp; Fischer, E. M. (2010). A review </w:t>
      </w:r>
      <w:r w:rsidRPr="00F937AA">
        <w:rPr>
          <w:rFonts w:cs="Times New Roman"/>
          <w:noProof/>
          <w:lang w:val="en-US"/>
        </w:rPr>
        <w:lastRenderedPageBreak/>
        <w:t xml:space="preserve">of the european summer heat wave of 2003. </w:t>
      </w:r>
      <w:r w:rsidRPr="00F937AA">
        <w:rPr>
          <w:rFonts w:cs="Times New Roman"/>
          <w:i/>
          <w:iCs/>
          <w:noProof/>
          <w:lang w:val="en-US"/>
        </w:rPr>
        <w:t>Critical Reviews in Environmental Science and Technology</w:t>
      </w:r>
      <w:r w:rsidRPr="00F937AA">
        <w:rPr>
          <w:rFonts w:cs="Times New Roman"/>
          <w:noProof/>
          <w:lang w:val="en-US"/>
        </w:rPr>
        <w:t>. https://doi.org/10.1080/10643380802238137</w:t>
      </w:r>
    </w:p>
    <w:p w14:paraId="087CAD09"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Gasparrini, A., &amp; Armstrong, B. (2011). The impact of heat waves on mortality. </w:t>
      </w:r>
      <w:r w:rsidRPr="00F937AA">
        <w:rPr>
          <w:rFonts w:cs="Times New Roman"/>
          <w:i/>
          <w:iCs/>
          <w:noProof/>
          <w:lang w:val="en-US"/>
        </w:rPr>
        <w:t>Epidemiol</w:t>
      </w:r>
      <w:r w:rsidRPr="00F937AA">
        <w:rPr>
          <w:rFonts w:cs="Times New Roman"/>
          <w:noProof/>
          <w:lang w:val="en-US"/>
        </w:rPr>
        <w:t>. https://doi.org/10.1097/EDE.0b013e3181fdcd99</w:t>
      </w:r>
    </w:p>
    <w:p w14:paraId="3206E047"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Gasparrini, A., Armstrong, B., Kovats, S., &amp; Wilkinson, P. (2012). The effect of high temperatures on cause-specific mortality in England and Wales. </w:t>
      </w:r>
      <w:r w:rsidRPr="00F937AA">
        <w:rPr>
          <w:rFonts w:cs="Times New Roman"/>
          <w:i/>
          <w:iCs/>
          <w:noProof/>
          <w:lang w:val="en-US"/>
        </w:rPr>
        <w:t>Occupational and Environmental Medicine</w:t>
      </w:r>
      <w:r w:rsidRPr="00F937AA">
        <w:rPr>
          <w:rFonts w:cs="Times New Roman"/>
          <w:noProof/>
          <w:lang w:val="en-US"/>
        </w:rPr>
        <w:t>. https://doi.org/10.1136/oem.2010.059782</w:t>
      </w:r>
    </w:p>
    <w:p w14:paraId="4CD6CB80"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F937AA">
        <w:rPr>
          <w:rFonts w:cs="Times New Roman"/>
          <w:i/>
          <w:iCs/>
          <w:noProof/>
          <w:lang w:val="en-US"/>
        </w:rPr>
        <w:t>The Lancet</w:t>
      </w:r>
      <w:r w:rsidRPr="00F937AA">
        <w:rPr>
          <w:rFonts w:cs="Times New Roman"/>
          <w:noProof/>
          <w:lang w:val="en-US"/>
        </w:rPr>
        <w:t xml:space="preserve">, </w:t>
      </w:r>
      <w:r w:rsidRPr="00F937AA">
        <w:rPr>
          <w:rFonts w:cs="Times New Roman"/>
          <w:i/>
          <w:iCs/>
          <w:noProof/>
          <w:lang w:val="en-US"/>
        </w:rPr>
        <w:t>386</w:t>
      </w:r>
      <w:r w:rsidRPr="00F937AA">
        <w:rPr>
          <w:rFonts w:cs="Times New Roman"/>
          <w:noProof/>
          <w:lang w:val="en-US"/>
        </w:rPr>
        <w:t>(9991), 369–375. https://doi.org/10.1016/S0140-6736(14)62114-0</w:t>
      </w:r>
    </w:p>
    <w:p w14:paraId="6749C0D1"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Gemmell, I., McLoone, P., Boddy, F. A., Dickinson, G. J., &amp; Watt, G. C. M. (2000). Seasonal variation in mortality in Scotland. </w:t>
      </w:r>
      <w:r w:rsidRPr="00F937AA">
        <w:rPr>
          <w:rFonts w:cs="Times New Roman"/>
          <w:i/>
          <w:iCs/>
          <w:noProof/>
          <w:lang w:val="en-US"/>
        </w:rPr>
        <w:t>International Journal of Epidemiology</w:t>
      </w:r>
      <w:r w:rsidRPr="00F937AA">
        <w:rPr>
          <w:rFonts w:cs="Times New Roman"/>
          <w:noProof/>
          <w:lang w:val="en-US"/>
        </w:rPr>
        <w:t>. https://doi.org/10.1093/ije/29.2.274</w:t>
      </w:r>
    </w:p>
    <w:p w14:paraId="13771188"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Great Britain. (1876). Weekly return of births and deaths in London and in other great towns. </w:t>
      </w:r>
      <w:r w:rsidRPr="00F937AA">
        <w:rPr>
          <w:rFonts w:cs="Times New Roman"/>
          <w:i/>
          <w:iCs/>
          <w:noProof/>
          <w:lang w:val="en-US"/>
        </w:rPr>
        <w:t>General Register Office</w:t>
      </w:r>
      <w:r w:rsidRPr="00F937AA">
        <w:rPr>
          <w:rFonts w:cs="Times New Roman"/>
          <w:noProof/>
          <w:lang w:val="en-US"/>
        </w:rPr>
        <w:t>.</w:t>
      </w:r>
    </w:p>
    <w:p w14:paraId="59E84EB2"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F937AA">
        <w:rPr>
          <w:rFonts w:cs="Times New Roman"/>
          <w:i/>
          <w:iCs/>
          <w:noProof/>
          <w:lang w:val="en-US"/>
        </w:rPr>
        <w:t>The European Journal of Public Health</w:t>
      </w:r>
      <w:r w:rsidRPr="00F937AA">
        <w:rPr>
          <w:rFonts w:cs="Times New Roman"/>
          <w:noProof/>
          <w:lang w:val="en-US"/>
        </w:rPr>
        <w:t>. https://doi.org/10.1093/eurpub/4.1.3</w:t>
      </w:r>
    </w:p>
    <w:p w14:paraId="401FD6A9"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Grenfell, B. T., Bjørnstad, O. N., &amp; Kappey, J. (2001). Travelling waves and spatial hierarchies in measles epidemics. </w:t>
      </w:r>
      <w:r w:rsidRPr="00F937AA">
        <w:rPr>
          <w:rFonts w:cs="Times New Roman"/>
          <w:i/>
          <w:iCs/>
          <w:noProof/>
          <w:lang w:val="en-US"/>
        </w:rPr>
        <w:t>Nature</w:t>
      </w:r>
      <w:r w:rsidRPr="00F937AA">
        <w:rPr>
          <w:rFonts w:cs="Times New Roman"/>
          <w:noProof/>
          <w:lang w:val="en-US"/>
        </w:rPr>
        <w:t xml:space="preserve">, </w:t>
      </w:r>
      <w:r w:rsidRPr="00F937AA">
        <w:rPr>
          <w:rFonts w:cs="Times New Roman"/>
          <w:i/>
          <w:iCs/>
          <w:noProof/>
          <w:lang w:val="en-US"/>
        </w:rPr>
        <w:t>414</w:t>
      </w:r>
      <w:r w:rsidRPr="00F937AA">
        <w:rPr>
          <w:rFonts w:cs="Times New Roman"/>
          <w:noProof/>
          <w:lang w:val="en-US"/>
        </w:rPr>
        <w:t>(6865), 716–723. https://doi.org/10.1038/414716a</w:t>
      </w:r>
    </w:p>
    <w:p w14:paraId="207ADCA0"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F937AA">
        <w:rPr>
          <w:rFonts w:cs="Times New Roman"/>
          <w:i/>
          <w:iCs/>
          <w:noProof/>
          <w:lang w:val="en-US"/>
        </w:rPr>
        <w:t>Journal of the Statistical Society of London</w:t>
      </w:r>
      <w:r w:rsidRPr="00F937AA">
        <w:rPr>
          <w:rFonts w:cs="Times New Roman"/>
          <w:noProof/>
          <w:lang w:val="en-US"/>
        </w:rPr>
        <w:t>. https://doi.org/10.2307/2338211</w:t>
      </w:r>
    </w:p>
    <w:p w14:paraId="246EA7B0"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Guy, W. A. (1881). On temperature and its relation to mortality: An illustration of the application of the numerical method to the discovery of truth. </w:t>
      </w:r>
      <w:r w:rsidRPr="00F937AA">
        <w:rPr>
          <w:rFonts w:cs="Times New Roman"/>
          <w:i/>
          <w:iCs/>
          <w:noProof/>
          <w:lang w:val="en-US"/>
        </w:rPr>
        <w:t>Journal of the Statistical Society of London</w:t>
      </w:r>
      <w:r w:rsidRPr="00F937AA">
        <w:rPr>
          <w:rFonts w:cs="Times New Roman"/>
          <w:noProof/>
          <w:lang w:val="en-US"/>
        </w:rPr>
        <w:t>. https://doi.org/10.2307/2339225</w:t>
      </w:r>
    </w:p>
    <w:p w14:paraId="4423E24E"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Hajat, S., &amp; Gasparrini, A. (2016). The excess winter deaths measure: Why its use is misleading for public health understanding of cold-related health impacts. </w:t>
      </w:r>
      <w:r w:rsidRPr="00F937AA">
        <w:rPr>
          <w:rFonts w:cs="Times New Roman"/>
          <w:i/>
          <w:iCs/>
          <w:noProof/>
          <w:lang w:val="en-US"/>
        </w:rPr>
        <w:t>Epidemiology</w:t>
      </w:r>
      <w:r w:rsidRPr="00F937AA">
        <w:rPr>
          <w:rFonts w:cs="Times New Roman"/>
          <w:noProof/>
          <w:lang w:val="en-US"/>
        </w:rPr>
        <w:t>. https://doi.org/10.1097/EDE.0000000000000479</w:t>
      </w:r>
    </w:p>
    <w:p w14:paraId="2FAD9C3C"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Hajat, S., Kovats, R. S., &amp; Lachowycz, K. (2007). Heat-related and cold-related deaths in England and Wales: Who is at risk? </w:t>
      </w:r>
      <w:r w:rsidRPr="00F937AA">
        <w:rPr>
          <w:rFonts w:cs="Times New Roman"/>
          <w:i/>
          <w:iCs/>
          <w:noProof/>
          <w:lang w:val="en-US"/>
        </w:rPr>
        <w:t>Occupational and Environmental Medicine</w:t>
      </w:r>
      <w:r w:rsidRPr="00F937AA">
        <w:rPr>
          <w:rFonts w:cs="Times New Roman"/>
          <w:noProof/>
          <w:lang w:val="en-US"/>
        </w:rPr>
        <w:t>. https://doi.org/10.1136/oem.2006.029017</w:t>
      </w:r>
    </w:p>
    <w:p w14:paraId="324F71BB"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lastRenderedPageBreak/>
        <w:t xml:space="preserve">Healy, J. D. (2003). Excess winter mortality in Europe: A cross country analysis identifying key risk factors. </w:t>
      </w:r>
      <w:r w:rsidRPr="00F937AA">
        <w:rPr>
          <w:rFonts w:cs="Times New Roman"/>
          <w:i/>
          <w:iCs/>
          <w:noProof/>
          <w:lang w:val="en-US"/>
        </w:rPr>
        <w:t>Journal of Epidemiology and Community Health</w:t>
      </w:r>
      <w:r w:rsidRPr="00F937AA">
        <w:rPr>
          <w:rFonts w:cs="Times New Roman"/>
          <w:noProof/>
          <w:lang w:val="en-US"/>
        </w:rPr>
        <w:t xml:space="preserve">, </w:t>
      </w:r>
      <w:r w:rsidRPr="00F937AA">
        <w:rPr>
          <w:rFonts w:cs="Times New Roman"/>
          <w:i/>
          <w:iCs/>
          <w:noProof/>
          <w:lang w:val="en-US"/>
        </w:rPr>
        <w:t>57</w:t>
      </w:r>
      <w:r w:rsidRPr="00F937AA">
        <w:rPr>
          <w:rFonts w:cs="Times New Roman"/>
          <w:noProof/>
          <w:lang w:val="en-US"/>
        </w:rPr>
        <w:t>(10), 784–789. https://doi.org/10.1136/jech.57.10.784</w:t>
      </w:r>
    </w:p>
    <w:p w14:paraId="2CCAD4CC"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IPCC. (2014a). </w:t>
      </w:r>
      <w:r w:rsidRPr="00F937AA">
        <w:rPr>
          <w:rFonts w:cs="Times New Roman"/>
          <w:i/>
          <w:iCs/>
          <w:noProof/>
          <w:lang w:val="en-US"/>
        </w:rPr>
        <w:t>Climate Change 2014 – Impacts, Adaptation and Vulnerability: Part B: Regional Aspects: Working Group II Contribution to the IPCC Fifth Assessment Report.</w:t>
      </w:r>
      <w:r w:rsidRPr="00F937AA">
        <w:rPr>
          <w:rFonts w:cs="Times New Roman"/>
          <w:noProof/>
          <w:lang w:val="en-US"/>
        </w:rPr>
        <w:t xml:space="preserve"> Cambridge University Press. https://doi.org/doi:10.1017/CBO9781107415386</w:t>
      </w:r>
    </w:p>
    <w:p w14:paraId="7C5262FC"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IPCC. (2014b). </w:t>
      </w:r>
      <w:r w:rsidRPr="00F937AA">
        <w:rPr>
          <w:rFonts w:cs="Times New Roman"/>
          <w:i/>
          <w:iCs/>
          <w:noProof/>
          <w:lang w:val="en-US"/>
        </w:rPr>
        <w:t>Climate Change 2014 Synthesis Report</w:t>
      </w:r>
      <w:r w:rsidRPr="00F937AA">
        <w:rPr>
          <w:rFonts w:cs="Times New Roman"/>
          <w:noProof/>
          <w:lang w:val="en-US"/>
        </w:rPr>
        <w:t xml:space="preserve">. </w:t>
      </w:r>
      <w:r w:rsidRPr="00F937AA">
        <w:rPr>
          <w:rFonts w:cs="Times New Roman"/>
          <w:i/>
          <w:iCs/>
          <w:noProof/>
          <w:lang w:val="en-US"/>
        </w:rPr>
        <w:t>IPCC Fifth Assessment Report</w:t>
      </w:r>
      <w:r w:rsidRPr="00F937AA">
        <w:rPr>
          <w:rFonts w:cs="Times New Roman"/>
          <w:noProof/>
          <w:lang w:val="en-US"/>
        </w:rPr>
        <w:t>.</w:t>
      </w:r>
    </w:p>
    <w:p w14:paraId="7FAC4552"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Kaiser, R., Le Tertre, A., Schwartz, J., Gotway, C. A., Daley, W. R., &amp; Rubin, C. H. (2007). The effect of the 1995 heat wave in Chicago on all-cause and cause-specific mortality. </w:t>
      </w:r>
      <w:r w:rsidRPr="00F937AA">
        <w:rPr>
          <w:rFonts w:cs="Times New Roman"/>
          <w:i/>
          <w:iCs/>
          <w:noProof/>
          <w:lang w:val="en-US"/>
        </w:rPr>
        <w:t>American Journal of Public Health</w:t>
      </w:r>
      <w:r w:rsidRPr="00F937AA">
        <w:rPr>
          <w:rFonts w:cs="Times New Roman"/>
          <w:noProof/>
          <w:lang w:val="en-US"/>
        </w:rPr>
        <w:t>. https://doi.org/10.2105/AJPH.2006.100081</w:t>
      </w:r>
    </w:p>
    <w:p w14:paraId="0EEC4AA9"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Kalkstein, A. J. (2013). Regional Similarities in Seasonal Mortality across the United States: An Examination of 28 Metropolitan Statistical Areas. </w:t>
      </w:r>
      <w:r w:rsidRPr="00F937AA">
        <w:rPr>
          <w:rFonts w:cs="Times New Roman"/>
          <w:i/>
          <w:iCs/>
          <w:noProof/>
          <w:lang w:val="en-US"/>
        </w:rPr>
        <w:t>PLoS ONE</w:t>
      </w:r>
      <w:r w:rsidRPr="00F937AA">
        <w:rPr>
          <w:rFonts w:cs="Times New Roman"/>
          <w:noProof/>
          <w:lang w:val="en-US"/>
        </w:rPr>
        <w:t xml:space="preserve">, </w:t>
      </w:r>
      <w:r w:rsidRPr="00F937AA">
        <w:rPr>
          <w:rFonts w:cs="Times New Roman"/>
          <w:i/>
          <w:iCs/>
          <w:noProof/>
          <w:lang w:val="en-US"/>
        </w:rPr>
        <w:t>8</w:t>
      </w:r>
      <w:r w:rsidRPr="00F937AA">
        <w:rPr>
          <w:rFonts w:cs="Times New Roman"/>
          <w:noProof/>
          <w:lang w:val="en-US"/>
        </w:rPr>
        <w:t>(5). https://doi.org/10.1371/journal.pone.0063971</w:t>
      </w:r>
    </w:p>
    <w:p w14:paraId="19F8F037"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Kilbourne, E. M. (1997). Heat Waves and Hot Environments. </w:t>
      </w:r>
      <w:r w:rsidRPr="00F937AA">
        <w:rPr>
          <w:rFonts w:cs="Times New Roman"/>
          <w:i/>
          <w:iCs/>
          <w:noProof/>
          <w:lang w:val="en-US"/>
        </w:rPr>
        <w:t>The Public Health Consequence of Disasters</w:t>
      </w:r>
      <w:r w:rsidRPr="00F937AA">
        <w:rPr>
          <w:rFonts w:cs="Times New Roman"/>
          <w:noProof/>
          <w:lang w:val="en-US"/>
        </w:rPr>
        <w:t>.</w:t>
      </w:r>
    </w:p>
    <w:p w14:paraId="7E243802"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Kinney, P. L., Schwartz, J., Pascal, M., Petkova, E., Tertre, A. Le, Medina, S., &amp; Vautard, R. (2015). Winter season mortality: Will climate warming bring benefits? </w:t>
      </w:r>
      <w:r w:rsidRPr="00F937AA">
        <w:rPr>
          <w:rFonts w:cs="Times New Roman"/>
          <w:i/>
          <w:iCs/>
          <w:noProof/>
          <w:lang w:val="en-US"/>
        </w:rPr>
        <w:t>Environmental Research Letters</w:t>
      </w:r>
      <w:r w:rsidRPr="00F937AA">
        <w:rPr>
          <w:rFonts w:cs="Times New Roman"/>
          <w:noProof/>
          <w:lang w:val="en-US"/>
        </w:rPr>
        <w:t xml:space="preserve">, </w:t>
      </w:r>
      <w:r w:rsidRPr="00F937AA">
        <w:rPr>
          <w:rFonts w:cs="Times New Roman"/>
          <w:i/>
          <w:iCs/>
          <w:noProof/>
          <w:lang w:val="en-US"/>
        </w:rPr>
        <w:t>10</w:t>
      </w:r>
      <w:r w:rsidRPr="00F937AA">
        <w:rPr>
          <w:rFonts w:cs="Times New Roman"/>
          <w:noProof/>
          <w:lang w:val="en-US"/>
        </w:rPr>
        <w:t>(6). https://doi.org/10.1088/1748-9326/10/6/064016</w:t>
      </w:r>
    </w:p>
    <w:p w14:paraId="4E859040"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Kovats, R. S., &amp; Hajat, S. (2008). Heat Stress and Public Health: A Critical Review. </w:t>
      </w:r>
      <w:r w:rsidRPr="00F937AA">
        <w:rPr>
          <w:rFonts w:cs="Times New Roman"/>
          <w:i/>
          <w:iCs/>
          <w:noProof/>
          <w:lang w:val="en-US"/>
        </w:rPr>
        <w:t>Annual Review of Public Health</w:t>
      </w:r>
      <w:r w:rsidRPr="00F937AA">
        <w:rPr>
          <w:rFonts w:cs="Times New Roman"/>
          <w:noProof/>
          <w:lang w:val="en-US"/>
        </w:rPr>
        <w:t>. https://doi.org/10.1146/annurev.publhealth.29.020907.090843</w:t>
      </w:r>
    </w:p>
    <w:p w14:paraId="74FBB3E6"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Laake, K., &amp; Sverre, J. M. (1996). Winter excess mortality: A comparison between Norway and England plus Wales. </w:t>
      </w:r>
      <w:r w:rsidRPr="00F937AA">
        <w:rPr>
          <w:rFonts w:cs="Times New Roman"/>
          <w:i/>
          <w:iCs/>
          <w:noProof/>
          <w:lang w:val="en-US"/>
        </w:rPr>
        <w:t>Age and Ageing</w:t>
      </w:r>
      <w:r w:rsidRPr="00F937AA">
        <w:rPr>
          <w:rFonts w:cs="Times New Roman"/>
          <w:noProof/>
          <w:lang w:val="en-US"/>
        </w:rPr>
        <w:t>. https://doi.org/10.1093/ageing/25.5.343</w:t>
      </w:r>
    </w:p>
    <w:p w14:paraId="773177C9"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Le Tertre, A., Lefranc, A. A., Eilstein, D., Declercq, C., Medina, S., Blanchard, M., … Ledrans, M. (2006). Impact of the 2003 Heatwave on All-Cause Mortality in 9 French Cities. </w:t>
      </w:r>
      <w:r w:rsidRPr="00F937AA">
        <w:rPr>
          <w:rFonts w:cs="Times New Roman"/>
          <w:i/>
          <w:iCs/>
          <w:noProof/>
          <w:lang w:val="en-US"/>
        </w:rPr>
        <w:t>Epidemiology</w:t>
      </w:r>
      <w:r w:rsidRPr="00F937AA">
        <w:rPr>
          <w:rFonts w:cs="Times New Roman"/>
          <w:noProof/>
          <w:lang w:val="en-US"/>
        </w:rPr>
        <w:t xml:space="preserve">, </w:t>
      </w:r>
      <w:r w:rsidRPr="00F937AA">
        <w:rPr>
          <w:rFonts w:cs="Times New Roman"/>
          <w:i/>
          <w:iCs/>
          <w:noProof/>
          <w:lang w:val="en-US"/>
        </w:rPr>
        <w:t>17</w:t>
      </w:r>
      <w:r w:rsidRPr="00F937AA">
        <w:rPr>
          <w:rFonts w:cs="Times New Roman"/>
          <w:noProof/>
          <w:lang w:val="en-US"/>
        </w:rPr>
        <w:t>(1), 75–79. https://doi.org/10.1097/01.ede.0000187650.36636.1f</w:t>
      </w:r>
    </w:p>
    <w:p w14:paraId="3FCD5653"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F937AA">
        <w:rPr>
          <w:rFonts w:cs="Times New Roman"/>
          <w:i/>
          <w:iCs/>
          <w:noProof/>
          <w:lang w:val="en-US"/>
        </w:rPr>
        <w:t>Scientific Reports</w:t>
      </w:r>
      <w:r w:rsidRPr="00F937AA">
        <w:rPr>
          <w:rFonts w:cs="Times New Roman"/>
          <w:noProof/>
          <w:lang w:val="en-US"/>
        </w:rPr>
        <w:t>. https://doi.org/10.1038/srep28161</w:t>
      </w:r>
    </w:p>
    <w:p w14:paraId="4375952E"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Lowe, R., Ballester, J., Creswick, J., Robine, J. M., Herrmann, F. R., &amp; Rodó, X. (2015). Evaluating the performance of a climate-driven mortality model during heat waves and cold spells in Europe. </w:t>
      </w:r>
      <w:r w:rsidRPr="00F937AA">
        <w:rPr>
          <w:rFonts w:cs="Times New Roman"/>
          <w:i/>
          <w:iCs/>
          <w:noProof/>
          <w:lang w:val="en-US"/>
        </w:rPr>
        <w:t>International Journal of Environmental Research and Public Health</w:t>
      </w:r>
      <w:r w:rsidRPr="00F937AA">
        <w:rPr>
          <w:rFonts w:cs="Times New Roman"/>
          <w:noProof/>
          <w:lang w:val="en-US"/>
        </w:rPr>
        <w:t>. https://doi.org/10.3390/ijerph120201279</w:t>
      </w:r>
    </w:p>
    <w:p w14:paraId="10E8D630"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Luterbacher, J., Dietrich, D., Xoplaki, E., Grosjean, M., &amp; Wanner, H. (2004). European </w:t>
      </w:r>
      <w:r w:rsidRPr="00F937AA">
        <w:rPr>
          <w:rFonts w:cs="Times New Roman"/>
          <w:noProof/>
          <w:lang w:val="en-US"/>
        </w:rPr>
        <w:lastRenderedPageBreak/>
        <w:t xml:space="preserve">Seasonal and Annual Temperature Variability, Trends, and Extremes since 1500. </w:t>
      </w:r>
      <w:r w:rsidRPr="00F937AA">
        <w:rPr>
          <w:rFonts w:cs="Times New Roman"/>
          <w:i/>
          <w:iCs/>
          <w:noProof/>
          <w:lang w:val="en-US"/>
        </w:rPr>
        <w:t>Science</w:t>
      </w:r>
      <w:r w:rsidRPr="00F937AA">
        <w:rPr>
          <w:rFonts w:cs="Times New Roman"/>
          <w:noProof/>
          <w:lang w:val="en-US"/>
        </w:rPr>
        <w:t>. https://doi.org/10.1126/science.1093877</w:t>
      </w:r>
    </w:p>
    <w:p w14:paraId="4F6DA60F"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Ma, J., Ward, E. M., Siegel, R. L., &amp; Jemal, A. (2015). Temporal trends in mortality in the United States, 1969-2013. </w:t>
      </w:r>
      <w:r w:rsidRPr="00F937AA">
        <w:rPr>
          <w:rFonts w:cs="Times New Roman"/>
          <w:i/>
          <w:iCs/>
          <w:noProof/>
          <w:lang w:val="en-US"/>
        </w:rPr>
        <w:t>JAMA - Journal of the American Medical Association</w:t>
      </w:r>
      <w:r w:rsidRPr="00F937AA">
        <w:rPr>
          <w:rFonts w:cs="Times New Roman"/>
          <w:noProof/>
          <w:lang w:val="en-US"/>
        </w:rPr>
        <w:t>. https://doi.org/10.1001/jama.2015.12319</w:t>
      </w:r>
    </w:p>
    <w:p w14:paraId="3C887740"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Mackenbach, J. P., Kunst, A. E., &amp; Looman, C. W. N. (1992). Seasonal variation in mortality in The Netherlands. </w:t>
      </w:r>
      <w:r w:rsidRPr="00F937AA">
        <w:rPr>
          <w:rFonts w:cs="Times New Roman"/>
          <w:i/>
          <w:iCs/>
          <w:noProof/>
          <w:lang w:val="en-US"/>
        </w:rPr>
        <w:t>Journal of Epidemiology and Community Health</w:t>
      </w:r>
      <w:r w:rsidRPr="00F937AA">
        <w:rPr>
          <w:rFonts w:cs="Times New Roman"/>
          <w:noProof/>
          <w:lang w:val="en-US"/>
        </w:rPr>
        <w:t xml:space="preserve">, </w:t>
      </w:r>
      <w:r w:rsidRPr="00F937AA">
        <w:rPr>
          <w:rFonts w:cs="Times New Roman"/>
          <w:i/>
          <w:iCs/>
          <w:noProof/>
          <w:lang w:val="en-US"/>
        </w:rPr>
        <w:t>46</w:t>
      </w:r>
      <w:r w:rsidRPr="00F937AA">
        <w:rPr>
          <w:rFonts w:cs="Times New Roman"/>
          <w:noProof/>
          <w:lang w:val="en-US"/>
        </w:rPr>
        <w:t>(3), 261–265. https://doi.org/10.1136/jech.46.3.261</w:t>
      </w:r>
    </w:p>
    <w:p w14:paraId="5A539802"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F937AA">
        <w:rPr>
          <w:rFonts w:cs="Times New Roman"/>
          <w:i/>
          <w:iCs/>
          <w:noProof/>
          <w:lang w:val="en-US"/>
        </w:rPr>
        <w:t>PLoS ONE</w:t>
      </w:r>
      <w:r w:rsidRPr="00F937AA">
        <w:rPr>
          <w:rFonts w:cs="Times New Roman"/>
          <w:noProof/>
          <w:lang w:val="en-US"/>
        </w:rPr>
        <w:t>. https://doi.org/10.1371/journal.pone.0113500</w:t>
      </w:r>
    </w:p>
    <w:p w14:paraId="53FB62B0"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Miller, G. (1962). “Airs, waters, and places” in history. </w:t>
      </w:r>
      <w:r w:rsidRPr="00F937AA">
        <w:rPr>
          <w:rFonts w:cs="Times New Roman"/>
          <w:i/>
          <w:iCs/>
          <w:noProof/>
          <w:lang w:val="en-US"/>
        </w:rPr>
        <w:t>Journal of the History of Medicine and Allied Sciences</w:t>
      </w:r>
      <w:r w:rsidRPr="00F937AA">
        <w:rPr>
          <w:rFonts w:cs="Times New Roman"/>
          <w:noProof/>
          <w:lang w:val="en-US"/>
        </w:rPr>
        <w:t>. https://doi.org/10.1093/jhmas/XVII.1.129</w:t>
      </w:r>
    </w:p>
    <w:p w14:paraId="6E05CB3B"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Moy, C. M., Seltzer, G. O., Rodbell, D. T., &amp; Anderson, D. M. (2002). Variability of El Niño/Southern Oscillation activity at millennial timescales during the Holocene epoch. </w:t>
      </w:r>
      <w:r w:rsidRPr="00F937AA">
        <w:rPr>
          <w:rFonts w:cs="Times New Roman"/>
          <w:i/>
          <w:iCs/>
          <w:noProof/>
          <w:lang w:val="en-US"/>
        </w:rPr>
        <w:t>Nature</w:t>
      </w:r>
      <w:r w:rsidRPr="00F937AA">
        <w:rPr>
          <w:rFonts w:cs="Times New Roman"/>
          <w:noProof/>
          <w:lang w:val="en-US"/>
        </w:rPr>
        <w:t xml:space="preserve">, </w:t>
      </w:r>
      <w:r w:rsidRPr="00F937AA">
        <w:rPr>
          <w:rFonts w:cs="Times New Roman"/>
          <w:i/>
          <w:iCs/>
          <w:noProof/>
          <w:lang w:val="en-US"/>
        </w:rPr>
        <w:t>420</w:t>
      </w:r>
      <w:r w:rsidRPr="00F937AA">
        <w:rPr>
          <w:rFonts w:cs="Times New Roman"/>
          <w:noProof/>
          <w:lang w:val="en-US"/>
        </w:rPr>
        <w:t>(6912), 162–165. https://doi.org/10.1038/nature01194</w:t>
      </w:r>
    </w:p>
    <w:p w14:paraId="6F5299B5"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F937AA">
        <w:rPr>
          <w:rFonts w:cs="Times New Roman"/>
          <w:i/>
          <w:iCs/>
          <w:noProof/>
          <w:lang w:val="en-US"/>
        </w:rPr>
        <w:t>PLoS Medicine</w:t>
      </w:r>
      <w:r w:rsidRPr="00F937AA">
        <w:rPr>
          <w:rFonts w:cs="Times New Roman"/>
          <w:noProof/>
          <w:lang w:val="en-US"/>
        </w:rPr>
        <w:t>. https://doi.org/10.1371/journal.pmed.0030260</w:t>
      </w:r>
    </w:p>
    <w:p w14:paraId="4EDF9795"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Nakaji, S., Parodi, S., Fontana, V., Umeda, T., Suzuki, K., Sakamoto, J., … Sugawara, K. (2004). Seasonal changes in mortality rates from main causes of death in Japan. </w:t>
      </w:r>
      <w:r w:rsidRPr="00F937AA">
        <w:rPr>
          <w:rFonts w:cs="Times New Roman"/>
          <w:i/>
          <w:iCs/>
          <w:noProof/>
          <w:lang w:val="en-US"/>
        </w:rPr>
        <w:t>European Journal of Epidemiology</w:t>
      </w:r>
      <w:r w:rsidRPr="00F937AA">
        <w:rPr>
          <w:rFonts w:cs="Times New Roman"/>
          <w:noProof/>
          <w:lang w:val="en-US"/>
        </w:rPr>
        <w:t>. https://doi.org/10.1007/s10654-004-4695-8</w:t>
      </w:r>
    </w:p>
    <w:p w14:paraId="72C71F72"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Newell, G. R., &amp; Waggoner, D. E. (1970). Cancer mortality and environmental temperature in the United States. </w:t>
      </w:r>
      <w:r w:rsidRPr="00F937AA">
        <w:rPr>
          <w:rFonts w:cs="Times New Roman"/>
          <w:i/>
          <w:iCs/>
          <w:noProof/>
          <w:lang w:val="en-US"/>
        </w:rPr>
        <w:t>The Lancet</w:t>
      </w:r>
      <w:r w:rsidRPr="00F937AA">
        <w:rPr>
          <w:rFonts w:cs="Times New Roman"/>
          <w:noProof/>
          <w:lang w:val="en-US"/>
        </w:rPr>
        <w:t>. https://doi.org/10.1016/S0140-6736(70)90988-8</w:t>
      </w:r>
    </w:p>
    <w:p w14:paraId="5C0E3CF7"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NOAA. (2014). NOAA Weather Stations. Retrieved January 8, 2019, from https://www.arcgis.com/home/webmap/viewer.html?webmap=fa40207019de41bc9a37ea1f5235ae0c</w:t>
      </w:r>
    </w:p>
    <w:p w14:paraId="2945C6F1"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74EDE503"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Pfister, C., Brázdil, R., Glaser, R., Barriendos, M., Camuffo, D., Deutsch, M., … Rodrigo, F. S. (1999). Documentary evidence on climate in sixteenth-century Europe. </w:t>
      </w:r>
      <w:r w:rsidRPr="00F937AA">
        <w:rPr>
          <w:rFonts w:cs="Times New Roman"/>
          <w:i/>
          <w:iCs/>
          <w:noProof/>
          <w:lang w:val="en-US"/>
        </w:rPr>
        <w:t>Climatic Change</w:t>
      </w:r>
      <w:r w:rsidRPr="00F937AA">
        <w:rPr>
          <w:rFonts w:cs="Times New Roman"/>
          <w:noProof/>
          <w:lang w:val="en-US"/>
        </w:rPr>
        <w:t>. https://doi.org/10.1023/A:1005540707792</w:t>
      </w:r>
    </w:p>
    <w:p w14:paraId="65779FA5"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lastRenderedPageBreak/>
        <w:t xml:space="preserve">Rau, R. (2004). Seasonality in human mortality. A demographic approach. </w:t>
      </w:r>
      <w:r w:rsidRPr="00F937AA">
        <w:rPr>
          <w:rFonts w:cs="Times New Roman"/>
          <w:i/>
          <w:iCs/>
          <w:noProof/>
          <w:lang w:val="en-US"/>
        </w:rPr>
        <w:t>Wirtschafts- Und Sozialwissenschaftlichen Fakultät</w:t>
      </w:r>
      <w:r w:rsidRPr="00F937AA">
        <w:rPr>
          <w:rFonts w:cs="Times New Roman"/>
          <w:noProof/>
          <w:lang w:val="en-US"/>
        </w:rPr>
        <w:t xml:space="preserve">, </w:t>
      </w:r>
      <w:r w:rsidRPr="00F937AA">
        <w:rPr>
          <w:rFonts w:cs="Times New Roman"/>
          <w:i/>
          <w:iCs/>
          <w:noProof/>
          <w:lang w:val="en-US"/>
        </w:rPr>
        <w:t>PhD</w:t>
      </w:r>
      <w:r w:rsidRPr="00F937AA">
        <w:rPr>
          <w:rFonts w:cs="Times New Roman"/>
          <w:noProof/>
          <w:lang w:val="en-US"/>
        </w:rPr>
        <w:t>, 361. https://doi.org/10.1007/978-3-540-44902-7</w:t>
      </w:r>
    </w:p>
    <w:p w14:paraId="39346B03"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Rau, R., Bohk-Ewald, C., Muszyńska, M. M., &amp; Vaupel, J. W. (2018). </w:t>
      </w:r>
      <w:r w:rsidRPr="00F937AA">
        <w:rPr>
          <w:rFonts w:cs="Times New Roman"/>
          <w:i/>
          <w:iCs/>
          <w:noProof/>
          <w:lang w:val="en-US"/>
        </w:rPr>
        <w:t>Visualizing Mortality Dynamics in the Lexis Diagram</w:t>
      </w:r>
      <w:r w:rsidRPr="00F937AA">
        <w:rPr>
          <w:rFonts w:cs="Times New Roman"/>
          <w:noProof/>
          <w:lang w:val="en-US"/>
        </w:rPr>
        <w:t>. https://doi.org/10.1007/978-3-319-64820-0</w:t>
      </w:r>
    </w:p>
    <w:p w14:paraId="2AFA2569"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Reichert, T. A., Simonsen, L., Sharma, A., Pardo, S. A., Fedson, D. S., &amp; Miller, M. A. (2004). Influenza and the winter increase in mortality in the United States, 1959-1999. </w:t>
      </w:r>
      <w:r w:rsidRPr="00F937AA">
        <w:rPr>
          <w:rFonts w:cs="Times New Roman"/>
          <w:i/>
          <w:iCs/>
          <w:noProof/>
          <w:lang w:val="en-US"/>
        </w:rPr>
        <w:t>American Journal of Epidemiology</w:t>
      </w:r>
      <w:r w:rsidRPr="00F937AA">
        <w:rPr>
          <w:rFonts w:cs="Times New Roman"/>
          <w:noProof/>
          <w:lang w:val="en-US"/>
        </w:rPr>
        <w:t>. https://doi.org/10.1093/aje/kwh227</w:t>
      </w:r>
    </w:p>
    <w:p w14:paraId="597A0662"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Rogot, E., Fabsitz, R., &amp; Feinleib, M. (1976). Daily variation In USA mortality. </w:t>
      </w:r>
      <w:r w:rsidRPr="00F937AA">
        <w:rPr>
          <w:rFonts w:cs="Times New Roman"/>
          <w:i/>
          <w:iCs/>
          <w:noProof/>
          <w:lang w:val="en-US"/>
        </w:rPr>
        <w:t>American Journal of Epidemiology</w:t>
      </w:r>
      <w:r w:rsidRPr="00F937AA">
        <w:rPr>
          <w:rFonts w:cs="Times New Roman"/>
          <w:noProof/>
          <w:lang w:val="en-US"/>
        </w:rPr>
        <w:t>. https://doi.org/10.1093/oxfordjournals.aje.a112218</w:t>
      </w:r>
    </w:p>
    <w:p w14:paraId="3953C441"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Rosenwaike, I. (1966). Seasonal Variation of Deaths in the United States, 1951–1960. </w:t>
      </w:r>
      <w:r w:rsidRPr="00F937AA">
        <w:rPr>
          <w:rFonts w:cs="Times New Roman"/>
          <w:i/>
          <w:iCs/>
          <w:noProof/>
          <w:lang w:val="en-US"/>
        </w:rPr>
        <w:t>Journal of the American Statistical Association</w:t>
      </w:r>
      <w:r w:rsidRPr="00F937AA">
        <w:rPr>
          <w:rFonts w:cs="Times New Roman"/>
          <w:noProof/>
          <w:lang w:val="en-US"/>
        </w:rPr>
        <w:t xml:space="preserve">, </w:t>
      </w:r>
      <w:r w:rsidRPr="00F937AA">
        <w:rPr>
          <w:rFonts w:cs="Times New Roman"/>
          <w:i/>
          <w:iCs/>
          <w:noProof/>
          <w:lang w:val="en-US"/>
        </w:rPr>
        <w:t>61</w:t>
      </w:r>
      <w:r w:rsidRPr="00F937AA">
        <w:rPr>
          <w:rFonts w:cs="Times New Roman"/>
          <w:noProof/>
          <w:lang w:val="en-US"/>
        </w:rPr>
        <w:t>(315), 706–719. https://doi.org/10.1080/01621459.1966.10480899</w:t>
      </w:r>
    </w:p>
    <w:p w14:paraId="5D9CC59B"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Rue, H., Martino, S., &amp; Chopin, N. (2009). Approximate Bayesian inference for latent Gaussian models by using integrated nested Laplace approximations. </w:t>
      </w:r>
      <w:r w:rsidRPr="00F937AA">
        <w:rPr>
          <w:rFonts w:cs="Times New Roman"/>
          <w:i/>
          <w:iCs/>
          <w:noProof/>
          <w:lang w:val="en-US"/>
        </w:rPr>
        <w:t>Journal of the Royal Statistical Society. Series B: Statistical Methodology</w:t>
      </w:r>
      <w:r w:rsidRPr="00F937AA">
        <w:rPr>
          <w:rFonts w:cs="Times New Roman"/>
          <w:noProof/>
          <w:lang w:val="en-US"/>
        </w:rPr>
        <w:t>. https://doi.org/10.1111/j.1467-9868.2008.00700.x</w:t>
      </w:r>
    </w:p>
    <w:p w14:paraId="6255BCE6"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Semenza, J. C., Rubin, C. H., Falter, K. H., Selanikio, J. D., Flanders, W. D., Howe, H. L., &amp; Wilhelm, J. L. (1996). Heat-Related Deaths during the July 1995 Heat Wave in Chicago. </w:t>
      </w:r>
      <w:r w:rsidRPr="00F937AA">
        <w:rPr>
          <w:rFonts w:cs="Times New Roman"/>
          <w:i/>
          <w:iCs/>
          <w:noProof/>
          <w:lang w:val="en-US"/>
        </w:rPr>
        <w:t>New England Journal of Medicine</w:t>
      </w:r>
      <w:r w:rsidRPr="00F937AA">
        <w:rPr>
          <w:rFonts w:cs="Times New Roman"/>
          <w:noProof/>
          <w:lang w:val="en-US"/>
        </w:rPr>
        <w:t>. https://doi.org/10.1056/NEJM199607113350203</w:t>
      </w:r>
    </w:p>
    <w:p w14:paraId="0E3CAB7C"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Shaw, B. D. (2006). Seasons of death: aspects of mortality in Imperial Rome. </w:t>
      </w:r>
      <w:r w:rsidRPr="00F937AA">
        <w:rPr>
          <w:rFonts w:cs="Times New Roman"/>
          <w:i/>
          <w:iCs/>
          <w:noProof/>
          <w:lang w:val="en-US"/>
        </w:rPr>
        <w:t>The Journal of Roman Studies</w:t>
      </w:r>
      <w:r w:rsidRPr="00F937AA">
        <w:rPr>
          <w:rFonts w:cs="Times New Roman"/>
          <w:noProof/>
          <w:lang w:val="en-US"/>
        </w:rPr>
        <w:t>. https://doi.org/10.2307/300425</w:t>
      </w:r>
    </w:p>
    <w:p w14:paraId="488B650D"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Song, X., Wang, S., Hu, Y., Yue, M., Zhang, T., Liu, Y., … Shang, K. (2017). Impact of ambient temperature on morbidity and mortality: An overview of reviews. </w:t>
      </w:r>
      <w:r w:rsidRPr="00F937AA">
        <w:rPr>
          <w:rFonts w:cs="Times New Roman"/>
          <w:i/>
          <w:iCs/>
          <w:noProof/>
          <w:lang w:val="en-US"/>
        </w:rPr>
        <w:t>Science of The Total Environment</w:t>
      </w:r>
      <w:r w:rsidRPr="00F937AA">
        <w:rPr>
          <w:rFonts w:cs="Times New Roman"/>
          <w:noProof/>
          <w:lang w:val="en-US"/>
        </w:rPr>
        <w:t xml:space="preserve">, </w:t>
      </w:r>
      <w:r w:rsidRPr="00F937AA">
        <w:rPr>
          <w:rFonts w:cs="Times New Roman"/>
          <w:i/>
          <w:iCs/>
          <w:noProof/>
          <w:lang w:val="en-US"/>
        </w:rPr>
        <w:t>586</w:t>
      </w:r>
      <w:r w:rsidRPr="00F937AA">
        <w:rPr>
          <w:rFonts w:cs="Times New Roman"/>
          <w:noProof/>
          <w:lang w:val="en-US"/>
        </w:rPr>
        <w:t>, 241–254. Retrieved from internal-pdf://121.226.169.224/1-s2.0-S0048969717302292-main.pdf</w:t>
      </w:r>
    </w:p>
    <w:p w14:paraId="26B0759F"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The Eurowinter Group. (1997). Cold exposure and winter mortality from ischaemic heart disease, cerebrovascular disease, respiratory disease, and all causes in warm and cold regions of Europe. </w:t>
      </w:r>
      <w:r w:rsidRPr="00F937AA">
        <w:rPr>
          <w:rFonts w:cs="Times New Roman"/>
          <w:i/>
          <w:iCs/>
          <w:noProof/>
          <w:lang w:val="en-US"/>
        </w:rPr>
        <w:t>Lancet</w:t>
      </w:r>
      <w:r w:rsidRPr="00F937AA">
        <w:rPr>
          <w:rFonts w:cs="Times New Roman"/>
          <w:noProof/>
          <w:lang w:val="en-US"/>
        </w:rPr>
        <w:t xml:space="preserve">, </w:t>
      </w:r>
      <w:r w:rsidRPr="00F937AA">
        <w:rPr>
          <w:rFonts w:cs="Times New Roman"/>
          <w:i/>
          <w:iCs/>
          <w:noProof/>
          <w:lang w:val="en-US"/>
        </w:rPr>
        <w:t>349</w:t>
      </w:r>
      <w:r w:rsidRPr="00F937AA">
        <w:rPr>
          <w:rFonts w:cs="Times New Roman"/>
          <w:noProof/>
          <w:lang w:val="en-US"/>
        </w:rPr>
        <w:t>, 1341–46. https://doi.org/S0140673696123382 [pii]</w:t>
      </w:r>
    </w:p>
    <w:p w14:paraId="5A9D1CB1"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Trudeau, R. (1997). Monthly and daily patterns of death. </w:t>
      </w:r>
      <w:r w:rsidRPr="00F937AA">
        <w:rPr>
          <w:rFonts w:cs="Times New Roman"/>
          <w:i/>
          <w:iCs/>
          <w:noProof/>
          <w:lang w:val="en-US"/>
        </w:rPr>
        <w:t>Statistics Canada</w:t>
      </w:r>
      <w:r w:rsidRPr="00F937AA">
        <w:rPr>
          <w:rFonts w:cs="Times New Roman"/>
          <w:noProof/>
          <w:lang w:val="en-US"/>
        </w:rPr>
        <w:t xml:space="preserve">, </w:t>
      </w:r>
      <w:r w:rsidRPr="00F937AA">
        <w:rPr>
          <w:rFonts w:cs="Times New Roman"/>
          <w:i/>
          <w:iCs/>
          <w:noProof/>
          <w:lang w:val="en-US"/>
        </w:rPr>
        <w:t>9</w:t>
      </w:r>
      <w:r w:rsidRPr="00F937AA">
        <w:rPr>
          <w:rFonts w:cs="Times New Roman"/>
          <w:noProof/>
          <w:lang w:val="en-US"/>
        </w:rPr>
        <w:t>(1).</w:t>
      </w:r>
    </w:p>
    <w:p w14:paraId="58629A86"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UNISDR. (2015). Sendai Framework for Disaster Risk Reduction 2015 - 2030. </w:t>
      </w:r>
      <w:r w:rsidRPr="00F937AA">
        <w:rPr>
          <w:rFonts w:cs="Times New Roman"/>
          <w:i/>
          <w:iCs/>
          <w:noProof/>
          <w:lang w:val="en-US"/>
        </w:rPr>
        <w:t>Third World Conference on Disaster Risk Reduction, Sendai, Japan, 14-18 March 2015.</w:t>
      </w:r>
      <w:r w:rsidRPr="00F937AA">
        <w:rPr>
          <w:rFonts w:cs="Times New Roman"/>
          <w:noProof/>
          <w:lang w:val="en-US"/>
        </w:rPr>
        <w:t>, (March), 1–25. https://doi.org/A/CONF.224/CRP.1</w:t>
      </w:r>
    </w:p>
    <w:p w14:paraId="59CEF9EB"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Vose, R. S., Applequist, S., Squires, M., Durre, I., Menne, C. J., Williams, C. N., … Arndt, D. (2014). Improved historical temperature and precipitation time series for U.S. climate </w:t>
      </w:r>
      <w:r w:rsidRPr="00F937AA">
        <w:rPr>
          <w:rFonts w:cs="Times New Roman"/>
          <w:noProof/>
          <w:lang w:val="en-US"/>
        </w:rPr>
        <w:lastRenderedPageBreak/>
        <w:t xml:space="preserve">divisions. </w:t>
      </w:r>
      <w:r w:rsidRPr="00F937AA">
        <w:rPr>
          <w:rFonts w:cs="Times New Roman"/>
          <w:i/>
          <w:iCs/>
          <w:noProof/>
          <w:lang w:val="en-US"/>
        </w:rPr>
        <w:t>Journal of Applied Meteorology and Climatology</w:t>
      </w:r>
      <w:r w:rsidRPr="00F937AA">
        <w:rPr>
          <w:rFonts w:cs="Times New Roman"/>
          <w:noProof/>
          <w:lang w:val="en-US"/>
        </w:rPr>
        <w:t>. https://doi.org/10.1175/JAMC-D-13-0248.1</w:t>
      </w:r>
    </w:p>
    <w:p w14:paraId="74569425"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WHO. (2016). </w:t>
      </w:r>
      <w:r w:rsidRPr="00F937AA">
        <w:rPr>
          <w:rFonts w:cs="Times New Roman"/>
          <w:i/>
          <w:iCs/>
          <w:noProof/>
          <w:lang w:val="en-US"/>
        </w:rPr>
        <w:t>World Health Statistics 2016 Monitoring Health for the SDGs</w:t>
      </w:r>
      <w:r w:rsidRPr="00F937AA">
        <w:rPr>
          <w:rFonts w:cs="Times New Roman"/>
          <w:noProof/>
          <w:lang w:val="en-US"/>
        </w:rPr>
        <w:t xml:space="preserve">. </w:t>
      </w:r>
      <w:r w:rsidRPr="00F937AA">
        <w:rPr>
          <w:rFonts w:cs="Times New Roman"/>
          <w:i/>
          <w:iCs/>
          <w:noProof/>
          <w:lang w:val="en-US"/>
        </w:rPr>
        <w:t>WHO Library Cataloguing-in-Publication Data World</w:t>
      </w:r>
      <w:r w:rsidRPr="00F937AA">
        <w:rPr>
          <w:rFonts w:cs="Times New Roman"/>
          <w:noProof/>
          <w:lang w:val="en-US"/>
        </w:rPr>
        <w:t>.</w:t>
      </w:r>
    </w:p>
    <w:p w14:paraId="387E3F3C"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WHO. (2018a). WHO Methods and Data Sources for Country-Level Cause of Death 2000-2016, (March), 1–51. https://doi.org/ISBN 9789241564854</w:t>
      </w:r>
    </w:p>
    <w:p w14:paraId="5E4CBAEF"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WHO. (2018b). WHO methods and data sources for life tables 1990-2016. Retrieved from http://www.who.int/healthinfo/statistics/LT_method.pdf</w:t>
      </w:r>
    </w:p>
    <w:p w14:paraId="40AC505F"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WMO. (2016). Guidelines on the Defintion and Monitoring of Extreme Weather and Climate Events. </w:t>
      </w:r>
      <w:r w:rsidRPr="00F937AA">
        <w:rPr>
          <w:rFonts w:cs="Times New Roman"/>
          <w:i/>
          <w:iCs/>
          <w:noProof/>
          <w:lang w:val="en-US"/>
        </w:rPr>
        <w:t>Task Team on the Definition of Extreme Weather and Climate Events</w:t>
      </w:r>
      <w:r w:rsidRPr="00F937AA">
        <w:rPr>
          <w:rFonts w:cs="Times New Roman"/>
          <w:noProof/>
          <w:lang w:val="en-US"/>
        </w:rPr>
        <w:t>, (December 2015), 62. https://doi.org/http://dx.doi.org/10.1016/j.corsci.2014.12.017</w:t>
      </w:r>
    </w:p>
    <w:p w14:paraId="2D94156B" w14:textId="77777777" w:rsidR="00F937AA" w:rsidRPr="00F937AA" w:rsidRDefault="00F937AA" w:rsidP="00F937AA">
      <w:pPr>
        <w:widowControl w:val="0"/>
        <w:autoSpaceDE w:val="0"/>
        <w:autoSpaceDN w:val="0"/>
        <w:adjustRightInd w:val="0"/>
        <w:spacing w:line="240" w:lineRule="auto"/>
        <w:ind w:left="480" w:hanging="480"/>
        <w:rPr>
          <w:rFonts w:cs="Times New Roman"/>
          <w:noProof/>
          <w:lang w:val="en-US"/>
        </w:rPr>
      </w:pPr>
      <w:r w:rsidRPr="00F937AA">
        <w:rPr>
          <w:rFonts w:cs="Times New Roman"/>
          <w:noProof/>
          <w:lang w:val="en-US"/>
        </w:rPr>
        <w:t xml:space="preserve">Ye, X., Wolff, R., Yu, W., Vaneckova, P., Pan, X., &amp; Tong, S. (2012). Ambient temperature and morbidity: a review of epidemiological evidence. </w:t>
      </w:r>
      <w:r w:rsidRPr="00F937AA">
        <w:rPr>
          <w:rFonts w:cs="Times New Roman"/>
          <w:i/>
          <w:iCs/>
          <w:noProof/>
          <w:lang w:val="en-US"/>
        </w:rPr>
        <w:t>Environmental Health Perspectives</w:t>
      </w:r>
      <w:r w:rsidRPr="00F937AA">
        <w:rPr>
          <w:rFonts w:cs="Times New Roman"/>
          <w:noProof/>
          <w:lang w:val="en-US"/>
        </w:rPr>
        <w:t xml:space="preserve">, </w:t>
      </w:r>
      <w:r w:rsidRPr="00F937AA">
        <w:rPr>
          <w:rFonts w:cs="Times New Roman"/>
          <w:i/>
          <w:iCs/>
          <w:noProof/>
          <w:lang w:val="en-US"/>
        </w:rPr>
        <w:t>120</w:t>
      </w:r>
      <w:r w:rsidRPr="00F937AA">
        <w:rPr>
          <w:rFonts w:cs="Times New Roman"/>
          <w:noProof/>
          <w:lang w:val="en-US"/>
        </w:rPr>
        <w:t>(1), 19–28. https://doi.org/10.1289/ehp.1003198</w:t>
      </w:r>
    </w:p>
    <w:p w14:paraId="25067999" w14:textId="77777777" w:rsidR="00F937AA" w:rsidRPr="00F937AA" w:rsidRDefault="00F937AA" w:rsidP="00F937AA">
      <w:pPr>
        <w:widowControl w:val="0"/>
        <w:autoSpaceDE w:val="0"/>
        <w:autoSpaceDN w:val="0"/>
        <w:adjustRightInd w:val="0"/>
        <w:spacing w:line="240" w:lineRule="auto"/>
        <w:ind w:left="480" w:hanging="480"/>
        <w:rPr>
          <w:rFonts w:cs="Times New Roman"/>
          <w:noProof/>
        </w:rPr>
      </w:pPr>
      <w:r w:rsidRPr="00F937AA">
        <w:rPr>
          <w:rFonts w:cs="Times New Roman"/>
          <w:noProof/>
          <w:lang w:val="en-US"/>
        </w:rPr>
        <w:t xml:space="preserve">Zanobetti, A., O’Neill, M. S., Gronlund, C. J., &amp; Schwartz, J. D. (2012). Summer temperature variability and long-term survival among elderly people with chronic disease. </w:t>
      </w:r>
      <w:r w:rsidRPr="00F937AA">
        <w:rPr>
          <w:rFonts w:cs="Times New Roman"/>
          <w:i/>
          <w:iCs/>
          <w:noProof/>
          <w:lang w:val="en-US"/>
        </w:rPr>
        <w:t>Proceedings of the National Academy of Sciences</w:t>
      </w:r>
      <w:r w:rsidRPr="00F937AA">
        <w:rPr>
          <w:rFonts w:cs="Times New Roman"/>
          <w:noProof/>
          <w:lang w:val="en-US"/>
        </w:rPr>
        <w:t>. https://doi.org/10.1073/pnas.1113070109</w:t>
      </w:r>
    </w:p>
    <w:p w14:paraId="14D0E6E5" w14:textId="15248B38" w:rsidR="009011C5" w:rsidRPr="00636C9B" w:rsidRDefault="00A55581" w:rsidP="00F937AA">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BA936C" w14:textId="77777777" w:rsidR="00134084" w:rsidRDefault="00134084">
      <w:pPr>
        <w:spacing w:after="0" w:line="240" w:lineRule="auto"/>
      </w:pPr>
      <w:r>
        <w:separator/>
      </w:r>
    </w:p>
  </w:endnote>
  <w:endnote w:type="continuationSeparator" w:id="0">
    <w:p w14:paraId="69D079CC" w14:textId="77777777" w:rsidR="00134084" w:rsidRDefault="00134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B01BA" w:rsidRDefault="00DB01BA"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B01BA" w:rsidRDefault="00DB01B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B01BA" w:rsidRDefault="00DB01BA"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DB0886" w14:textId="77777777" w:rsidR="00134084" w:rsidRDefault="00134084">
      <w:pPr>
        <w:spacing w:after="0" w:line="240" w:lineRule="auto"/>
      </w:pPr>
      <w:r>
        <w:separator/>
      </w:r>
    </w:p>
  </w:footnote>
  <w:footnote w:type="continuationSeparator" w:id="0">
    <w:p w14:paraId="5F072A12" w14:textId="77777777" w:rsidR="00134084" w:rsidRDefault="001340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13"/>
  </w:num>
  <w:num w:numId="4">
    <w:abstractNumId w:val="15"/>
  </w:num>
  <w:num w:numId="5">
    <w:abstractNumId w:val="3"/>
  </w:num>
  <w:num w:numId="6">
    <w:abstractNumId w:val="4"/>
  </w:num>
  <w:num w:numId="7">
    <w:abstractNumId w:val="2"/>
  </w:num>
  <w:num w:numId="8">
    <w:abstractNumId w:val="10"/>
  </w:num>
  <w:num w:numId="9">
    <w:abstractNumId w:val="14"/>
  </w:num>
  <w:num w:numId="10">
    <w:abstractNumId w:val="9"/>
  </w:num>
  <w:num w:numId="11">
    <w:abstractNumId w:val="11"/>
  </w:num>
  <w:num w:numId="12">
    <w:abstractNumId w:val="8"/>
  </w:num>
  <w:num w:numId="13">
    <w:abstractNumId w:val="6"/>
  </w:num>
  <w:num w:numId="14">
    <w:abstractNumId w:val="5"/>
  </w:num>
  <w:num w:numId="15">
    <w:abstractNumId w:val="12"/>
  </w:num>
  <w:num w:numId="16">
    <w:abstractNumId w:val="12"/>
  </w:num>
  <w:num w:numId="17">
    <w:abstractNumId w:val="12"/>
  </w:num>
  <w:num w:numId="18">
    <w:abstractNumId w:val="12"/>
  </w:num>
  <w:num w:numId="19">
    <w:abstractNumId w:val="12"/>
  </w:num>
  <w:num w:numId="20">
    <w:abstractNumId w:val="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951"/>
    <w:rsid w:val="00071F79"/>
    <w:rsid w:val="000721B3"/>
    <w:rsid w:val="00072C38"/>
    <w:rsid w:val="00072CAE"/>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64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1812"/>
    <w:rsid w:val="000E1B12"/>
    <w:rsid w:val="000E1DDA"/>
    <w:rsid w:val="000E2FBB"/>
    <w:rsid w:val="000E4433"/>
    <w:rsid w:val="000E4726"/>
    <w:rsid w:val="000E48D7"/>
    <w:rsid w:val="000E49E0"/>
    <w:rsid w:val="000E60FC"/>
    <w:rsid w:val="000E6236"/>
    <w:rsid w:val="000E665B"/>
    <w:rsid w:val="000F0627"/>
    <w:rsid w:val="000F0913"/>
    <w:rsid w:val="000F09F9"/>
    <w:rsid w:val="000F0C79"/>
    <w:rsid w:val="000F1035"/>
    <w:rsid w:val="000F1DF7"/>
    <w:rsid w:val="000F3189"/>
    <w:rsid w:val="000F386F"/>
    <w:rsid w:val="000F3D7A"/>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1694"/>
    <w:rsid w:val="00112077"/>
    <w:rsid w:val="00112085"/>
    <w:rsid w:val="001121F5"/>
    <w:rsid w:val="00112CB4"/>
    <w:rsid w:val="00112F7C"/>
    <w:rsid w:val="00113023"/>
    <w:rsid w:val="00113FD5"/>
    <w:rsid w:val="00114168"/>
    <w:rsid w:val="00114B42"/>
    <w:rsid w:val="001151EB"/>
    <w:rsid w:val="00115F35"/>
    <w:rsid w:val="0011649A"/>
    <w:rsid w:val="001167CB"/>
    <w:rsid w:val="001171AC"/>
    <w:rsid w:val="001174F6"/>
    <w:rsid w:val="001209A6"/>
    <w:rsid w:val="00120C95"/>
    <w:rsid w:val="00120F44"/>
    <w:rsid w:val="00122769"/>
    <w:rsid w:val="00123742"/>
    <w:rsid w:val="00123D04"/>
    <w:rsid w:val="001242F1"/>
    <w:rsid w:val="00124496"/>
    <w:rsid w:val="0012466F"/>
    <w:rsid w:val="00124AAF"/>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084"/>
    <w:rsid w:val="001343C0"/>
    <w:rsid w:val="00134480"/>
    <w:rsid w:val="00135AB0"/>
    <w:rsid w:val="00136284"/>
    <w:rsid w:val="00136BA9"/>
    <w:rsid w:val="0013717B"/>
    <w:rsid w:val="00140E4C"/>
    <w:rsid w:val="00141129"/>
    <w:rsid w:val="00141E26"/>
    <w:rsid w:val="001429B3"/>
    <w:rsid w:val="00143121"/>
    <w:rsid w:val="00143E18"/>
    <w:rsid w:val="00144387"/>
    <w:rsid w:val="00144A7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298C"/>
    <w:rsid w:val="001E2DDB"/>
    <w:rsid w:val="001E3C37"/>
    <w:rsid w:val="001E5AFB"/>
    <w:rsid w:val="001E5C03"/>
    <w:rsid w:val="001E5CD7"/>
    <w:rsid w:val="001E5E44"/>
    <w:rsid w:val="001E611A"/>
    <w:rsid w:val="001E6D66"/>
    <w:rsid w:val="001E6FA9"/>
    <w:rsid w:val="001E738D"/>
    <w:rsid w:val="001E73A0"/>
    <w:rsid w:val="001E7732"/>
    <w:rsid w:val="001F0274"/>
    <w:rsid w:val="001F07A4"/>
    <w:rsid w:val="001F0FFF"/>
    <w:rsid w:val="001F1767"/>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1066"/>
    <w:rsid w:val="00201510"/>
    <w:rsid w:val="002016BA"/>
    <w:rsid w:val="00202290"/>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D61"/>
    <w:rsid w:val="00212141"/>
    <w:rsid w:val="002126B3"/>
    <w:rsid w:val="0021306D"/>
    <w:rsid w:val="002136E5"/>
    <w:rsid w:val="00215290"/>
    <w:rsid w:val="00216466"/>
    <w:rsid w:val="002166AE"/>
    <w:rsid w:val="00216745"/>
    <w:rsid w:val="00217120"/>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F08"/>
    <w:rsid w:val="002C083C"/>
    <w:rsid w:val="002C0846"/>
    <w:rsid w:val="002C1B3A"/>
    <w:rsid w:val="002C1DFB"/>
    <w:rsid w:val="002C2244"/>
    <w:rsid w:val="002C2541"/>
    <w:rsid w:val="002C2D96"/>
    <w:rsid w:val="002C3C82"/>
    <w:rsid w:val="002C4371"/>
    <w:rsid w:val="002C45C7"/>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EBC"/>
    <w:rsid w:val="00345A02"/>
    <w:rsid w:val="003462A6"/>
    <w:rsid w:val="0034640E"/>
    <w:rsid w:val="003464A7"/>
    <w:rsid w:val="003467F3"/>
    <w:rsid w:val="0034749E"/>
    <w:rsid w:val="00347A19"/>
    <w:rsid w:val="00347B7D"/>
    <w:rsid w:val="00347C53"/>
    <w:rsid w:val="00347D81"/>
    <w:rsid w:val="003504DB"/>
    <w:rsid w:val="00350B39"/>
    <w:rsid w:val="003510BB"/>
    <w:rsid w:val="00352D62"/>
    <w:rsid w:val="003530D4"/>
    <w:rsid w:val="003536AD"/>
    <w:rsid w:val="00353D25"/>
    <w:rsid w:val="003542CE"/>
    <w:rsid w:val="0035438E"/>
    <w:rsid w:val="00356025"/>
    <w:rsid w:val="0035659D"/>
    <w:rsid w:val="00357A10"/>
    <w:rsid w:val="00357D07"/>
    <w:rsid w:val="00357D26"/>
    <w:rsid w:val="00360A89"/>
    <w:rsid w:val="0036143F"/>
    <w:rsid w:val="00361EAF"/>
    <w:rsid w:val="003625E9"/>
    <w:rsid w:val="00362889"/>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648"/>
    <w:rsid w:val="00392C44"/>
    <w:rsid w:val="00392CC0"/>
    <w:rsid w:val="0039358E"/>
    <w:rsid w:val="003939B4"/>
    <w:rsid w:val="00393C87"/>
    <w:rsid w:val="00394D30"/>
    <w:rsid w:val="00395BA5"/>
    <w:rsid w:val="00395CB4"/>
    <w:rsid w:val="00396351"/>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C97"/>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531E"/>
    <w:rsid w:val="004E5FB1"/>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D1A"/>
    <w:rsid w:val="005A7068"/>
    <w:rsid w:val="005A7329"/>
    <w:rsid w:val="005A7A30"/>
    <w:rsid w:val="005B00A0"/>
    <w:rsid w:val="005B0307"/>
    <w:rsid w:val="005B03DF"/>
    <w:rsid w:val="005B041B"/>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44E"/>
    <w:rsid w:val="005B771B"/>
    <w:rsid w:val="005B7B1D"/>
    <w:rsid w:val="005C07C6"/>
    <w:rsid w:val="005C0F5B"/>
    <w:rsid w:val="005C2298"/>
    <w:rsid w:val="005C26CB"/>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62E"/>
    <w:rsid w:val="005D4926"/>
    <w:rsid w:val="005D5BB7"/>
    <w:rsid w:val="005D6443"/>
    <w:rsid w:val="005D73D0"/>
    <w:rsid w:val="005D75D9"/>
    <w:rsid w:val="005D7922"/>
    <w:rsid w:val="005D7A85"/>
    <w:rsid w:val="005E051B"/>
    <w:rsid w:val="005E0DB0"/>
    <w:rsid w:val="005E0E67"/>
    <w:rsid w:val="005E1410"/>
    <w:rsid w:val="005E2481"/>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104D"/>
    <w:rsid w:val="0060130A"/>
    <w:rsid w:val="006021A0"/>
    <w:rsid w:val="00602B35"/>
    <w:rsid w:val="00602B6B"/>
    <w:rsid w:val="00603B57"/>
    <w:rsid w:val="00603BCA"/>
    <w:rsid w:val="00603BD6"/>
    <w:rsid w:val="006040FA"/>
    <w:rsid w:val="00604782"/>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B3"/>
    <w:rsid w:val="00646FEE"/>
    <w:rsid w:val="00647252"/>
    <w:rsid w:val="00647483"/>
    <w:rsid w:val="00647F0F"/>
    <w:rsid w:val="0065029D"/>
    <w:rsid w:val="00650702"/>
    <w:rsid w:val="00650B40"/>
    <w:rsid w:val="00650CDF"/>
    <w:rsid w:val="00650D76"/>
    <w:rsid w:val="00651062"/>
    <w:rsid w:val="00651564"/>
    <w:rsid w:val="00651B40"/>
    <w:rsid w:val="00651E45"/>
    <w:rsid w:val="00651FB2"/>
    <w:rsid w:val="00652AC7"/>
    <w:rsid w:val="006542C5"/>
    <w:rsid w:val="00654669"/>
    <w:rsid w:val="006546F0"/>
    <w:rsid w:val="00654895"/>
    <w:rsid w:val="00655358"/>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376"/>
    <w:rsid w:val="00670146"/>
    <w:rsid w:val="00670CE3"/>
    <w:rsid w:val="00670E5A"/>
    <w:rsid w:val="00670EC7"/>
    <w:rsid w:val="00671218"/>
    <w:rsid w:val="006714E4"/>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383"/>
    <w:rsid w:val="006854A4"/>
    <w:rsid w:val="006864B0"/>
    <w:rsid w:val="00686509"/>
    <w:rsid w:val="0068682F"/>
    <w:rsid w:val="006876F2"/>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539F"/>
    <w:rsid w:val="006A58EB"/>
    <w:rsid w:val="006A5B04"/>
    <w:rsid w:val="006A6828"/>
    <w:rsid w:val="006A6877"/>
    <w:rsid w:val="006A707A"/>
    <w:rsid w:val="006B09B0"/>
    <w:rsid w:val="006B2EB8"/>
    <w:rsid w:val="006B38EE"/>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7A1E"/>
    <w:rsid w:val="006D7E94"/>
    <w:rsid w:val="006D7FA4"/>
    <w:rsid w:val="006E0233"/>
    <w:rsid w:val="006E0899"/>
    <w:rsid w:val="006E0C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E88"/>
    <w:rsid w:val="006F1504"/>
    <w:rsid w:val="006F1EA9"/>
    <w:rsid w:val="006F2217"/>
    <w:rsid w:val="006F382C"/>
    <w:rsid w:val="006F4ACA"/>
    <w:rsid w:val="006F4CA6"/>
    <w:rsid w:val="006F5480"/>
    <w:rsid w:val="006F56D4"/>
    <w:rsid w:val="006F585D"/>
    <w:rsid w:val="006F59ED"/>
    <w:rsid w:val="006F5C3F"/>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4C0"/>
    <w:rsid w:val="00772531"/>
    <w:rsid w:val="0077284C"/>
    <w:rsid w:val="00774847"/>
    <w:rsid w:val="00775537"/>
    <w:rsid w:val="00776444"/>
    <w:rsid w:val="007770F6"/>
    <w:rsid w:val="00777AB6"/>
    <w:rsid w:val="0078079D"/>
    <w:rsid w:val="0078091F"/>
    <w:rsid w:val="00780977"/>
    <w:rsid w:val="00780D35"/>
    <w:rsid w:val="0078103C"/>
    <w:rsid w:val="0078145E"/>
    <w:rsid w:val="007816A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53AC"/>
    <w:rsid w:val="007A56FE"/>
    <w:rsid w:val="007A63EE"/>
    <w:rsid w:val="007A64A7"/>
    <w:rsid w:val="007B0103"/>
    <w:rsid w:val="007B0511"/>
    <w:rsid w:val="007B0629"/>
    <w:rsid w:val="007B0C32"/>
    <w:rsid w:val="007B1E94"/>
    <w:rsid w:val="007B210B"/>
    <w:rsid w:val="007B2A4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C6D"/>
    <w:rsid w:val="007D3E45"/>
    <w:rsid w:val="007D4C58"/>
    <w:rsid w:val="007D5008"/>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60B2E"/>
    <w:rsid w:val="00860F96"/>
    <w:rsid w:val="00861EA9"/>
    <w:rsid w:val="008621C2"/>
    <w:rsid w:val="00862410"/>
    <w:rsid w:val="008625E9"/>
    <w:rsid w:val="008628CC"/>
    <w:rsid w:val="00862BA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EF1"/>
    <w:rsid w:val="00A64073"/>
    <w:rsid w:val="00A6523E"/>
    <w:rsid w:val="00A65AF2"/>
    <w:rsid w:val="00A67760"/>
    <w:rsid w:val="00A7153A"/>
    <w:rsid w:val="00A71797"/>
    <w:rsid w:val="00A718C6"/>
    <w:rsid w:val="00A71C62"/>
    <w:rsid w:val="00A7267F"/>
    <w:rsid w:val="00A73AD6"/>
    <w:rsid w:val="00A741D2"/>
    <w:rsid w:val="00A743A3"/>
    <w:rsid w:val="00A75713"/>
    <w:rsid w:val="00A75B54"/>
    <w:rsid w:val="00A75F06"/>
    <w:rsid w:val="00A75F9A"/>
    <w:rsid w:val="00A7691F"/>
    <w:rsid w:val="00A76F88"/>
    <w:rsid w:val="00A77BB3"/>
    <w:rsid w:val="00A77F87"/>
    <w:rsid w:val="00A80221"/>
    <w:rsid w:val="00A8089A"/>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828"/>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696D"/>
    <w:rsid w:val="00B37097"/>
    <w:rsid w:val="00B373B7"/>
    <w:rsid w:val="00B3785E"/>
    <w:rsid w:val="00B37FFC"/>
    <w:rsid w:val="00B40020"/>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7C2"/>
    <w:rsid w:val="00BE5178"/>
    <w:rsid w:val="00BE5840"/>
    <w:rsid w:val="00BE6302"/>
    <w:rsid w:val="00BE6523"/>
    <w:rsid w:val="00BE68D2"/>
    <w:rsid w:val="00BE7C5B"/>
    <w:rsid w:val="00BE7CD9"/>
    <w:rsid w:val="00BE7DEE"/>
    <w:rsid w:val="00BE7FCD"/>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EE7"/>
    <w:rsid w:val="00C46331"/>
    <w:rsid w:val="00C4665D"/>
    <w:rsid w:val="00C46876"/>
    <w:rsid w:val="00C47C10"/>
    <w:rsid w:val="00C504FA"/>
    <w:rsid w:val="00C50974"/>
    <w:rsid w:val="00C50DB0"/>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67F"/>
    <w:rsid w:val="00C73948"/>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2E29"/>
    <w:rsid w:val="00C92E67"/>
    <w:rsid w:val="00C93B13"/>
    <w:rsid w:val="00C95829"/>
    <w:rsid w:val="00C95977"/>
    <w:rsid w:val="00C96E2B"/>
    <w:rsid w:val="00C974B6"/>
    <w:rsid w:val="00C97974"/>
    <w:rsid w:val="00CA0182"/>
    <w:rsid w:val="00CA0B8B"/>
    <w:rsid w:val="00CA0FA0"/>
    <w:rsid w:val="00CA1682"/>
    <w:rsid w:val="00CA1C0D"/>
    <w:rsid w:val="00CA2FE9"/>
    <w:rsid w:val="00CA3319"/>
    <w:rsid w:val="00CA3BFC"/>
    <w:rsid w:val="00CA4063"/>
    <w:rsid w:val="00CA4ACD"/>
    <w:rsid w:val="00CA6258"/>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279B"/>
    <w:rsid w:val="00CF2B2F"/>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C09"/>
    <w:rsid w:val="00D422D0"/>
    <w:rsid w:val="00D424E6"/>
    <w:rsid w:val="00D426D7"/>
    <w:rsid w:val="00D42B68"/>
    <w:rsid w:val="00D435B3"/>
    <w:rsid w:val="00D44595"/>
    <w:rsid w:val="00D44AA8"/>
    <w:rsid w:val="00D453B0"/>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6A68"/>
    <w:rsid w:val="00DC7020"/>
    <w:rsid w:val="00DC7D2D"/>
    <w:rsid w:val="00DD0012"/>
    <w:rsid w:val="00DD13AB"/>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94B"/>
    <w:rsid w:val="00E049D4"/>
    <w:rsid w:val="00E04BF8"/>
    <w:rsid w:val="00E051A3"/>
    <w:rsid w:val="00E07338"/>
    <w:rsid w:val="00E07BAA"/>
    <w:rsid w:val="00E108B5"/>
    <w:rsid w:val="00E10B3F"/>
    <w:rsid w:val="00E113C4"/>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399D"/>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6525"/>
    <w:rsid w:val="00ED673A"/>
    <w:rsid w:val="00ED6CCE"/>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AB3"/>
    <w:rsid w:val="00EF0BC4"/>
    <w:rsid w:val="00EF0C40"/>
    <w:rsid w:val="00EF0DEC"/>
    <w:rsid w:val="00EF12B4"/>
    <w:rsid w:val="00EF155D"/>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41C"/>
    <w:rsid w:val="00F07064"/>
    <w:rsid w:val="00F07326"/>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45B6"/>
    <w:rsid w:val="00F25F43"/>
    <w:rsid w:val="00F26092"/>
    <w:rsid w:val="00F30D29"/>
    <w:rsid w:val="00F313B1"/>
    <w:rsid w:val="00F31B02"/>
    <w:rsid w:val="00F32757"/>
    <w:rsid w:val="00F33271"/>
    <w:rsid w:val="00F33FB4"/>
    <w:rsid w:val="00F34212"/>
    <w:rsid w:val="00F346BC"/>
    <w:rsid w:val="00F3493A"/>
    <w:rsid w:val="00F350D3"/>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EF9"/>
    <w:rsid w:val="00F84F2C"/>
    <w:rsid w:val="00F8696F"/>
    <w:rsid w:val="00F874F1"/>
    <w:rsid w:val="00F87BFE"/>
    <w:rsid w:val="00F90541"/>
    <w:rsid w:val="00F90E96"/>
    <w:rsid w:val="00F91320"/>
    <w:rsid w:val="00F919A9"/>
    <w:rsid w:val="00F91FAF"/>
    <w:rsid w:val="00F929AA"/>
    <w:rsid w:val="00F92F33"/>
    <w:rsid w:val="00F935BA"/>
    <w:rsid w:val="00F937AA"/>
    <w:rsid w:val="00F93C04"/>
    <w:rsid w:val="00F93FF6"/>
    <w:rsid w:val="00F94929"/>
    <w:rsid w:val="00F95909"/>
    <w:rsid w:val="00F959FB"/>
    <w:rsid w:val="00F96250"/>
    <w:rsid w:val="00F96A01"/>
    <w:rsid w:val="00F96B80"/>
    <w:rsid w:val="00F979FD"/>
    <w:rsid w:val="00FA17DF"/>
    <w:rsid w:val="00FA1DA9"/>
    <w:rsid w:val="00FA1E49"/>
    <w:rsid w:val="00FA24AD"/>
    <w:rsid w:val="00FA292F"/>
    <w:rsid w:val="00FA3045"/>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EE01C95-7144-6844-ADA4-D311BA5AB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19</Pages>
  <Words>36406</Words>
  <Characters>208244</Characters>
  <Application>Microsoft Office Word</Application>
  <DocSecurity>0</DocSecurity>
  <Lines>4627</Lines>
  <Paragraphs>2422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129</cp:revision>
  <cp:lastPrinted>2019-05-07T16:27:00Z</cp:lastPrinted>
  <dcterms:created xsi:type="dcterms:W3CDTF">2019-05-08T23:30:00Z</dcterms:created>
  <dcterms:modified xsi:type="dcterms:W3CDTF">2019-05-09T12:56:00Z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