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65461266"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250FEF">
        <w:rPr>
          <w:color w:val="000000" w:themeColor="text1"/>
          <w:vertAlign w:val="superscript"/>
        </w:rPr>
        <w:t>4</w:t>
      </w:r>
      <w:r w:rsidRPr="00E85AFA">
        <w:rPr>
          <w:color w:val="000000" w:themeColor="text1"/>
        </w:rPr>
        <w:t>, Goodarz Danaei</w:t>
      </w:r>
      <w:r w:rsidR="00250FEF">
        <w:rPr>
          <w:color w:val="000000" w:themeColor="text1"/>
          <w:vertAlign w:val="superscript"/>
        </w:rPr>
        <w:t>5</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391483">
        <w:rPr>
          <w:color w:val="000000" w:themeColor="text1"/>
          <w:vertAlign w:val="superscript"/>
        </w:rPr>
        <w:t>3,</w:t>
      </w:r>
      <w:r w:rsidR="00250FEF">
        <w:rPr>
          <w:color w:val="000000" w:themeColor="text1"/>
          <w:vertAlign w:val="superscript"/>
        </w:rPr>
        <w:t>6</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7694E57F" w:rsidR="00391483" w:rsidRPr="00E85AFA" w:rsidRDefault="00391483" w:rsidP="00613BCB">
      <w:pPr>
        <w:spacing w:line="480" w:lineRule="auto"/>
        <w:jc w:val="both"/>
        <w:rPr>
          <w:color w:val="000000" w:themeColor="text1"/>
        </w:rPr>
      </w:pPr>
      <w:r>
        <w:rPr>
          <w:color w:val="000000" w:themeColor="text1"/>
          <w:vertAlign w:val="superscript"/>
        </w:rPr>
        <w:t>3</w:t>
      </w:r>
      <w:r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4C3CC46C" w:rsidR="00613BCB" w:rsidRPr="00E85AFA" w:rsidRDefault="00250FEF" w:rsidP="00613BCB">
      <w:pPr>
        <w:spacing w:line="480" w:lineRule="auto"/>
        <w:jc w:val="both"/>
        <w:rPr>
          <w:color w:val="000000" w:themeColor="text1"/>
        </w:rPr>
      </w:pPr>
      <w:r>
        <w:rPr>
          <w:color w:val="000000" w:themeColor="text1"/>
          <w:vertAlign w:val="superscript"/>
        </w:rPr>
        <w:t>4</w:t>
      </w:r>
      <w:r w:rsidR="00613BCB" w:rsidRPr="00E85AFA">
        <w:rPr>
          <w:color w:val="000000" w:themeColor="text1"/>
        </w:rPr>
        <w:t>Space and Atmospheric Physics, Imperial College London, London, United Kingdom</w:t>
      </w:r>
    </w:p>
    <w:p w14:paraId="22AAFA30" w14:textId="52483641" w:rsidR="00613BCB" w:rsidRPr="00E85AFA" w:rsidRDefault="00250FEF" w:rsidP="00613BCB">
      <w:pPr>
        <w:spacing w:line="480" w:lineRule="auto"/>
        <w:jc w:val="both"/>
        <w:rPr>
          <w:color w:val="000000" w:themeColor="text1"/>
        </w:rPr>
      </w:pPr>
      <w:r>
        <w:rPr>
          <w:color w:val="000000" w:themeColor="text1"/>
          <w:vertAlign w:val="superscript"/>
        </w:rPr>
        <w:t>5</w:t>
      </w:r>
      <w:r w:rsidR="00613BCB" w:rsidRPr="00E85AFA">
        <w:rPr>
          <w:color w:val="000000" w:themeColor="text1"/>
        </w:rPr>
        <w:t>Harvard T.H. Chan School of Public Health, Boston, Massachusetts, USA</w:t>
      </w:r>
    </w:p>
    <w:p w14:paraId="144CC5D4" w14:textId="37563F58" w:rsidR="00613BCB" w:rsidRPr="00E85AFA" w:rsidRDefault="00250FEF"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0CCC2155"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0E278470"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9–13</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14,15&lt;/sup&gt;","plainTextFormattedCitation":"14,15","previouslyFormattedCitation":"&lt;sup&gt;14,15&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14,15</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8A31A1">
        <w:rPr>
          <w:color w:val="000000" w:themeColor="text1"/>
        </w:rPr>
        <w:t>alcohol drinking,</w:t>
      </w:r>
      <w:r w:rsidR="0098425A"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98425A" w:rsidRPr="00E85AFA">
        <w:fldChar w:fldCharType="separate"/>
      </w:r>
      <w:r w:rsidR="00EF1DA9" w:rsidRPr="00EF1DA9">
        <w:rPr>
          <w:noProof/>
          <w:vertAlign w:val="superscript"/>
        </w:rPr>
        <w:t>13</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64619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D1065E7"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w:t>
      </w:r>
    </w:p>
    <w:p w14:paraId="0DB3C8A7" w14:textId="77777777" w:rsidR="00705D2B" w:rsidRPr="00E85AFA" w:rsidRDefault="00705D2B" w:rsidP="00705D2B">
      <w:pPr>
        <w:spacing w:line="480" w:lineRule="auto"/>
        <w:jc w:val="both"/>
      </w:pPr>
    </w:p>
    <w:p w14:paraId="0235BF7C" w14:textId="5675C680"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65E750A4"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D21C12">
        <w:t xml:space="preserve">Extended Data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 (</w:t>
      </w:r>
      <w:r w:rsidR="00210FEB">
        <w:rPr>
          <w:color w:val="000000" w:themeColor="text1"/>
        </w:rPr>
        <w:t>Extended Data Figure 2</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5F07FDDE"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w:t>
      </w:r>
      <w:r w:rsidR="00E8517B">
        <w:rPr>
          <w:color w:val="000000" w:themeColor="text1"/>
        </w:rPr>
        <w:lastRenderedPageBreak/>
        <w:t>the Paris Climate Agreement</w:t>
      </w:r>
      <w:r w:rsidRPr="00E85AFA">
        <w:rPr>
          <w:color w:val="000000" w:themeColor="text1"/>
        </w:rPr>
        <w:t>.</w:t>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69ECD5AF"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p>
    <w:p w14:paraId="052EE3E9" w14:textId="76A4E8F1" w:rsidR="00370E83" w:rsidRPr="00E85AFA" w:rsidRDefault="00370E83" w:rsidP="00370E83">
      <w:pPr>
        <w:spacing w:line="480" w:lineRule="auto"/>
        <w:jc w:val="both"/>
        <w:rPr>
          <w:color w:val="000000" w:themeColor="text1"/>
        </w:rPr>
      </w:pPr>
    </w:p>
    <w:p w14:paraId="184DC918" w14:textId="6AF7AE84" w:rsidR="00F82744" w:rsidRPr="00E85AFA" w:rsidRDefault="00F82744" w:rsidP="00F82744">
      <w:pPr>
        <w:spacing w:line="480" w:lineRule="auto"/>
        <w:jc w:val="both"/>
      </w:pPr>
      <w:r w:rsidRPr="00E85AFA">
        <w:lastRenderedPageBreak/>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3DCE9130"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13</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1689CA45" w:rsidR="0099481A"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 xml:space="preserve">links between temperature and mental health </w:t>
      </w:r>
      <w:r w:rsidRPr="00E85AFA">
        <w:lastRenderedPageBreak/>
        <w:t>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0225A95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13.</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79DF17B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14.</w:t>
      </w:r>
      <w:r w:rsidRPr="00DE2407">
        <w:rPr>
          <w:noProof/>
          <w:lang w:val="en-US"/>
        </w:rPr>
        <w:tab/>
        <w:t xml:space="preserve">Parks, R. M., Bennett, J. E., Foreman, K. J., Toumi, R. &amp; Ezzati, M. National and regional seasonal dynamics of all-cause and cause-specific mortality in the USA from 1980 to 2016. </w:t>
      </w:r>
      <w:r w:rsidRPr="00DE2407">
        <w:rPr>
          <w:i/>
          <w:iCs/>
          <w:noProof/>
          <w:lang w:val="en-US"/>
        </w:rPr>
        <w:t>Elife</w:t>
      </w:r>
      <w:r w:rsidRPr="00DE2407">
        <w:rPr>
          <w:noProof/>
          <w:lang w:val="en-US"/>
        </w:rPr>
        <w:t xml:space="preserve"> </w:t>
      </w:r>
      <w:r w:rsidRPr="00DE2407">
        <w:rPr>
          <w:b/>
          <w:bCs/>
          <w:noProof/>
          <w:lang w:val="en-US"/>
        </w:rPr>
        <w:t>7</w:t>
      </w:r>
      <w:r w:rsidRPr="00DE2407">
        <w:rPr>
          <w:noProof/>
          <w:lang w:val="en-US"/>
        </w:rPr>
        <w:t>, (2018).</w:t>
      </w:r>
    </w:p>
    <w:p w14:paraId="7E9CE95F"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15.</w:t>
      </w:r>
      <w:r w:rsidRPr="00DE2407">
        <w:rPr>
          <w:noProof/>
          <w:lang w:val="en-US"/>
        </w:rPr>
        <w:tab/>
        <w:t xml:space="preserve">Rau, R. Seasonality in human mortality. A demographic approach. </w:t>
      </w:r>
      <w:r w:rsidRPr="00DE2407">
        <w:rPr>
          <w:i/>
          <w:iCs/>
          <w:noProof/>
          <w:lang w:val="en-US"/>
        </w:rPr>
        <w:t>Wirtschafts- und Sozialwissenschaftlichen Fak.</w:t>
      </w:r>
      <w:r w:rsidRPr="00DE2407">
        <w:rPr>
          <w:noProof/>
          <w:lang w:val="en-US"/>
        </w:rPr>
        <w:t xml:space="preserve"> </w:t>
      </w:r>
      <w:r w:rsidRPr="00DE2407">
        <w:rPr>
          <w:b/>
          <w:bCs/>
          <w:noProof/>
          <w:lang w:val="en-US"/>
        </w:rPr>
        <w:t>PhD</w:t>
      </w:r>
      <w:r w:rsidRPr="00DE2407">
        <w:rPr>
          <w:noProof/>
          <w:lang w:val="en-US"/>
        </w:rPr>
        <w:t>, 361 (2004).</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A3B0CE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66FE4391"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r w:rsidR="0018209F" w:rsidRPr="00E1512E">
        <w:t>Extended Data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4A3240"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4A3240"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038DDD7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14</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r w:rsidR="009D3FF7" w:rsidRPr="00E85AFA">
        <w:rPr>
          <w:i/>
        </w:rPr>
        <w:t>N</w:t>
      </w:r>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33E86F5E"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31862B1D"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8C27E1A"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F878194"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86C6A4F" w:rsidR="004A6522" w:rsidRDefault="003D1FD6" w:rsidP="008E42C2">
      <w:pPr>
        <w:spacing w:line="480" w:lineRule="auto"/>
        <w:jc w:val="both"/>
      </w:pPr>
      <w:r w:rsidRPr="00E85AFA">
        <w:t>The correlations among these variables and anomaly based on mean were between 0.60 and 0.89 (</w:t>
      </w:r>
      <w:r w:rsidR="00796EEF" w:rsidRPr="00796EEF">
        <w:t xml:space="preserve">Extended Data Table </w:t>
      </w:r>
      <w:r w:rsidR="00796EEF">
        <w:t>4</w:t>
      </w:r>
      <w:r w:rsidRPr="00E85AFA">
        <w:t xml:space="preserve">). The estimated rate ratios of temperature anomaly based on daily means (i.e., the anomaly measure used in the main analysis) were robust to the addition of </w:t>
      </w:r>
      <w:r w:rsidRPr="00E85AFA">
        <w:lastRenderedPageBreak/>
        <w:t>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7DA2F485" w14:textId="4D797551" w:rsidR="00853C6B" w:rsidRPr="00853C6B" w:rsidRDefault="0065196B" w:rsidP="0099110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w:t>
      </w:r>
      <w:r w:rsidRPr="00E85AFA">
        <w:lastRenderedPageBreak/>
        <w:t>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r w:rsidR="000F2941">
        <w:t xml:space="preserve">We analysed the associations between anomalous temperature and injury mortality at the state level because </w:t>
      </w:r>
      <w:r w:rsidR="00454A7D">
        <w:t>the small number of events and computational demands made county-level analyses</w:t>
      </w:r>
      <w:r w:rsidR="00FC02E7">
        <w:t xml:space="preserve"> </w:t>
      </w:r>
      <w:r w:rsidR="00B44799">
        <w:t>unfeasible</w:t>
      </w:r>
      <w:r w:rsidR="00454A7D">
        <w:t>. Analyses at finer spatial resolution</w:t>
      </w:r>
      <w:r w:rsidR="00491E98">
        <w:t>, such as county or district,</w:t>
      </w:r>
      <w:r w:rsidR="00075CB2">
        <w:fldChar w:fldCharType="begin" w:fldLock="1"/>
      </w:r>
      <w:r w:rsidR="00EF1DA9">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rsidR="00075CB2">
        <w:fldChar w:fldCharType="separate"/>
      </w:r>
      <w:r w:rsidR="00EF1DA9" w:rsidRPr="00EF1DA9">
        <w:rPr>
          <w:noProof/>
          <w:vertAlign w:val="superscript"/>
        </w:rPr>
        <w:t>50</w:t>
      </w:r>
      <w:r w:rsidR="00075CB2">
        <w:fldChar w:fldCharType="end"/>
      </w:r>
      <w:r w:rsidR="00454A7D">
        <w:t xml:space="preserve"> would be ideal because the impacts of anomalously warm and cold temperature on deaths from injuries may depend on socioeconomic (e.g., poverty</w:t>
      </w:r>
      <w:r w:rsidR="009602CE">
        <w:t>;</w:t>
      </w:r>
      <w:r w:rsidR="00454A7D">
        <w:t xml:space="preserve"> social </w:t>
      </w:r>
      <w:r w:rsidR="00255B55">
        <w:t>connectivity</w:t>
      </w:r>
      <w:r w:rsidR="00454A7D">
        <w:t xml:space="preserve"> </w:t>
      </w:r>
      <w:r w:rsidR="009602CE">
        <w:t>and cohesion;</w:t>
      </w:r>
      <w:r w:rsidR="00454A7D">
        <w:t xml:space="preserve"> availability of guns), environmental (e.g., availability of swimming pools</w:t>
      </w:r>
      <w:r w:rsidR="009602CE">
        <w:t>;</w:t>
      </w:r>
      <w:r w:rsidR="00454A7D">
        <w:t xml:space="preserve"> distance to </w:t>
      </w:r>
      <w:r w:rsidR="001528CC">
        <w:t>bodies of water</w:t>
      </w:r>
      <w:r w:rsidR="00454A7D">
        <w:t xml:space="preserve">), infrastructure (e.g., </w:t>
      </w:r>
      <w:r w:rsidR="009602CE">
        <w:t>quality and safety of roads; public transportation options), and health and social services (e.g., counselling and mental health services; emergency response).</w:t>
      </w:r>
      <w:r w:rsidR="00853C6B">
        <w:t xml:space="preserve"> </w:t>
      </w:r>
      <w:r w:rsidR="00A56A47">
        <w:t>We used categories of injuries that are relevant for public health purposes and for designing and implementing interventions. It may be possible to further split each category. For example,</w:t>
      </w:r>
      <w:r w:rsidR="00A56A47" w:rsidDel="00D6386C">
        <w:t xml:space="preserve"> 92% of all transport injuries in males and 96% in females</w:t>
      </w:r>
      <w:r w:rsidR="00A56A47">
        <w:t xml:space="preserve"> are from</w:t>
      </w:r>
      <w:r w:rsidR="00A56A47" w:rsidDel="00D6386C">
        <w:t xml:space="preserve"> road traffic injuries</w:t>
      </w:r>
      <w:r w:rsidR="00A56A47">
        <w:t>, with the remainder being classified as other transport injuries</w:t>
      </w:r>
      <w:r w:rsidR="00A56A47" w:rsidDel="00D6386C">
        <w:t xml:space="preserve"> (Extended Data Figure 5). </w:t>
      </w:r>
      <w:r w:rsidR="00A56A47">
        <w:t xml:space="preserve">Similarly, suicides can be classified based on the means of suicide. To the extent that these sub-categories are relevant for interventions, they can be separately analysed in future studies. </w:t>
      </w:r>
      <w:r w:rsidR="00A56A47" w:rsidDel="00D6386C">
        <w:t xml:space="preserve">Finally, </w:t>
      </w:r>
      <w:r w:rsidR="007A6258">
        <w:t>a</w:t>
      </w:r>
      <w:r w:rsidR="00853C6B" w:rsidRPr="00853C6B">
        <w:t xml:space="preserve">s with any Bayesian </w:t>
      </w:r>
      <w:r w:rsidR="00A56A47">
        <w:t>model</w:t>
      </w:r>
      <w:r w:rsidR="00853C6B">
        <w:t>,</w:t>
      </w:r>
      <w:r w:rsidR="00853C6B" w:rsidRPr="00853C6B">
        <w:t xml:space="preserve"> choices of prior distributions</w:t>
      </w:r>
      <w:r w:rsidR="004750C2">
        <w:t xml:space="preserve"> and hyper-</w:t>
      </w:r>
      <w:r w:rsidR="006A618D">
        <w:t>parameters</w:t>
      </w:r>
      <w:r w:rsidR="00853C6B" w:rsidRPr="00853C6B">
        <w:t xml:space="preserve"> are necessary</w:t>
      </w:r>
      <w:r w:rsidR="002124C8">
        <w:t>.</w:t>
      </w:r>
      <w:r w:rsidR="00853C6B" w:rsidRPr="00853C6B">
        <w:t xml:space="preserve"> </w:t>
      </w:r>
      <w:r w:rsidR="002124C8">
        <w:t>T</w:t>
      </w:r>
      <w:r w:rsidR="00853C6B" w:rsidRPr="00853C6B">
        <w:t xml:space="preserve">here are alternatives to </w:t>
      </w:r>
      <w:r w:rsidR="006A618D">
        <w:t xml:space="preserve">the </w:t>
      </w:r>
      <w:r w:rsidR="00F8765B">
        <w:t>priors</w:t>
      </w:r>
      <w:r w:rsidR="00853C6B" w:rsidRPr="00853C6B">
        <w:t xml:space="preserve"> we use</w:t>
      </w:r>
      <w:r w:rsidR="00EC3601">
        <w:t>d</w:t>
      </w:r>
      <w:r w:rsidR="004750C2">
        <w:t xml:space="preserve">. For example, our weakly informative gamma priors could have been replaced with </w:t>
      </w:r>
      <w:r w:rsidR="0023369B">
        <w:t>penalised complexity</w:t>
      </w:r>
      <w:r w:rsidR="00853C6B" w:rsidRPr="00853C6B">
        <w:t xml:space="preserve"> priors</w:t>
      </w:r>
      <w:r w:rsidR="007C3021">
        <w:rPr>
          <w:rStyle w:val="FootnoteReference"/>
        </w:rPr>
        <w:fldChar w:fldCharType="begin" w:fldLock="1"/>
      </w:r>
      <w:r w:rsidR="00EF1DA9">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sidR="007C3021">
        <w:rPr>
          <w:rStyle w:val="FootnoteReference"/>
        </w:rPr>
        <w:fldChar w:fldCharType="separate"/>
      </w:r>
      <w:r w:rsidR="00EF1DA9" w:rsidRPr="00EF1DA9">
        <w:rPr>
          <w:noProof/>
          <w:vertAlign w:val="superscript"/>
        </w:rPr>
        <w:t>51</w:t>
      </w:r>
      <w:r w:rsidR="007C3021">
        <w:rPr>
          <w:rStyle w:val="FootnoteReference"/>
        </w:rPr>
        <w:fldChar w:fldCharType="end"/>
      </w:r>
      <w:r w:rsidR="00853C6B">
        <w:t xml:space="preserve"> </w:t>
      </w:r>
      <w:r w:rsidR="004750C2">
        <w:t xml:space="preserve">or uniform priors on the standard </w:t>
      </w:r>
      <w:r w:rsidR="004750C2">
        <w:lastRenderedPageBreak/>
        <w:t>deviation scale.</w:t>
      </w:r>
      <w:r w:rsidR="00237104">
        <w:fldChar w:fldCharType="begin" w:fldLock="1"/>
      </w:r>
      <w:r w:rsidR="00EF1DA9">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rsidR="00237104">
        <w:fldChar w:fldCharType="separate"/>
      </w:r>
      <w:r w:rsidR="00EF1DA9" w:rsidRPr="00EF1DA9">
        <w:rPr>
          <w:noProof/>
          <w:vertAlign w:val="superscript"/>
        </w:rPr>
        <w:t>52</w:t>
      </w:r>
      <w:r w:rsidR="00237104">
        <w:fldChar w:fldCharType="end"/>
      </w:r>
      <w:r w:rsidR="004750C2">
        <w:t xml:space="preserve"> We tested a limited number of alternatives and found that our results were robust to such specifications. </w:t>
      </w:r>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bookmarkStart w:id="0" w:name="_GoBack"/>
      <w:bookmarkEnd w:id="0"/>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3D0FDC03" w:rsidR="00213027" w:rsidRPr="00E85AFA" w:rsidRDefault="00495533" w:rsidP="00213027">
      <w:pPr>
        <w:pStyle w:val="Acknowledgement"/>
        <w:spacing w:before="0" w:line="480" w:lineRule="auto"/>
        <w:jc w:val="both"/>
        <w:rPr>
          <w:b/>
          <w:lang w:val="en-GB"/>
        </w:rPr>
      </w:pPr>
      <w:r>
        <w:rPr>
          <w:b/>
          <w:lang w:val="en-GB"/>
        </w:rPr>
        <w:t>Extended Data</w:t>
      </w:r>
    </w:p>
    <w:p w14:paraId="019E8810" w14:textId="71795780"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w:t>
      </w:r>
      <w:r w:rsidR="00BC11A4">
        <w:rPr>
          <w:rFonts w:cs="Times New Roman"/>
          <w:b w:val="0"/>
          <w:sz w:val="24"/>
          <w:szCs w:val="24"/>
        </w:rPr>
        <w:t>Extended Data</w:t>
      </w:r>
      <w:r w:rsidR="00BC11A4" w:rsidRPr="00E85AFA">
        <w:rPr>
          <w:rFonts w:cs="Times New Roman"/>
          <w:b w:val="0"/>
          <w:sz w:val="24"/>
          <w:szCs w:val="24"/>
        </w:rPr>
        <w:t xml:space="preserve"> Figure </w:t>
      </w:r>
      <w:r w:rsidR="00BC11A4">
        <w:rPr>
          <w:rFonts w:cs="Times New Roman"/>
          <w:b w:val="0"/>
          <w:sz w:val="24"/>
          <w:szCs w:val="24"/>
        </w:rPr>
        <w:t>2, Extended Data</w:t>
      </w:r>
      <w:r w:rsidR="00BC11A4" w:rsidRPr="00E85AFA">
        <w:rPr>
          <w:rFonts w:cs="Times New Roman"/>
          <w:b w:val="0"/>
          <w:sz w:val="24"/>
          <w:szCs w:val="24"/>
        </w:rPr>
        <w:t xml:space="preserve"> Figure </w:t>
      </w:r>
      <w:r w:rsidR="00BC11A4">
        <w:rPr>
          <w:rFonts w:cs="Times New Roman"/>
          <w:b w:val="0"/>
          <w:sz w:val="24"/>
          <w:szCs w:val="24"/>
        </w:rPr>
        <w:t>3, Extended Data</w:t>
      </w:r>
      <w:r w:rsidR="00BC11A4" w:rsidRPr="00E85AFA">
        <w:rPr>
          <w:rFonts w:cs="Times New Roman"/>
          <w:b w:val="0"/>
          <w:sz w:val="24"/>
          <w:szCs w:val="24"/>
        </w:rPr>
        <w:t xml:space="preserve"> Figure </w:t>
      </w:r>
      <w:r w:rsidR="00BC11A4">
        <w:rPr>
          <w:rFonts w:cs="Times New Roman"/>
          <w:b w:val="0"/>
          <w:sz w:val="24"/>
          <w:szCs w:val="24"/>
        </w:rPr>
        <w:t xml:space="preserve">4, </w:t>
      </w:r>
      <w:r w:rsidR="005D185E">
        <w:rPr>
          <w:rFonts w:cs="Times New Roman"/>
          <w:b w:val="0"/>
          <w:sz w:val="24"/>
          <w:szCs w:val="24"/>
        </w:rPr>
        <w:t>Extended Data</w:t>
      </w:r>
      <w:r w:rsidR="005D185E" w:rsidRPr="00E85AFA">
        <w:rPr>
          <w:rFonts w:cs="Times New Roman"/>
          <w:b w:val="0"/>
          <w:sz w:val="24"/>
          <w:szCs w:val="24"/>
        </w:rPr>
        <w:t xml:space="preserve"> Figure </w:t>
      </w:r>
      <w:r w:rsidR="005D185E">
        <w:rPr>
          <w:rFonts w:cs="Times New Roman"/>
          <w:b w:val="0"/>
          <w:sz w:val="24"/>
          <w:szCs w:val="24"/>
        </w:rPr>
        <w:t xml:space="preserve">5,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 xml:space="preserve">1,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 2</w:t>
      </w:r>
      <w:r w:rsidR="00AB36A3">
        <w:rPr>
          <w:rFonts w:cs="Times New Roman"/>
          <w:b w:val="0"/>
          <w:sz w:val="24"/>
          <w:szCs w:val="24"/>
        </w:rPr>
        <w:t xml:space="preserve">,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 3</w:t>
      </w:r>
      <w:r w:rsidR="00AB36A3">
        <w:rPr>
          <w:rFonts w:cs="Times New Roman"/>
          <w:b w:val="0"/>
          <w:sz w:val="24"/>
          <w:szCs w:val="24"/>
        </w:rPr>
        <w:t xml:space="preserve"> and </w:t>
      </w:r>
      <w:r w:rsidR="00BC11A4">
        <w:rPr>
          <w:rFonts w:cs="Times New Roman"/>
          <w:b w:val="0"/>
          <w:sz w:val="24"/>
          <w:szCs w:val="24"/>
        </w:rPr>
        <w:t>Extended Data</w:t>
      </w:r>
      <w:r w:rsidR="00BC11A4" w:rsidRPr="00E85AFA">
        <w:rPr>
          <w:rFonts w:cs="Times New Roman"/>
          <w:b w:val="0"/>
          <w:sz w:val="24"/>
          <w:szCs w:val="24"/>
        </w:rPr>
        <w:t xml:space="preserve"> </w:t>
      </w:r>
      <w:r w:rsidR="00AB36A3">
        <w:rPr>
          <w:rFonts w:cs="Times New Roman"/>
          <w:b w:val="0"/>
          <w:sz w:val="24"/>
          <w:szCs w:val="24"/>
        </w:rPr>
        <w:t>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0F7D26D6"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Blangiardo</w:t>
      </w:r>
      <w:r w:rsidR="00BB0DFC">
        <w:t xml:space="preserve">, </w:t>
      </w:r>
      <w:r w:rsidR="004750C2">
        <w:t xml:space="preserve">Seth Flaxman and </w:t>
      </w:r>
      <w:r w:rsidR="00AA4EF6">
        <w:t>Christopher Paciorek</w:t>
      </w:r>
      <w:r w:rsidR="00514D50">
        <w:t xml:space="preserve"> </w:t>
      </w:r>
      <w:r w:rsidR="00AA4EF6">
        <w:t xml:space="preserve">for discussions on statistical </w:t>
      </w:r>
      <w:r w:rsidR="00AA4EF6">
        <w:lastRenderedPageBreak/>
        <w:t>model, and Kavi Bhalla, Howie Frumkin</w:t>
      </w:r>
      <w:r w:rsidR="00066D53">
        <w:t>, Andy Haines</w:t>
      </w:r>
      <w:r w:rsidR="00AA4EF6">
        <w:t xml:space="preserve"> and Tord K</w:t>
      </w:r>
      <w:r w:rsidR="00AA4EF6" w:rsidRPr="00AA4EF6">
        <w:t>jellstrom</w:t>
      </w:r>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7E57ACC9"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6C161D" w14:textId="77777777" w:rsidR="004A3240" w:rsidRDefault="004A3240">
      <w:r>
        <w:separator/>
      </w:r>
    </w:p>
  </w:endnote>
  <w:endnote w:type="continuationSeparator" w:id="0">
    <w:p w14:paraId="21D2E92F" w14:textId="77777777" w:rsidR="004A3240" w:rsidRDefault="004A3240">
      <w:r>
        <w:continuationSeparator/>
      </w:r>
    </w:p>
  </w:endnote>
  <w:endnote w:type="continuationNotice" w:id="1">
    <w:p w14:paraId="7DD4AAB9" w14:textId="77777777" w:rsidR="004A3240" w:rsidRDefault="004A32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A618D" w:rsidRDefault="006A618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26436AAF"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43267E5" w14:textId="77777777" w:rsidR="006A618D" w:rsidRDefault="006A618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C63F1F" w14:textId="77777777" w:rsidR="004A3240" w:rsidRDefault="004A3240">
      <w:r>
        <w:separator/>
      </w:r>
    </w:p>
  </w:footnote>
  <w:footnote w:type="continuationSeparator" w:id="0">
    <w:p w14:paraId="582362A6" w14:textId="77777777" w:rsidR="004A3240" w:rsidRDefault="004A3240">
      <w:r>
        <w:continuationSeparator/>
      </w:r>
    </w:p>
  </w:footnote>
  <w:footnote w:type="continuationNotice" w:id="1">
    <w:p w14:paraId="03485853" w14:textId="77777777" w:rsidR="004A3240" w:rsidRDefault="004A324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52157"/>
    <w:rsid w:val="00353A64"/>
    <w:rsid w:val="003551A1"/>
    <w:rsid w:val="00363E6C"/>
    <w:rsid w:val="003650D7"/>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E6DF9"/>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28B7"/>
    <w:rsid w:val="00BA5EC7"/>
    <w:rsid w:val="00BA6417"/>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36A"/>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765B"/>
    <w:rsid w:val="00F91A81"/>
    <w:rsid w:val="00F92695"/>
    <w:rsid w:val="00F95910"/>
    <w:rsid w:val="00F95D03"/>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40C07-0E6A-654E-84E6-ECD2DB3C6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25</Pages>
  <Words>34308</Words>
  <Characters>195560</Characters>
  <Application>Microsoft Office Word</Application>
  <DocSecurity>0</DocSecurity>
  <Lines>1629</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17</cp:revision>
  <cp:lastPrinted>2019-04-24T23:05:00Z</cp:lastPrinted>
  <dcterms:created xsi:type="dcterms:W3CDTF">2019-11-06T12:18:00Z</dcterms:created>
  <dcterms:modified xsi:type="dcterms:W3CDTF">2019-11-07T08:46:00Z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