
<file path=[Content_Types].xml><?xml version="1.0" encoding="utf-8"?>
<Types xmlns="http://schemas.openxmlformats.org/package/2006/content-types">
  <Default Extension="xml" ContentType="application/xml"/>
  <Default Extension="rels" ContentType="application/vnd.openxmlformats-package.relationships+xml"/>
  <Default Extension="emf" ContentType="image/x-em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4" Type="http://schemas.openxmlformats.org/officeDocument/2006/relationships/custom-properties" Target="docProps/custom.xml"/><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465629A2" w14:textId="2E5384C7" w:rsidR="005665B5" w:rsidRPr="000A14BA" w:rsidRDefault="005665B5" w:rsidP="00C13011">
      <w:pPr>
        <w:pStyle w:val="BodyText"/>
        <w:spacing w:after="0" w:line="240" w:lineRule="auto"/>
        <w:outlineLvl w:val="0"/>
      </w:pPr>
      <w:r w:rsidRPr="000A14BA">
        <w:t xml:space="preserve">Note: All page numbers refer to the </w:t>
      </w:r>
      <w:r w:rsidRPr="000A14BA">
        <w:rPr>
          <w:u w:val="single"/>
        </w:rPr>
        <w:t>tracked manuscript</w:t>
      </w:r>
      <w:r w:rsidR="00EE2AAD" w:rsidRPr="000A14BA">
        <w:t>.</w:t>
      </w:r>
    </w:p>
    <w:p w14:paraId="7287FD5F" w14:textId="77777777" w:rsidR="005665B5" w:rsidRPr="000A14BA" w:rsidRDefault="005665B5" w:rsidP="00E61AB2">
      <w:pPr>
        <w:pStyle w:val="BodyText"/>
        <w:spacing w:after="0" w:line="240" w:lineRule="auto"/>
      </w:pPr>
    </w:p>
    <w:p w14:paraId="225B85C9" w14:textId="77777777" w:rsidR="00B11CF3" w:rsidRPr="00B11CF3" w:rsidRDefault="00B11CF3" w:rsidP="00C13011">
      <w:pPr>
        <w:pStyle w:val="BodyText"/>
        <w:spacing w:after="0" w:line="240" w:lineRule="auto"/>
        <w:outlineLvl w:val="0"/>
        <w:rPr>
          <w:b/>
          <w:bCs/>
        </w:rPr>
      </w:pPr>
      <w:r w:rsidRPr="00B11CF3">
        <w:rPr>
          <w:b/>
          <w:bCs/>
        </w:rPr>
        <w:t xml:space="preserve">ESSENTIAL REVISIONS: </w:t>
      </w:r>
    </w:p>
    <w:p w14:paraId="2C2825BF" w14:textId="77777777" w:rsidR="00B11CF3" w:rsidRPr="00B11CF3" w:rsidRDefault="00B11CF3" w:rsidP="00E61AB2">
      <w:pPr>
        <w:pStyle w:val="BodyText"/>
        <w:spacing w:after="0" w:line="240" w:lineRule="auto"/>
        <w:rPr>
          <w:b/>
          <w:bCs/>
        </w:rPr>
      </w:pPr>
    </w:p>
    <w:p w14:paraId="1B3CCCEE" w14:textId="77777777" w:rsidR="00B11CF3" w:rsidRPr="00B11CF3" w:rsidRDefault="00B11CF3" w:rsidP="00E61AB2">
      <w:pPr>
        <w:pStyle w:val="BodyText"/>
        <w:spacing w:after="0" w:line="240" w:lineRule="auto"/>
        <w:rPr>
          <w:b/>
          <w:bCs/>
        </w:rPr>
      </w:pPr>
      <w:r w:rsidRPr="00B11CF3">
        <w:rPr>
          <w:b/>
          <w:bCs/>
        </w:rPr>
        <w:t xml:space="preserve">1) By choosing only 4 disease groups the authors seem to have missed a key opportunity to investigate seasonal patterns in finer subgroups despite possessing a large sample size (n = 77,771,264), Furthermore, the rationale for choosing the subgroups presented is unclear. For example, the authors chose to group cardiorespiratory diseases into one large outcome when cardiovascular and respiratory outcomes have differing mechanisms in their association with heat or cold exposure. Within respiratory diseases itself, it makes sense to separate acute and chronic causes because the mechanisms vary so starkly and are related to seasonal patterns, i.e. the incidence of pneumonia and acute respiratory outcomes are likely heightened in the winter and this observation may differ to how/why the incidence of chronic respiratory deaths vary seasonally. Furthermore, the mechanisms for how heat is associated with elevated respiratory deaths is understudied and knowing more about seasonal patterns here would be a useful addition to the literature. </w:t>
      </w:r>
    </w:p>
    <w:p w14:paraId="068E9750" w14:textId="77777777" w:rsidR="00B11CF3" w:rsidRPr="00B11CF3" w:rsidRDefault="00B11CF3" w:rsidP="00E61AB2">
      <w:pPr>
        <w:pStyle w:val="BodyText"/>
        <w:spacing w:after="0" w:line="240" w:lineRule="auto"/>
        <w:rPr>
          <w:b/>
          <w:bCs/>
        </w:rPr>
      </w:pPr>
    </w:p>
    <w:p w14:paraId="274F8B2A" w14:textId="77777777" w:rsidR="00B11CF3" w:rsidRPr="00B11CF3" w:rsidRDefault="00B11CF3" w:rsidP="00E61AB2">
      <w:pPr>
        <w:pStyle w:val="BodyText"/>
        <w:spacing w:after="0" w:line="240" w:lineRule="auto"/>
        <w:rPr>
          <w:b/>
          <w:bCs/>
        </w:rPr>
      </w:pPr>
      <w:r w:rsidRPr="00B11CF3">
        <w:rPr>
          <w:b/>
          <w:bCs/>
        </w:rPr>
        <w:t xml:space="preserve">I believe it's important to investigate seasonal patterns of deaths from infectious disease, maternal and neonatal causes, endocrine disorders, genitourinary conditions and neuropsychiatric conditions (which are all associated with temperature) to add valuable insight into understudied but important disease groups, but these have been excluded from the present analysis. Considering the tragic opioid epidemic in USA, it would be a valuable contribution to the literature to understand whether seasonal patterns (at least in more recent years) are observed with deaths related to substance use disorders. </w:t>
      </w:r>
    </w:p>
    <w:p w14:paraId="319A9F74" w14:textId="791A859C" w:rsidR="00B11CF3" w:rsidRPr="00CD71BB" w:rsidRDefault="00B11CF3" w:rsidP="00E61AB2">
      <w:pPr>
        <w:pStyle w:val="BodyText"/>
        <w:spacing w:after="0" w:line="240" w:lineRule="auto"/>
        <w:rPr>
          <w:bCs/>
        </w:rPr>
      </w:pPr>
    </w:p>
    <w:p w14:paraId="76DA6E13" w14:textId="7A7A1CC2" w:rsidR="00727652" w:rsidRDefault="00CD71BB" w:rsidP="00E61AB2">
      <w:pPr>
        <w:pStyle w:val="BodyText"/>
        <w:spacing w:after="0" w:line="240" w:lineRule="auto"/>
        <w:rPr>
          <w:bCs/>
        </w:rPr>
      </w:pPr>
      <w:r>
        <w:rPr>
          <w:bCs/>
        </w:rPr>
        <w:t xml:space="preserve">We had selected the four cause groups to go beyond all-cause mortality and still have parsimonious presentation and sufficient number of events by sex, age group, year, month and geography. In the specific case of cardiorespiratory diseases, they are commonly analysed together </w:t>
      </w:r>
      <w:r w:rsidR="007E0D70">
        <w:rPr>
          <w:bCs/>
        </w:rPr>
        <w:t>when studying the effects of</w:t>
      </w:r>
      <w:r>
        <w:rPr>
          <w:bCs/>
        </w:rPr>
        <w:t xml:space="preserve"> temperature and air pollution</w:t>
      </w:r>
      <w:r w:rsidR="007E0D70">
        <w:rPr>
          <w:bCs/>
        </w:rPr>
        <w:t xml:space="preserve"> </w:t>
      </w:r>
      <w:r w:rsidR="00062E05">
        <w:rPr>
          <w:bCs/>
        </w:rPr>
        <w:fldChar w:fldCharType="begin" w:fldLock="1"/>
      </w:r>
      <w:r w:rsidR="00627F9F">
        <w:rPr>
          <w:bCs/>
        </w:rPr>
        <w:instrText>ADDIN CSL_CITATION {"citationItems":[{"id":"ITEM-1","itemData":{"DOI":"10.1186/1476-069X-8-40","ISBN":"1476-069X","ISSN":"1476069X","PMID":"19758453","abstract":"BACKGROUND: This review examines recent evidence on mortality from elevated ambient temperature for studies published from January 2001 to December 2008.\\n\\nMETHODS: PubMed was used to search for the following keywords: temperature, apparent temperature, heat, heat index, and mortality. The search was limited to the English language and epidemiologic studies. Studies that reported mortality counts or excess deaths following heat waves were excluded so that the focus remained on general ambient temperature and mortality in a variety of locations. Studies focusing on cold temperature effects were also excluded.\\n\\nRESULTS: Thirty-six total studies were presented in three tables: 1) elevated ambient temperature and mortality; 2) air pollutants as confounders and/or effect modifiers of the elevated ambient temperature and mortality association; and 3) vulnerable subgroups of the elevated ambient temperature-mortality association. The evidence suggests that particulate matter with less than 10 um in aerodynamic diameter and ozone may confound the association, while ozone was an effect modifier in the warmer months in some locations. Nonetheless, the independent effect of temperature and mortality was withheld. Elevated temperature was associated with increased risk for those dying from cardiovascular, respiratory, cerebrovascular, and some specific cardiovascular diseases, such as ischemic heart disease, congestive heart failure, and myocardial infarction. Vulnerable subgroups also included: Black racial/ethnic group, women, those with lower socioeconomic status, and several age groups, particularly the elderly over 65 years of age as well as infants and young children.\\n\\nCONCLUSION: Many of these outcomes and vulnerable subgroups have only been identified in recent studies and varied by location and study population. Thus, region-specific policies, especially in urban areas, are vital to the mitigation of heat-related deaths.","author":[{"dropping-particle":"","family":"Basu","given":"R","non-dropping-particle":"","parse-names":false,"suffix":""}],"container-title":"Environmental Health: A Global Access Science Source","id":"ITEM-1","issue":"1","issued":{"date-parts":[["2009"]]},"page":"40","title":"High ambient temperature and mortality: A review of epidemiologic studies from 2001 to 2008","type":"article","volume":"8"},"uris":["http://www.mendeley.com/documents/?uuid=4a3c238b-f19d-4589-ab7d-38cd7a1ebe34"]},{"id":"ITEM-2","itemData":{"DOI":"10.1038/nclimate2123","ISBN":"1758-678X 1758-6798","ISSN":"17586798","abstract":"Warm temperatures adversely affect disease occurrence and death, in extreme conditions as well as when the temperature changes aremoremodest1,2 .Thereforeclimatechange,which is expectedtoaffect both average temperaturesandtemperature variability, is likely to impact health even in temperate climates. Climate change risk assessment is enriched if there is information on vulnerability and resilience to effects of temperature. Some studies have analysed socio-demographic characteristics that make individuals vulnerable to adverse effects of temperature1–4 . Less isknownabout community-level vulnerability.We used geo-coded mortality and environmental data and Bayesian spatial methods to conduct a national small- area analysis of the mortality effects of warm temperature for all 376 districts in England andWales. In the most vulnerable districts, those in London and south/southeast England, odds of dying fromcardiorespiratory causes increased by more than 10% for 1 ◦ C warmer temperature, compared with virtually no effect in the most resilient districts, which were in the far north. A 2 ◦ C warmer summer may result in 1,552 (95% credible interval 1,307–1,762)additional deaths,aboutone-half of which would occur in 95 districts. The findings enable risk and adaptation analyses to incorporate local vulnerability to warm temperature and to quantify inequality in its effects. Events","author":[{"dropping-particle":"","family":"Bennett","given":"James E.","non-dropping-particle":"","parse-names":false,"suffix":""},{"dropping-particle":"","family":"Blangiardo","given":"Marta","non-dropping-particle":"","parse-names":false,"suffix":""},{"dropping-particle":"","family":"Fecht","given":"Daniela","non-dropping-particle":"","parse-names":false,"suffix":""},{"dropping-particle":"","family":"Elliott","given":"Paul","non-dropping-particle":"","parse-names":false,"suffix":""},{"dropping-particle":"","family":"Ezzati","given":"Majid","non-dropping-particle":"","parse-names":false,"suffix":""}],"container-title":"Nature Climate Change","id":"ITEM-2","issue":"4","issued":{"date-parts":[["2014"]]},"page":"269-273","title":"Vulnerability to the mortality effects of warm temperature in the districts of England and Wales","type":"article-journal","volume":"4"},"uris":["http://www.mendeley.com/documents/?uuid=5f34f7af-83b0-4896-a914-0daa32211ebb"]},{"id":"ITEM-3","itemData":{"DOI":"joc11435 [pii]","ISBN":"0098-7484 (Print) 0098-7484 (Linking)","ISSN":"0098-7484","PMID":"11879110","abstract":"Associations have been found between day-to-day particulate air pollution and increased risk of various adverse health outcomes, including cardiopulmonary mortality. However, studies of health effects of long-term particulate air pollution have been less conclusive.|To assess the relationship between long-term exposure to fine particulate air pollution and all-cause, lung cancer, and cardiopulmonary mortality.|Vital status and cause of death data were collected by the American Cancer Society as part of the Cancer Prevention II study, an ongoing prospective mortality study, which enrolled approximately 1.2 million adults in 1982. Participants completed a questionnaire detailing individual risk factor data (age, sex, race, weight, height, smoking history, education, marital status, diet, alcohol consumption, and occupational exposures). The risk factor data for approximately 500 000 adults were linked with air pollution data for metropolitan areas throughout the United States and combined with vital status and cause of death data through December 31, 1998.|All-cause, lung cancer, and cardiopulmonary mortality.|Fine particulate and sulfur oxide--related pollution were associated with all-cause, lung cancer, and cardiopulmonary mortality. Each 10-microg/m(3) elevation in fine particulate air pollution was associated with approximately a 4%, 6%, and 8% increased risk of all-cause, cardiopulmonary, and lung cancer mortality, respectively. Measures of coarse particle fraction and total suspended particles were not consistently associated with mortality.|Long-term exposure to combustion-related fine particulate air pollution is an important environmental risk factor for cardiopulmonary and lung cancer mortality.","author":[{"dropping-particle":"","family":"Pope","given":"C A","non-dropping-particle":"","parse-names":false,"suffix":""},{"dropping-particle":"","family":"Burnett","given":"R T","non-dropping-particle":"","parse-names":false,"suffix":""},{"dropping-particle":"","family":"Thun","given":"M J","non-dropping-particle":"","parse-names":false,"suffix":""},{"dropping-particle":"","family":"Calle","given":"E E","non-dropping-particle":"","parse-names":false,"suffix":""},{"dropping-particle":"","family":"Krewski","given":"D","non-dropping-particle":"","parse-names":false,"suffix":""},{"dropping-particle":"","family":"Ito","given":"K","non-dropping-particle":"","parse-names":false,"suffix":""},{"dropping-particle":"","family":"Thurston","given":"G D","non-dropping-particle":"","parse-names":false,"suffix":""}],"container-title":"JAMA","id":"ITEM-3","issue":"9","issued":{"date-parts":[["2002"]]},"page":"1132-1141","title":"Lung cancer, cardiopulmonary mortality, and long-term exposure to fine particulate air pollution","type":"article-journal","volume":"287"},"uris":["http://www.mendeley.com/documents/?uuid=b31c15ae-69f4-47a3-a0ec-5ab841e98c2f"]},{"id":"ITEM-4","itemData":{"DOI":"10.1186/1476-069X-12-43","ISBN":"10.1186/1476-069X-12-43","ISSN":"1476-069X","PMID":"23714370","abstract":"Current day concentrations of ambient air pollution have been associated with a range of adverse health effects, particularly mortality and morbidity due to cardiovascular and respiratory diseases. In this review, we summarize the evidence from epidemiological studies on long-term exposure to fine and coarse particles, nitrogen dioxide (NO2) and elemental carbon on mortality from all-causes, cardiovascular disease and respiratory disease. We also summarize the findings on potentially susceptible subgroups across studies. We identified studies through a search in the databases Medline and Scopus and previous reviews until January 2013 and performed a meta-analysis if more than five studies were available for the same exposure metric.","author":[{"dropping-particle":"","family":"Hoek","given":"Gerard","non-dropping-particle":"","parse-names":false,"suffix":""},{"dropping-particle":"","family":"Krishnan","given":"Ranjini M","non-dropping-particle":"","parse-names":false,"suffix":""},{"dropping-particle":"","family":"Beelen","given":"Rob","non-dropping-particle":"","parse-names":false,"suffix":""},{"dropping-particle":"","family":"Peters","given":"Annette","non-dropping-particle":"","parse-names":false,"suffix":""},{"dropping-particle":"","family":"Ostro","given":"Bart","non-dropping-particle":"","parse-names":false,"suffix":""},{"dropping-particle":"","family":"Brunekreef","given":"Bert","non-dropping-particle":"","parse-names":false,"suffix":""},{"dropping-particle":"","family":"Kaufman","given":"Joel D","non-dropping-particle":"","parse-names":false,"suffix":""}],"container-title":"Environmental Health","id":"ITEM-4","issue":"1","issued":{"date-parts":[["2013"]]},"page":"43","title":"Long-term air pollution exposure and cardio- respiratory mortality: a review","type":"article-journal","volume":"12"},"uris":["http://www.mendeley.com/documents/?uuid=651a36da-7c9e-4490-ac41-d15f32ea9a18"]},{"id":"ITEM-5","itemData":{"DOI":"10.1056/NEJM199312093292401","ISBN":"0028-4793","ISSN":"0028-4793","PMID":"8179653","abstract":"BACKGROUND: Recent studies have reported associations between particulate air pollution and daily mortality rates. Population-based, cross-sectional studies of metropolitan areas in the United States have also found associations between particulate air pollution and annual mortality rates, but these studies have been criticized, in part because they did not directly control for cigarette smoking and other health risks. METHODS: In this prospective cohort study, we estimated the effects of air pollution on mortality, while controlling for individual risk factors. Survival analysis, including Cox proportional-hazards regression modeling, was conducted with data from a 14-to-16-year mortality follow-up of 8111 adults in six U.S. cities. RESULTS: Mortality rates were most strongly associated with cigarette smoking. After adjusting for smoking and other risk factors, we observed statistically significant and robust associations between air pollution and mortality. The adjusted mortality-rate ratio for the most polluted of the cities as compared with the least polluted was 1.26 (95 percent confidence interval, 1.08 to 1.47). Air pollution was positively associated with death from lung cancer and cardiopulmonary disease but not with death from other causes considered together. Mortality was most strongly associated with air pollution with fine particulates, including sulfates. CONCLUSIONS: Although the effects of other, unmeasured risk factors cannot be excluded with certainty, these results suggest that fine-particulate air pollution, or a more complex pollution mixture associated with fine particulate matter, contributes to excess mortality in certain U.S. cities.","author":[{"dropping-particle":"","family":"Dockery","given":"Douglas W.","non-dropping-particle":"","parse-names":false,"suffix":""},{"dropping-particle":"","family":"Pope","given":"C. Arden","non-dropping-particle":"","parse-names":false,"suffix":""},{"dropping-particle":"","family":"Xu","given":"Xiping","non-dropping-particle":"","parse-names":false,"suffix":""},{"dropping-particle":"","family":"Spengler","given":"John D.","non-dropping-particle":"","parse-names":false,"suffix":""},{"dropping-particle":"","family":"Ware","given":"James H.","non-dropping-particle":"","parse-names":false,"suffix":""},{"dropping-particle":"","family":"Fay","given":"Martha E.","non-dropping-particle":"","parse-names":false,"suffix":""},{"dropping-particle":"","family":"Ferris","given":"B G","non-dropping-particle":"","parse-names":false,"suffix":""},{"dropping-particle":"","family":"Speizer","given":"Frank E.","non-dropping-particle":"","parse-names":false,"suffix":""}],"container-title":"The New England Journal of Medicine","id":"ITEM-5","issue":"24","issued":{"date-parts":[["1993"]]},"page":"1753-9","title":"An association between air pollution and mortality in six U.S. cities.","type":"article-journal","volume":"329"},"uris":["http://www.mendeley.com/documents/?uuid=e1ea4bb9-92c7-4b5c-ba00-fe8a5e599f10"]},{"id":"ITEM-6","itemData":{"DOI":"00001648-200501000-00009 [pii]","ISBN":"1044-3983 (Print)\\n1044-3983 (Linking)","ISSN":"10443983 (ISSN)","PMID":"15613946","abstract":"BACKGROUND: Time-series analyses have been used for decades to investigate time-varying environmental exposures. Recently, the case-crossover design has been applied to assess acute effects of air pollution. Our objective was to compare time-series and case-crossover analyses using varying referent periods (ie, unidirectional, ambidirectional, and time-stratified). METHODS: We examined the association between temperature and cardiorespiratory mortality among the elderly population in the 20 largest metropolitan areas of the United States. Risks were estimated by season and geographic region in 1992. We obtained weather data from the National Climatic Data Center and mortality data from the Division of Vital Statistics. Conditional logistic regression (case-crossover) and Poisson regression (time-series) were used to estimate the increased risk of cardiorespiratory mortality associated with a 10 degrees F increase in daily temperature, accounting for dew-point temperature and other potential confounding factors. RESULTS: In the time-stratified case-crossover analysis, the strongest associations were found in the summer; in the Southwest, Southeast, Northwest, Northeast, and Midwest, the odds ratios were 1.15 (95% confidence interval=1.07-1.24), 1.10 (0.96-1.27), 1.08 (0.92-1.26), 1.08 (1.02-1.15), and 1.01 (0.92-1.11), respectively. Mostly null or negative associations were found in the winter, spring, and fall. The ambidirectional case-crossover and the time-series analyses produced quantitatively similar results to those from the time-stratified analysis. The unidirectional analysis produced conflicting results. CONCLUSIONS: Inferences from studies of weather and mortality using the ambidirectional or time-stratified case-crossover approaches and the time-series analyses are comparable and provide consistent findings in this study.","author":[{"dropping-particle":"","family":"Basu","given":"R","non-dropping-particle":"","parse-names":false,"suffix":""},{"dropping-particle":"","family":"Dominici","given":"F","non-dropping-particle":"","parse-names":false,"suffix":""},{"dropping-particle":"","family":"Samet","given":"J M","non-dropping-particle":"","parse-names":false,"suffix":""}],"container-title":"Epidemiology","id":"ITEM-6","issue":"1","issued":{"date-parts":[["2005"]]},"page":"58-66","title":"Temperature and mortality among the elderly in the United States: a comparison of epidemiologic methods","type":"article-journal","volume":"16"},"uris":["http://www.mendeley.com/documents/?uuid=e6719697-9836-471b-af4d-39f251c6613a"]},{"id":"ITEM-7","itemData":{"DOI":"10.1093/aje/155.1.80","ISBN":"0002-9262 (Print)\\r0002-9262 (Linking)","ISSN":"00029262","PMID":"11772788","abstract":"Episodes of extremely hot or cold temperatures are associated with increased mortality. Time-series analyses show an association between temperature and mortality across a range of less extreme temperatures. In this paper, the authors describe the temperature-mortality association for 11 large eastern US cities in 1973-1994 by estimating the relative risks of mortality using log-linear regression analysis for time-series data and by exploring city characteristics associated with variations in this temperature-mortality relation. Current and recent days' temperatures were the weather components most strongly predictive of mortality, and mortality risk generally decreased as temperature increased from the coldest days to a certain threshold temperature, which varied by latitude, above which mortality risk increased as temperature increased. The authors also found a strong association of the temperature-mortality relation with latitude, with a greater effect of colder temperatures on mortality risk in more-southern cities and of warmer temperatures in more-northern cities. The percentage of households with air conditioners in the south and heaters in the north, which serve as indicators of socioeconomic status of the city population, also predicted weather-related mortality. The model developed in this analysis is potentially useful for projecting the consequences of climate-change scenarios and offering insights into susceptibility to the adverse effects of weather.","author":[{"dropping-particle":"","family":"Curriero","given":"Frank C.","non-dropping-particle":"","parse-names":false,"suffix":""},{"dropping-particle":"","family":"Heiner","given":"Karlyn S.","non-dropping-particle":"","parse-names":false,"suffix":""},{"dropping-particle":"","family":"Samet","given":"Jonathan M.","non-dropping-particle":"","parse-names":false,"suffix":""},{"dropping-particle":"","family":"Zeger","given":"Scott L.","non-dropping-particle":"","parse-names":false,"suffix":""},{"dropping-particle":"","family":"Strug","given":"Lisa","non-dropping-particle":"","parse-names":false,"suffix":""},{"dropping-particle":"","family":"Patz","given":"Jonathan A.","non-dropping-particle":"","parse-names":false,"suffix":""}],"container-title":"American Journal of Epidemiology","id":"ITEM-7","issue":"1","issued":{"date-parts":[["2002"]]},"page":"80-87","title":"Temperature and mortality in 11 cities of the eastern United States","type":"article-journal","volume":"155"},"uris":["http://www.mendeley.com/documents/?uuid=2330bb39-3b13-4067-856c-b559bd3212e2"]},{"id":"ITEM-8","itemData":{"DOI":"10.1016/S0140-6736(14)62114-0","ISBN":"1474-547X (Electronic)\\r0140-6736 (Linking)","ISSN":"1474547X","PMID":"26003380","abstract":"Background Although studies have provided estimates of premature deaths attributable to either heat or cold in selected countries, none has so far offered a systematic assessment across the whole temperature range in populations exposed to different climates. We aimed to quantify the total mortality burden attributable to non-optimum ambient temperature, and the relative contributions from heat and cold and from moderate and extreme temperatures. Methods We collected data for 384 locations in Australia, Brazil, Canada, China, Italy, Japan, South Korea, Spain, Sweden, Taiwan, Thailand, UK, and USA. We fitted a standard time-series Poisson model for each location, controlling for trends and day of the week. We estimated temperature-mortality associations with a distributed lag non-linear model with 21 days of lag, and then pooled them in a multivariate metaregression that included country indicators and temperature average and range. We calculated attributable deaths for heat and cold, defined as temperatures above and below the optimum temperature, which corresponded to the point of minimum mortality, and for moderate and extreme temperatures, defined using cutoffs at the 2·5th and 97·5th temperature percentiles. Findings We analysed 74 225 200 deaths in various periods between 1985 and 2012. In total, 7·71% (95% empirical CI 7·43-7·91) of mortality was attributable to non-optimum temperature in the selected countries within the study period, with substantial differences between countries, ranging from 3·37% (3·06 to 3·63) in Thailand to 11·00% (9·29 to 12·47) in China. The temperature percentile of minimum mortality varied from roughly the 60th percentile in tropical areas to about the 80-90th percentile in temperate regions. More temperature-attributable deaths were caused by cold (7·29%, 7·02-7·49) than by heat (0·42%, 0·39-0·44). Extreme cold and hot temperatures were responsible for 0·86% (0·84-0·87) of total mortality. Interpretation Most of the temperature-related mortality burden was attributable to the contribution of cold. The effect of days of extreme temperature was substantially less than that attributable to milder but non-optimum weather. This evidence has important implications for the planning of public-health interventions to minimise the health consequences of adverse temperatures, and for predictions of future effect in climate-change scenarios. Funding UK Medical Research Council.","author":[{"dropping-particle":"","family":"Gasparrini","given":"Antonio","non-dropping-particle":"","parse-names":false,"suffix":""},{"dropping-particle":"","family":"Guo","given":"Yuming","non-dropping-particle":"","parse-names":false,"suffix":""},{"dropping-particle":"","family":"Hashizume","given":"Masahiro","non-dropping-particle":"","parse-names":false,"suffix":""},{"dropping-particle":"","family":"Lavigne","given":"Eric","non-dropping-particle":"","parse-names":false,"suffix":""},{"dropping-particle":"","family":"Zanobetti","given":"Antonella","non-dropping-particle":"","parse-names":false,"suffix":""},{"dropping-particle":"","family":"Schwartz","given":"Joel","non-dropping-particle":"","parse-names":false,"suffix":""},{"dropping-particle":"","family":"Tobias","given":"Aurelio","non-dropping-particle":"","parse-names":false,"suffix":""},{"dropping-particle":"","family":"Tong","given":"Shilu","non-dropping-particle":"","parse-names":false,"suffix":""},{"dropping-particle":"","family":"Rocklöv","given":"Joacim","non-dropping-particle":"","parse-names":false,"suffix":""},{"dropping-particle":"","family":"Forsberg","given":"Bertil","non-dropping-particle":"","parse-names":false,"suffix":""},{"dropping-particle":"","family":"Leone","given":"Michela","non-dropping-particle":"","parse-names":false,"suffix":""},{"dropping-particle":"","family":"Sario","given":"Manuela","non-dropping-particle":"De","parse-names":false,"suffix":""},{"dropping-particle":"","family":"Bell","given":"Michelle L.","non-dropping-particle":"","parse-names":false,"suffix":""},{"dropping-particle":"","family":"Guo","given":"Yue Liang Leon","non-dropping-particle":"","parse-names":false,"suffix":""},{"dropping-particle":"","family":"Wu","given":"Chang Fu","non-dropping-particle":"","parse-names":false,"suffix":""},{"dropping-particle":"","family":"Kan","given":"Haidong","non-dropping-particle":"","parse-names":false,"suffix":""},{"dropping-particle":"","family":"Yi","given":"Seung Muk","non-dropping-particle":"","parse-names":false,"suffix":""},{"dropping-particle":"","family":"Sousa Zanotti Stagliorio Coelho","given":"Micheline","non-dropping-particle":"De","parse-names":false,"suffix":""},{"dropping-particle":"","family":"Saldiva","given":"Paulo Hilario Nascimento","non-dropping-particle":"","parse-names":false,"suffix":""},{"dropping-particle":"","family":"Honda","given":"Yasushi","non-dropping-particle":"","parse-names":false,"suffix":""},{"dropping-particle":"","family":"Kim","given":"Ho","non-dropping-particle":"","parse-names":false,"suffix":""},{"dropping-particle":"","family":"Armstrong","given":"Ben","non-dropping-particle":"","parse-names":false,"suffix":""}],"container-title":"The Lancet","id":"ITEM-8","issue":"9991","issued":{"date-parts":[["2015"]]},"page":"369-375","title":"Mortality risk attributable to high and low ambient temperature: A multicountry observational study","type":"article-journal","volume":"386"},"uris":["http://www.mendeley.com/documents/?uuid=ec2ac118-d8e9-4d29-9116-d43210b3e1ca"]},{"id":"ITEM-9","itemData":{"DOI":"10.1289/ehp.02110859","ISBN":"0091-6765 (Print)\\r0091-6765 (Linking)","ISSN":"00916765","PMID":"12204818","abstract":"We carried out time-series analyses in 12 U.S. cities to estimate both the acute effects and the lagged influence of weather on respiratory and cardiovascular disease (CVD) deaths. We fit generalized additive Poisson regressions for each city using nonparametric smooth functions to control for long time trend, season, and barometric pressure. We also controlled for day of the week. We estimated the effect and the lag structure of both temperature and humidity based on a distributed lag model. In cold cities, both high and low temperatures were associated with increased CVD deaths. In general, the effect of cold temperatures persisted for days, whereas the effect of high temperatures was restricted to the day of the death or the day before. For myocardial infarctions (MI), the effect of hot days was twice as large as the cold-day effect, whereas for all CVD deaths the hot-day effect was five times smaller than the cold-day effect. The effect of hot days included some harvesting, because we observed a deficit of deaths a few days later, which we did not observe for the cold-day effect. In hot cities, neither hot nor cold temperatures had much effect on CVD or pneumonia deaths. However, for MI and chronic obstructive pulmonary disease deaths, we observed lagged effects of hot temperatures (lags 4-6 and lags 3 and 4, respectively). We saw no clear pattern for the effect of humidity. In hierarchical models, greater variance of summer and winter temperature was associated with larger effects for hot and cold days, respectively, on respiratory deaths.","author":[{"dropping-particle":"","family":"Braga","given":"Alfésio L.F.","non-dropping-particle":"","parse-names":false,"suffix":""},{"dropping-particle":"","family":"Zanobetti","given":"Antonella","non-dropping-particle":"","parse-names":false,"suffix":""},{"dropping-particle":"","family":"Schwartz","given":"Joel","non-dropping-particle":"","parse-names":false,"suffix":""}],"container-title":"Environmental Health Perspectives","id":"ITEM-9","issue":"9","issued":{"date-parts":[["2002"]]},"page":"859-863","title":"The effect of weather on respiratory and cardiovascular deaths in 12 U.S. cities","type":"article-journal","volume":"110"},"uris":["http://www.mendeley.com/documents/?uuid=3e710881-527a-42d3-bc7e-34c21f9cc47e"]},{"id":"ITEM-10","itemData":{"DOI":"10.1093/epirev/mxf007","ISBN":"0193-936X","ISSN":"0193936X","PMID":"12762092","abstract":"%Z %+ %^","author":[{"dropping-particle":"","family":"Basu","given":"R","non-dropping-particle":"","parse-names":false,"suffix":""},{"dropping-particle":"","family":"Samet","given":"Jonathan M.","non-dropping-particle":"","parse-names":false,"suffix":""}],"container-title":"Epidemiologic Reviews","id":"ITEM-10","issue":"2","issued":{"date-parts":[["2002"]]},"page":"190-202","title":"Relation between elevated ambient temperature and mortality: A review of the epidemiologic evidence","type":"article","volume":"24"},"uris":["http://www.mendeley.com/documents/?uuid=8c8cd126-6856-41d0-9232-6508902ee696"]}],"mendeley":{"formattedCitation":"(Basu, 2009; Basu, Dominici, &amp; Samet, 2005; Basu &amp; Samet, 2002; Bennett, Blangiardo, Fecht, Elliott, &amp; Ezzati, 2014; Braga, Zanobetti, &amp; Schwartz, 2002; Curriero et al., 2002; Dockery et al., 1993; Gasparrini et al., 2015; Hoek et al., 2013; Pope et al., 2002)","plainTextFormattedCitation":"(Basu, 2009; Basu, Dominici, &amp; Samet, 2005; Basu &amp; Samet, 2002; Bennett, Blangiardo, Fecht, Elliott, &amp; Ezzati, 2014; Braga, Zanobetti, &amp; Schwartz, 2002; Curriero et al., 2002; Dockery et al., 1993; Gasparrini et al., 2015; Hoek et al., 2013; Pope et al., 2002)","previouslyFormattedCitation":"(Basu, 2009; Basu, Dominici, &amp; Samet, 2005; Basu &amp; Samet, 2002; Bennett, Blangiardo, Fecht, Elliott, &amp; Ezzati, 2014; Braga, Zanobetti, &amp; Schwartz, 2002; Curriero et al., 2002; Dockery et al., 1993; Gasparrini et al., 2015; Hoek et al., 2013; Pope et al., 2002)"},"properties":{"noteIndex":0},"schema":"https://github.com/citation-style-language/schema/raw/master/csl-citation.json"}</w:instrText>
      </w:r>
      <w:r w:rsidR="00062E05">
        <w:rPr>
          <w:bCs/>
        </w:rPr>
        <w:fldChar w:fldCharType="separate"/>
      </w:r>
      <w:r w:rsidR="00B52BFB" w:rsidRPr="00B52BFB">
        <w:rPr>
          <w:bCs/>
          <w:noProof/>
        </w:rPr>
        <w:t>(Basu, 2009; Basu, Dominici, &amp; Samet, 2005; Basu &amp; Samet, 2002; Bennett, Blangiardo, Fecht, Elliott, &amp; Ezzati, 2014; Braga, Zanobetti, &amp; Schwartz, 2002; Curriero et al., 2002; Dockery et al., 1993; Gasparrini et al., 2015; Hoek et al., 2013; Pope et al., 2002)</w:t>
      </w:r>
      <w:r w:rsidR="00062E05">
        <w:rPr>
          <w:bCs/>
        </w:rPr>
        <w:fldChar w:fldCharType="end"/>
      </w:r>
      <w:r w:rsidR="007E0D70">
        <w:rPr>
          <w:bCs/>
        </w:rPr>
        <w:t xml:space="preserve">, possibly because of </w:t>
      </w:r>
      <w:r w:rsidR="00224D88">
        <w:rPr>
          <w:bCs/>
        </w:rPr>
        <w:t xml:space="preserve">their </w:t>
      </w:r>
      <w:r w:rsidR="007E0D70">
        <w:rPr>
          <w:bCs/>
        </w:rPr>
        <w:t xml:space="preserve">shared aetiology (e.g., death from </w:t>
      </w:r>
      <w:proofErr w:type="spellStart"/>
      <w:r w:rsidR="007E0D70" w:rsidRPr="00CD71BB">
        <w:rPr>
          <w:bCs/>
        </w:rPr>
        <w:t>cor</w:t>
      </w:r>
      <w:proofErr w:type="spellEnd"/>
      <w:r w:rsidR="007E0D70" w:rsidRPr="00CD71BB">
        <w:rPr>
          <w:bCs/>
        </w:rPr>
        <w:t xml:space="preserve"> </w:t>
      </w:r>
      <w:proofErr w:type="spellStart"/>
      <w:r w:rsidR="007E0D70" w:rsidRPr="00CD71BB">
        <w:rPr>
          <w:bCs/>
        </w:rPr>
        <w:t>pulmonale</w:t>
      </w:r>
      <w:proofErr w:type="spellEnd"/>
      <w:r w:rsidR="007E0D70">
        <w:rPr>
          <w:bCs/>
        </w:rPr>
        <w:t xml:space="preserve"> arising from COPD or death from pneumonia in patients with acute vascular events)</w:t>
      </w:r>
      <w:r w:rsidR="00224D88">
        <w:rPr>
          <w:bCs/>
        </w:rPr>
        <w:t xml:space="preserve"> and because </w:t>
      </w:r>
      <w:r w:rsidR="002A3DB9">
        <w:rPr>
          <w:bCs/>
        </w:rPr>
        <w:t xml:space="preserve">assignment of cause </w:t>
      </w:r>
      <w:r w:rsidR="00224D88">
        <w:rPr>
          <w:bCs/>
        </w:rPr>
        <w:t xml:space="preserve">of death </w:t>
      </w:r>
      <w:r w:rsidR="002A3DB9">
        <w:rPr>
          <w:bCs/>
        </w:rPr>
        <w:t xml:space="preserve">may use </w:t>
      </w:r>
      <w:r w:rsidR="00DF7D2C">
        <w:rPr>
          <w:bCs/>
        </w:rPr>
        <w:t>them</w:t>
      </w:r>
      <w:r w:rsidR="002A3DB9">
        <w:rPr>
          <w:bCs/>
        </w:rPr>
        <w:t xml:space="preserve"> interchangeably</w:t>
      </w:r>
      <w:r w:rsidR="00281C42">
        <w:rPr>
          <w:bCs/>
        </w:rPr>
        <w:t>.</w:t>
      </w:r>
      <w:r>
        <w:rPr>
          <w:bCs/>
        </w:rPr>
        <w:t xml:space="preserve"> We now present a third layer of disaggregation </w:t>
      </w:r>
      <w:r w:rsidR="007E0D70">
        <w:rPr>
          <w:bCs/>
        </w:rPr>
        <w:t>following the above suggestions (supplementary Figures XX</w:t>
      </w:r>
      <w:r w:rsidR="00C15D49">
        <w:rPr>
          <w:bCs/>
        </w:rPr>
        <w:t xml:space="preserve"> and</w:t>
      </w:r>
      <w:r w:rsidR="007E0D70">
        <w:rPr>
          <w:bCs/>
        </w:rPr>
        <w:t xml:space="preserve"> XX</w:t>
      </w:r>
      <w:r w:rsidR="00C15D49">
        <w:rPr>
          <w:bCs/>
        </w:rPr>
        <w:t xml:space="preserve">; </w:t>
      </w:r>
      <w:r w:rsidR="002A3DB9">
        <w:rPr>
          <w:bCs/>
        </w:rPr>
        <w:t>PP XX-XX</w:t>
      </w:r>
      <w:r w:rsidR="00C15D49">
        <w:rPr>
          <w:bCs/>
        </w:rPr>
        <w:t>, XX-XX and XX-XX</w:t>
      </w:r>
      <w:r w:rsidR="002A3DB9">
        <w:rPr>
          <w:bCs/>
        </w:rPr>
        <w:t>).</w:t>
      </w:r>
      <w:r w:rsidR="007E0D70">
        <w:rPr>
          <w:bCs/>
        </w:rPr>
        <w:t xml:space="preserve">  </w:t>
      </w:r>
    </w:p>
    <w:p w14:paraId="6E3B2D86" w14:textId="77777777" w:rsidR="00727652" w:rsidRDefault="00727652" w:rsidP="00E61AB2">
      <w:pPr>
        <w:pStyle w:val="BodyText"/>
        <w:spacing w:after="0" w:line="240" w:lineRule="auto"/>
        <w:rPr>
          <w:bCs/>
        </w:rPr>
      </w:pPr>
    </w:p>
    <w:p w14:paraId="13E3ECC6" w14:textId="77777777" w:rsidR="00B11CF3" w:rsidRPr="00B11CF3" w:rsidRDefault="00B11CF3" w:rsidP="00E61AB2">
      <w:pPr>
        <w:pStyle w:val="BodyText"/>
        <w:spacing w:after="0" w:line="240" w:lineRule="auto"/>
        <w:rPr>
          <w:b/>
          <w:bCs/>
        </w:rPr>
      </w:pPr>
      <w:r w:rsidRPr="00B11CF3">
        <w:rPr>
          <w:b/>
          <w:bCs/>
        </w:rPr>
        <w:t xml:space="preserve">2) The authors pointed out in the introduction that global warming may impact on excess cold weather death rates. Presumably a major part of the rationale for testing the differences in regions overtime was to help inform our understanding of what the impact may be. However no conclusions were reached with regard to the implications of the findings. Clearly any such conclusions would need to be appropriately and heavily caveated but as this is a major reason for the analysis. Please expand the Discussion to include these points. </w:t>
      </w:r>
    </w:p>
    <w:p w14:paraId="29FF3449" w14:textId="4CA2ACF9" w:rsidR="00B11CF3" w:rsidRPr="00BD0E87" w:rsidRDefault="00B11CF3" w:rsidP="00E61AB2">
      <w:pPr>
        <w:pStyle w:val="BodyText"/>
        <w:spacing w:after="0" w:line="240" w:lineRule="auto"/>
        <w:rPr>
          <w:bCs/>
        </w:rPr>
      </w:pPr>
    </w:p>
    <w:p w14:paraId="17D29B49" w14:textId="174D9236" w:rsidR="00116830" w:rsidRPr="00BD0E87" w:rsidRDefault="00BD0E87" w:rsidP="00E61AB2">
      <w:pPr>
        <w:pStyle w:val="BodyText"/>
        <w:spacing w:after="0" w:line="240" w:lineRule="auto"/>
        <w:rPr>
          <w:bCs/>
        </w:rPr>
      </w:pPr>
      <w:r w:rsidRPr="00BD0E87">
        <w:rPr>
          <w:bCs/>
        </w:rPr>
        <w:t xml:space="preserve">To </w:t>
      </w:r>
      <w:r>
        <w:rPr>
          <w:bCs/>
        </w:rPr>
        <w:t xml:space="preserve">quantitatively analyse the potential implications of global climate change, one would need to formally incorporate temperature in the analysis which would involve a distinct analytical framework and presentation. As correctly pointed out in this comment, the current analysis </w:t>
      </w:r>
      <w:r>
        <w:rPr>
          <w:bCs/>
        </w:rPr>
        <w:lastRenderedPageBreak/>
        <w:t xml:space="preserve">can nonetheless provide qualitative insights into such effects, which we have now discussed with appropriate caveats </w:t>
      </w:r>
      <w:r w:rsidR="00EA4A0E">
        <w:rPr>
          <w:bCs/>
        </w:rPr>
        <w:t>(PP XX-XX)</w:t>
      </w:r>
      <w:r>
        <w:rPr>
          <w:bCs/>
        </w:rPr>
        <w:t>.</w:t>
      </w:r>
    </w:p>
    <w:p w14:paraId="245CA9D7" w14:textId="77777777" w:rsidR="00116830" w:rsidRPr="00BD0E87" w:rsidRDefault="00116830" w:rsidP="00E61AB2">
      <w:pPr>
        <w:pStyle w:val="BodyText"/>
        <w:spacing w:after="0" w:line="240" w:lineRule="auto"/>
        <w:rPr>
          <w:bCs/>
        </w:rPr>
      </w:pPr>
    </w:p>
    <w:p w14:paraId="3E858B84" w14:textId="77777777" w:rsidR="00B11CF3" w:rsidRPr="00B11CF3" w:rsidRDefault="00B11CF3" w:rsidP="00E61AB2">
      <w:pPr>
        <w:pStyle w:val="BodyText"/>
        <w:spacing w:after="0" w:line="240" w:lineRule="auto"/>
        <w:rPr>
          <w:b/>
          <w:bCs/>
        </w:rPr>
      </w:pPr>
      <w:r w:rsidRPr="00B11CF3">
        <w:rPr>
          <w:b/>
          <w:bCs/>
        </w:rPr>
        <w:t xml:space="preserve">3) Methodology: </w:t>
      </w:r>
    </w:p>
    <w:p w14:paraId="24462D3B" w14:textId="77777777" w:rsidR="00B11CF3" w:rsidRPr="00B11CF3" w:rsidRDefault="00B11CF3" w:rsidP="00E61AB2">
      <w:pPr>
        <w:pStyle w:val="BodyText"/>
        <w:spacing w:after="0" w:line="240" w:lineRule="auto"/>
        <w:rPr>
          <w:b/>
          <w:bCs/>
        </w:rPr>
      </w:pPr>
    </w:p>
    <w:p w14:paraId="0737D51D" w14:textId="395DA3C9" w:rsidR="00B11CF3" w:rsidRPr="00B11CF3" w:rsidRDefault="00B11CF3" w:rsidP="00E61AB2">
      <w:pPr>
        <w:pStyle w:val="BodyText"/>
        <w:spacing w:after="0" w:line="240" w:lineRule="auto"/>
        <w:rPr>
          <w:b/>
          <w:bCs/>
        </w:rPr>
      </w:pPr>
      <w:r w:rsidRPr="00B11CF3">
        <w:rPr>
          <w:b/>
          <w:bCs/>
        </w:rPr>
        <w:t xml:space="preserve">A) Wavelet power spectra are not always easy to interpret, and the uncertainty in estimated wavelet coefficients is difficult to quantify. The wavelet analysis makes for an interesting exploratory tool, showing that for the most part cycles have a duration of 12 months and are reasonably stable over time. It does not seem possible to draw firm conclusions about the research hypothesis using wavelets, however. All cause male mortality for 15-24 year olds appears to be less cyclical in recent years, although how to quantify this effect and assign a statistical significance to it is not apparent from the power spectrum shown. </w:t>
      </w:r>
    </w:p>
    <w:p w14:paraId="7D8D0D46" w14:textId="6DF93316" w:rsidR="00D02BB5" w:rsidRDefault="00D02BB5" w:rsidP="00E61AB2">
      <w:pPr>
        <w:rPr>
          <w:bCs/>
        </w:rPr>
      </w:pPr>
    </w:p>
    <w:p w14:paraId="28CA4EF5" w14:textId="4BF8F31D" w:rsidR="000668FF" w:rsidRDefault="00EA4A0E" w:rsidP="00E61AB2">
      <w:pPr>
        <w:rPr>
          <w:bCs/>
        </w:rPr>
      </w:pPr>
      <w:r>
        <w:rPr>
          <w:bCs/>
        </w:rPr>
        <w:t xml:space="preserve">Wavelet analysis is a formal analytical framework that can </w:t>
      </w:r>
      <w:r w:rsidR="00B06581">
        <w:rPr>
          <w:bCs/>
        </w:rPr>
        <w:t>provide</w:t>
      </w:r>
      <w:r>
        <w:rPr>
          <w:bCs/>
        </w:rPr>
        <w:t xml:space="preserve"> quantitative conclusions</w:t>
      </w:r>
      <w:r w:rsidR="0076160A">
        <w:rPr>
          <w:bCs/>
        </w:rPr>
        <w:t xml:space="preserve"> </w:t>
      </w:r>
      <w:r w:rsidR="00627F9F">
        <w:rPr>
          <w:bCs/>
        </w:rPr>
        <w:fldChar w:fldCharType="begin" w:fldLock="1"/>
      </w:r>
      <w:r w:rsidR="00707D8D">
        <w:rPr>
          <w:bCs/>
        </w:rPr>
        <w:instrText>ADDIN CSL_CITATION {"citationItems":[{"id":"ITEM-1","itemData":{"ISBN":"1-56881-047-4","abstract":"This best-selling book introduces a broad audience including scientists and engineers working in a variety of fields as well as mathematicians from other subspecialties to one of the most active new areas of applied mathematics and the story of its discovery and development. Organized in \"hypertext fashion\", the book tells a story of scientific discovery with separate brief entries for technical terms and explicit appendices in a section called \"Beyond Plain English\".","author":[{"dropping-particle":"","family":"Hubbard","given":"Barbara Burke","non-dropping-particle":"","parse-names":false,"suffix":""}],"container-title":"NOTICES OF THE AMS","id":"ITEM-1","issued":{"date-parts":[["1996"]]},"title":"The world according to wavelets: the story of a mathematical technique in the making","type":"book"},"uris":["http://www.mendeley.com/documents/?uuid=c0318730-63cb-4808-bc08-757d8c45d2b1"]},{"id":"ITEM-2","itemData":{"DOI":"10.1175/1520-0477(1998)079&lt;0061:APGTWA&gt;2.0.CO;2","ISBN":"0871706881","ISSN":"00030007","PMID":"21229804","abstract":"A practical step-by-step guide to wavelet analysis is given, with examples taken from time series of the El Niño–Southern Oscillation (ENSO). The guide includes a comparison to the windowed Fourier transform, the choice of an appropriate wavelet basis function, edge effects due to finite-length time series, and the relationship between wavelet scale and Fourier frequency. New statistical significance tests for wavelet power spectra are developed by deriving theoretical wavelet spectra for white and red noise processes and using these to establish significance levels and confidence intervals. It is shown that smoothing in time or scale can be used to increase the confidence of the wavelet spectrum. Empirical formulas are given for the effect of smoothing on significance levels and confidence intervals. Extensions to wavelet analysis such as filtering, the power Hovmöller, cross-wavelet spectra, and coherence are described. The statistical significance tests are used to give a quantitative measure of changes in ENSO variance on interdecadal timescales. Using new datasets that extend back to 1871, the Niño3 sea surface temperature and the Southern Oscillation index show significantly higher power during 1880–1920 and 1960–90, and lower power during 1920–60, as well as a possible 15-yr modulation of variance. The power Hovmöller of sea level pressure shows significant variations in 2–8-yr wavelet power in both longitude and time.","author":[{"dropping-particle":"","family":"Torrence","given":"Christopher","non-dropping-particle":"","parse-names":false,"suffix":""},{"dropping-particle":"","family":"Compo","given":"Gilbert P.","non-dropping-particle":"","parse-names":false,"suffix":""}],"container-title":"Bulletin of the American Meteorological Society","id":"ITEM-2","issued":{"date-parts":[["1998"]]},"title":"A Practical Guide to Wavelet Analysis","type":"article-journal"},"uris":["http://www.mendeley.com/documents/?uuid=01ea8ad1-904b-46e4-a3e4-6cbc5d8756a0"]}],"mendeley":{"formattedCitation":"(Hubbard, 1996; Torrence &amp; Compo, 1998)","plainTextFormattedCitation":"(Hubbard, 1996; Torrence &amp; Compo, 1998)","previouslyFormattedCitation":"(Hubbard, 1996; Torrence &amp; Compo, 1998)"},"properties":{"noteIndex":0},"schema":"https://github.com/citation-style-language/schema/raw/master/csl-citation.json"}</w:instrText>
      </w:r>
      <w:r w:rsidR="00627F9F">
        <w:rPr>
          <w:bCs/>
        </w:rPr>
        <w:fldChar w:fldCharType="separate"/>
      </w:r>
      <w:r w:rsidR="007009AA" w:rsidRPr="007009AA">
        <w:rPr>
          <w:bCs/>
          <w:noProof/>
        </w:rPr>
        <w:t>(Hubbard, 1996; Torrence &amp; Compo, 1998)</w:t>
      </w:r>
      <w:r w:rsidR="00627F9F">
        <w:rPr>
          <w:bCs/>
        </w:rPr>
        <w:fldChar w:fldCharType="end"/>
      </w:r>
      <w:r>
        <w:rPr>
          <w:bCs/>
        </w:rPr>
        <w:t xml:space="preserve">, and has been applied </w:t>
      </w:r>
      <w:r w:rsidR="00197613">
        <w:rPr>
          <w:bCs/>
        </w:rPr>
        <w:t xml:space="preserve">in different areas of health and the environment, for example </w:t>
      </w:r>
      <w:r w:rsidR="00C30F67">
        <w:rPr>
          <w:bCs/>
        </w:rPr>
        <w:t>measles epidemics</w:t>
      </w:r>
      <w:r>
        <w:rPr>
          <w:bCs/>
        </w:rPr>
        <w:t xml:space="preserve"> and </w:t>
      </w:r>
      <w:r w:rsidR="00C07823">
        <w:rPr>
          <w:bCs/>
        </w:rPr>
        <w:t>El Niño oscillations</w:t>
      </w:r>
      <w:r w:rsidR="00197613">
        <w:rPr>
          <w:bCs/>
        </w:rPr>
        <w:t>,</w:t>
      </w:r>
      <w:r w:rsidR="00C07823">
        <w:rPr>
          <w:bCs/>
        </w:rPr>
        <w:t xml:space="preserve"> </w:t>
      </w:r>
      <w:r w:rsidR="00B06581">
        <w:rPr>
          <w:bCs/>
        </w:rPr>
        <w:t>to quantitatively characterise their seasonality including</w:t>
      </w:r>
      <w:r>
        <w:rPr>
          <w:bCs/>
        </w:rPr>
        <w:t>.</w:t>
      </w:r>
      <w:r w:rsidR="00766448">
        <w:rPr>
          <w:bCs/>
        </w:rPr>
        <w:fldChar w:fldCharType="begin" w:fldLock="1"/>
      </w:r>
      <w:r w:rsidR="00627F9F">
        <w:rPr>
          <w:bCs/>
        </w:rPr>
        <w:instrText>ADDIN CSL_CITATION {"citationItems":[{"id":"ITEM-1","itemData":{"DOI":"10.1038/414716a","ISBN":"0028-0836","ISSN":"00280836","PMID":"11742391","abstract":"Spatio-temporal travelling waves are striking manifestations of predator-prey and host-parasite dynamics. However, few systems are well enough documented both to detect repeated waves and to explain their interaction with spatio-temporal variations in population structure and demography. Here, we demonstrate recurrent epidemic travelling waves in an exhaustive spatio-temporal data set for measles in England and Wales. We use wavelet phase analysis, which allows for dynamical non-stationarity--a complication in interpreting spatio-temporal patterns in these and many other ecological time series. In the pre-vaccination era, conspicuous hierarchical waves of infection moved regionally from large cities to small towns; the introduction of measles vaccination restricted but did not eliminate this hierarchical contagion. A mechanistic stochastic model suggests a dynamical explanation for the waves-spread via infective 'sparks' from large 'core' cities to smaller 'satellite' towns. Thus, the spatial hierarchy of host population structure is a prerequisite for these infection waves.","author":[{"dropping-particle":"","family":"Grenfell","given":"B. T.","non-dropping-particle":"","parse-names":false,"suffix":""},{"dropping-particle":"","family":"Bjørnstad","given":"O. N.","non-dropping-particle":"","parse-names":false,"suffix":""},{"dropping-particle":"","family":"Kappey","given":"J.","non-dropping-particle":"","parse-names":false,"suffix":""}],"container-title":"Nature","id":"ITEM-1","issue":"6865","issued":{"date-parts":[["2001"]]},"page":"716-723","title":"Travelling waves and spatial hierarchies in measles epidemics","type":"article-journal","volume":"414"},"uris":["http://www.mendeley.com/documents/?uuid=a83e09d1-1d49-4349-ba0e-7126e1caba90"]},{"id":"ITEM-2","itemData":{"DOI":"10.1038/nature01194","ISBN":"0028-0836","ISSN":"00280836","PMID":"12432388","abstract":"The variability of El Nin ̃o/Southern Oscillation (ENSO) during the Holocene epoch, in particular on millennial timescales, is poorly understood. Palaeoclimate studies have documented ENSO variability for selected intervals in the Holocene, but most records are either too short or insufficiently resolved to investigate variability on millennial scales 1–3 . Here we present a record of sedimentation in Laguna Pallcacocha, southern Ecuador, which is strongly influenced by ENSO variability, and covers the past 12,000 years continuously. We find that changes on a timescale of 2–8 years, which we attribute to warm ENSO events, become more frequent over the Holocene until about 1,200 years ago, and then decline towards the present. Periods of relatively high and low ENSO activity, alternating at a timescale of about 2,000 years, are superimposed on this long-term trend. We attribute the long-term trend to orbitally induced changes in insolation, and suggest internal ENSO dynamics as a possible cause of the millennial variability. However, the millennial oscil- lation will need to be confirmed in other ENSO proxy records.","author":[{"dropping-particle":"","family":"Moy","given":"Christopher M.","non-dropping-particle":"","parse-names":false,"suffix":""},{"dropping-particle":"","family":"Seltzer","given":"Geoffrey O.","non-dropping-particle":"","parse-names":false,"suffix":""},{"dropping-particle":"","family":"Rodbell","given":"Donald T.","non-dropping-particle":"","parse-names":false,"suffix":""},{"dropping-particle":"","family":"Anderson","given":"David M.","non-dropping-particle":"","parse-names":false,"suffix":""}],"container-title":"Nature","id":"ITEM-2","issue":"6912","issued":{"date-parts":[["2002"]]},"page":"162-165","title":"Variability of El Niño/Southern Oscillation activity at millennial timescales during the Holocene epoch","type":"article-journal","volume":"420"},"uris":["http://www.mendeley.com/documents/?uuid=7d5ba32f-935d-46a0-82d2-3b510f617cdd"]}],"mendeley":{"formattedCitation":"(Grenfell, Bjørnstad, &amp; Kappey, 2001; Moy, Seltzer, Rodbell, &amp; Anderson, 2002)","plainTextFormattedCitation":"(Grenfell, Bjørnstad, &amp; Kappey, 2001; Moy, Seltzer, Rodbell, &amp; Anderson, 2002)","previouslyFormattedCitation":"(Grenfell, Bjørnstad, &amp; Kappey, 2001; Moy, Seltzer, Rodbell, &amp; Anderson, 2002)"},"properties":{"noteIndex":0},"schema":"https://github.com/citation-style-language/schema/raw/master/csl-citation.json"}</w:instrText>
      </w:r>
      <w:r w:rsidR="00766448">
        <w:rPr>
          <w:bCs/>
        </w:rPr>
        <w:fldChar w:fldCharType="separate"/>
      </w:r>
      <w:r w:rsidR="00766448" w:rsidRPr="00766448">
        <w:rPr>
          <w:bCs/>
          <w:noProof/>
        </w:rPr>
        <w:t>(Grenfell, Bjørnstad, &amp; Kappey, 2001; Moy, Seltzer, Rodbell, &amp; Anderson, 2002)</w:t>
      </w:r>
      <w:r w:rsidR="00766448">
        <w:rPr>
          <w:bCs/>
        </w:rPr>
        <w:fldChar w:fldCharType="end"/>
      </w:r>
      <w:r w:rsidR="006C28FF">
        <w:rPr>
          <w:bCs/>
        </w:rPr>
        <w:t xml:space="preserve"> </w:t>
      </w:r>
      <w:r w:rsidR="000668FF">
        <w:rPr>
          <w:bCs/>
        </w:rPr>
        <w:t>A key</w:t>
      </w:r>
      <w:r w:rsidR="00BF5A90">
        <w:rPr>
          <w:bCs/>
        </w:rPr>
        <w:t xml:space="preserve"> advantage</w:t>
      </w:r>
      <w:r w:rsidR="000668FF">
        <w:rPr>
          <w:bCs/>
        </w:rPr>
        <w:t xml:space="preserve"> of wavelet analysis is that </w:t>
      </w:r>
      <w:r w:rsidR="00BF5A90">
        <w:rPr>
          <w:bCs/>
        </w:rPr>
        <w:t xml:space="preserve">it does not </w:t>
      </w:r>
      <w:r w:rsidR="00B10767">
        <w:rPr>
          <w:bCs/>
        </w:rPr>
        <w:t>assume</w:t>
      </w:r>
      <w:r w:rsidR="00D15548">
        <w:rPr>
          <w:bCs/>
        </w:rPr>
        <w:t xml:space="preserve"> </w:t>
      </w:r>
      <w:r w:rsidR="00BF5A90">
        <w:rPr>
          <w:bCs/>
        </w:rPr>
        <w:t>a stationary time series</w:t>
      </w:r>
      <w:r w:rsidR="000668FF">
        <w:rPr>
          <w:bCs/>
        </w:rPr>
        <w:t xml:space="preserve">, and hence can easily capture a decline/increase in or appearance/disappearance </w:t>
      </w:r>
      <w:r w:rsidR="000931A3">
        <w:rPr>
          <w:bCs/>
        </w:rPr>
        <w:t>of seasonality.</w:t>
      </w:r>
      <w:r w:rsidR="00357531">
        <w:rPr>
          <w:bCs/>
        </w:rPr>
        <w:t xml:space="preserve"> </w:t>
      </w:r>
      <w:r w:rsidR="000668FF">
        <w:rPr>
          <w:bCs/>
        </w:rPr>
        <w:t>To our knowledge, the uncertainty of wavelet spectra are also well-</w:t>
      </w:r>
      <w:commentRangeStart w:id="0"/>
      <w:r w:rsidR="000668FF">
        <w:rPr>
          <w:bCs/>
        </w:rPr>
        <w:t>characterised</w:t>
      </w:r>
      <w:commentRangeEnd w:id="0"/>
      <w:r w:rsidR="00197613">
        <w:rPr>
          <w:rStyle w:val="CommentReference"/>
        </w:rPr>
        <w:commentReference w:id="0"/>
      </w:r>
      <w:ins w:id="1" w:author="Parks, Robbie M" w:date="2018-07-23T15:40:00Z">
        <w:r w:rsidR="00E01D37">
          <w:rPr>
            <w:bCs/>
          </w:rPr>
          <w:t xml:space="preserve"> </w:t>
        </w:r>
        <w:r w:rsidR="00707D8D">
          <w:rPr>
            <w:bCs/>
          </w:rPr>
          <w:fldChar w:fldCharType="begin" w:fldLock="1"/>
        </w:r>
      </w:ins>
      <w:r w:rsidR="00707D8D">
        <w:rPr>
          <w:bCs/>
        </w:rPr>
        <w:instrText>ADDIN CSL_CITATION {"citationItems":[{"id":"ITEM-1","itemData":{"ISBN":"1-56881-047-4","abstract":"This best-selling book introduces a broad audience including scientists and engineers working in a variety of fields as well as mathematicians from other subspecialties to one of the most active new areas of applied mathematics and the story of its discovery and development. Organized in \"hypertext fashion\", the book tells a story of scientific discovery with separate brief entries for technical terms and explicit appendices in a section called \"Beyond Plain English\".","author":[{"dropping-particle":"","family":"Hubbard","given":"Barbara Burke","non-dropping-particle":"","parse-names":false,"suffix":""}],"container-title":"NOTICES OF THE AMS","id":"ITEM-1","issued":{"date-parts":[["1996"]]},"title":"The world according to wavelets: the story of a mathematical technique in the making","type":"book"},"uris":["http://www.mendeley.com/documents/?uuid=c0318730-63cb-4808-bc08-757d8c45d2b1"]}],"mendeley":{"formattedCitation":"(Hubbard, 1996)","plainTextFormattedCitation":"(Hubbard, 1996)"},"properties":{"noteIndex":0},"schema":"https://github.com/citation-style-language/schema/raw/master/csl-citation.json"}</w:instrText>
      </w:r>
      <w:r w:rsidR="00707D8D">
        <w:rPr>
          <w:bCs/>
        </w:rPr>
        <w:fldChar w:fldCharType="separate"/>
      </w:r>
      <w:r w:rsidR="00707D8D" w:rsidRPr="00707D8D">
        <w:rPr>
          <w:bCs/>
          <w:noProof/>
        </w:rPr>
        <w:t>(Hubbard, 1996)</w:t>
      </w:r>
      <w:ins w:id="2" w:author="Parks, Robbie M" w:date="2018-07-23T15:40:00Z">
        <w:r w:rsidR="00707D8D">
          <w:rPr>
            <w:bCs/>
          </w:rPr>
          <w:fldChar w:fldCharType="end"/>
        </w:r>
      </w:ins>
      <w:r w:rsidR="000668FF">
        <w:rPr>
          <w:bCs/>
        </w:rPr>
        <w:t xml:space="preserve">. </w:t>
      </w:r>
      <w:r w:rsidR="00E46374">
        <w:rPr>
          <w:bCs/>
        </w:rPr>
        <w:t>W</w:t>
      </w:r>
      <w:r w:rsidR="000668FF">
        <w:rPr>
          <w:bCs/>
        </w:rPr>
        <w:t>e follow wavelet analysis with a centre of gravity analysis</w:t>
      </w:r>
      <w:r w:rsidR="00E46374">
        <w:rPr>
          <w:bCs/>
        </w:rPr>
        <w:t xml:space="preserve"> to identify the months of maximum and minimum mortality (PP. XX-XX), and with a quantitative analysis of (percentage) difference in death rates from 1980 to 2016. </w:t>
      </w:r>
    </w:p>
    <w:p w14:paraId="33EE2505" w14:textId="77777777" w:rsidR="00C42B83" w:rsidRDefault="00C42B83" w:rsidP="00E61AB2">
      <w:pPr>
        <w:rPr>
          <w:bCs/>
        </w:rPr>
      </w:pPr>
    </w:p>
    <w:p w14:paraId="26FBB67D" w14:textId="4D62651C" w:rsidR="00C42B83" w:rsidRDefault="00C42B83" w:rsidP="00E61AB2">
      <w:pPr>
        <w:rPr>
          <w:bCs/>
        </w:rPr>
      </w:pPr>
      <w:r>
        <w:rPr>
          <w:bCs/>
        </w:rPr>
        <w:t>We note that even in standard statistical comparisons, p-values and statistical significance are not apparent from figures but are a part of the analysis.</w:t>
      </w:r>
      <w:ins w:id="3" w:author="Parks, Robbie M" w:date="2018-07-23T15:27:00Z">
        <w:r w:rsidR="00C13011">
          <w:rPr>
            <w:bCs/>
          </w:rPr>
          <w:t xml:space="preserve"> </w:t>
        </w:r>
      </w:ins>
      <w:ins w:id="4" w:author="Parks, Robbie M" w:date="2018-07-23T15:42:00Z">
        <w:r w:rsidR="009D0C05">
          <w:rPr>
            <w:bCs/>
          </w:rPr>
          <w:t xml:space="preserve">Though not evident from the figures </w:t>
        </w:r>
        <w:r w:rsidR="00696EE7">
          <w:rPr>
            <w:bCs/>
          </w:rPr>
          <w:t>alone</w:t>
        </w:r>
        <w:r w:rsidR="001F629A">
          <w:rPr>
            <w:bCs/>
          </w:rPr>
          <w:t xml:space="preserve"> </w:t>
        </w:r>
      </w:ins>
      <w:ins w:id="5" w:author="Parks, Robbie M" w:date="2018-07-23T15:27:00Z">
        <w:r w:rsidR="009D0C05">
          <w:rPr>
            <w:bCs/>
          </w:rPr>
          <w:t xml:space="preserve">(Figure 1 and Supplementary Figure XX), </w:t>
        </w:r>
        <w:r w:rsidR="00C13011">
          <w:rPr>
            <w:bCs/>
          </w:rPr>
          <w:t>we ha</w:t>
        </w:r>
        <w:r w:rsidR="00AD4C4B">
          <w:rPr>
            <w:bCs/>
          </w:rPr>
          <w:t>ve compared each resultant spectrum to a white noise spectrum</w:t>
        </w:r>
      </w:ins>
      <w:ins w:id="6" w:author="Parks, Robbie M" w:date="2018-07-23T15:32:00Z">
        <w:r w:rsidR="00E758BF">
          <w:rPr>
            <w:bCs/>
          </w:rPr>
          <w:t xml:space="preserve">, as discussed in the methods, to generate p-values and </w:t>
        </w:r>
        <w:r w:rsidR="00967A7B">
          <w:rPr>
            <w:bCs/>
          </w:rPr>
          <w:t xml:space="preserve">statistical </w:t>
        </w:r>
        <w:r w:rsidR="00E758BF">
          <w:rPr>
            <w:bCs/>
          </w:rPr>
          <w:t>significance</w:t>
        </w:r>
      </w:ins>
      <w:ins w:id="7" w:author="Parks, Robbie M" w:date="2018-07-23T15:33:00Z">
        <w:r w:rsidR="0055754E">
          <w:rPr>
            <w:bCs/>
          </w:rPr>
          <w:t>.</w:t>
        </w:r>
      </w:ins>
    </w:p>
    <w:p w14:paraId="0C3E3C16" w14:textId="77777777" w:rsidR="00E00372" w:rsidRDefault="00E00372" w:rsidP="00E61AB2">
      <w:pPr>
        <w:rPr>
          <w:bCs/>
        </w:rPr>
      </w:pPr>
    </w:p>
    <w:p w14:paraId="2D34752E" w14:textId="77777777" w:rsidR="00E00372" w:rsidRDefault="00E00372" w:rsidP="00E00372">
      <w:pPr>
        <w:pStyle w:val="BodyText"/>
        <w:spacing w:after="0" w:line="240" w:lineRule="auto"/>
        <w:rPr>
          <w:b/>
          <w:bCs/>
        </w:rPr>
      </w:pPr>
      <w:r w:rsidRPr="00B11CF3">
        <w:rPr>
          <w:b/>
          <w:bCs/>
        </w:rPr>
        <w:t xml:space="preserve">The second analysis is more appropriate, although the details of this analysis are sparse. </w:t>
      </w:r>
      <w:r w:rsidRPr="00643F81">
        <w:rPr>
          <w:b/>
          <w:bCs/>
          <w:highlight w:val="yellow"/>
        </w:rPr>
        <w:t>It appears that the model used is something like the following</w:t>
      </w:r>
      <w:r w:rsidRPr="00B11CF3">
        <w:rPr>
          <w:b/>
          <w:bCs/>
        </w:rPr>
        <w:t xml:space="preserve">, where </w:t>
      </w:r>
      <w:proofErr w:type="spellStart"/>
      <w:r w:rsidRPr="00B11CF3">
        <w:rPr>
          <w:b/>
          <w:bCs/>
        </w:rPr>
        <w:t>Yit</w:t>
      </w:r>
      <w:proofErr w:type="spellEnd"/>
      <w:r w:rsidRPr="00B11CF3">
        <w:rPr>
          <w:b/>
          <w:bCs/>
        </w:rPr>
        <w:t xml:space="preserve"> is the count of deaths in age group </w:t>
      </w:r>
      <w:proofErr w:type="spellStart"/>
      <w:r w:rsidRPr="00B11CF3">
        <w:rPr>
          <w:b/>
          <w:bCs/>
        </w:rPr>
        <w:t>i</w:t>
      </w:r>
      <w:proofErr w:type="spellEnd"/>
      <w:r w:rsidRPr="00B11CF3">
        <w:rPr>
          <w:b/>
          <w:bCs/>
        </w:rPr>
        <w:t xml:space="preserve"> at time t. </w:t>
      </w:r>
    </w:p>
    <w:p w14:paraId="50802806" w14:textId="77777777" w:rsidR="00E00372" w:rsidRDefault="00E00372" w:rsidP="00E00372">
      <w:pPr>
        <w:pStyle w:val="BodyText"/>
        <w:spacing w:after="0" w:line="240" w:lineRule="auto"/>
        <w:rPr>
          <w:b/>
          <w:bCs/>
        </w:rPr>
      </w:pPr>
    </w:p>
    <w:p w14:paraId="5F8C3E80" w14:textId="77777777" w:rsidR="00E00372" w:rsidRPr="00B11CF3" w:rsidRDefault="00E00372" w:rsidP="00E00372">
      <w:pPr>
        <w:pStyle w:val="BodyText"/>
        <w:spacing w:after="0" w:line="240" w:lineRule="auto"/>
        <w:rPr>
          <w:b/>
          <w:bCs/>
        </w:rPr>
      </w:pPr>
      <w:r>
        <w:rPr>
          <w:b/>
          <w:bCs/>
        </w:rPr>
        <w:t>---------------------</w:t>
      </w:r>
      <w:r w:rsidRPr="00B11CF3">
        <w:rPr>
          <w:b/>
          <w:bCs/>
        </w:rPr>
        <w:t xml:space="preserve">------------------------------------- </w:t>
      </w:r>
      <w:bookmarkStart w:id="8" w:name="_GoBack"/>
      <w:bookmarkEnd w:id="8"/>
    </w:p>
    <w:p w14:paraId="2246A9EA" w14:textId="77777777" w:rsidR="00E00372" w:rsidRPr="00B11CF3" w:rsidRDefault="00E00372" w:rsidP="00C13011">
      <w:pPr>
        <w:pStyle w:val="BodyText"/>
        <w:spacing w:after="0" w:line="240" w:lineRule="auto"/>
        <w:outlineLvl w:val="0"/>
        <w:rPr>
          <w:b/>
          <w:bCs/>
        </w:rPr>
      </w:pPr>
      <w:proofErr w:type="spellStart"/>
      <w:r w:rsidRPr="00B11CF3">
        <w:rPr>
          <w:b/>
          <w:bCs/>
        </w:rPr>
        <w:t>Yit</w:t>
      </w:r>
      <w:proofErr w:type="spellEnd"/>
      <w:r w:rsidRPr="00B11CF3">
        <w:rPr>
          <w:rFonts w:ascii="Cambria Math" w:hAnsi="Cambria Math" w:cs="Cambria Math"/>
          <w:b/>
          <w:bCs/>
        </w:rPr>
        <w:t>∼</w:t>
      </w:r>
      <w:r w:rsidRPr="00B11CF3">
        <w:rPr>
          <w:b/>
          <w:bCs/>
        </w:rPr>
        <w:t xml:space="preserve"> </w:t>
      </w:r>
      <w:proofErr w:type="gramStart"/>
      <w:r w:rsidRPr="00B11CF3">
        <w:rPr>
          <w:b/>
          <w:bCs/>
        </w:rPr>
        <w:t>Poisson(</w:t>
      </w:r>
      <w:proofErr w:type="gramEnd"/>
      <w:r w:rsidRPr="00B11CF3">
        <w:rPr>
          <w:b/>
          <w:bCs/>
        </w:rPr>
        <w:t xml:space="preserve">Nit </w:t>
      </w:r>
      <w:r w:rsidRPr="00B11CF3">
        <w:rPr>
          <w:rFonts w:ascii="Cambria Math" w:hAnsi="Cambria Math" w:cs="Cambria Math"/>
          <w:b/>
          <w:bCs/>
        </w:rPr>
        <w:t>⋅</w:t>
      </w:r>
      <w:r w:rsidRPr="00B11CF3">
        <w:rPr>
          <w:b/>
          <w:bCs/>
        </w:rPr>
        <w:t xml:space="preserve"> </w:t>
      </w:r>
      <w:proofErr w:type="spellStart"/>
      <w:r w:rsidRPr="00B11CF3">
        <w:rPr>
          <w:rFonts w:cs="Arial"/>
          <w:b/>
          <w:bCs/>
        </w:rPr>
        <w:t>λ</w:t>
      </w:r>
      <w:r w:rsidRPr="00B11CF3">
        <w:rPr>
          <w:b/>
          <w:bCs/>
        </w:rPr>
        <w:t>it</w:t>
      </w:r>
      <w:proofErr w:type="spellEnd"/>
      <w:r w:rsidRPr="00B11CF3">
        <w:rPr>
          <w:b/>
          <w:bCs/>
        </w:rPr>
        <w:t xml:space="preserve">) </w:t>
      </w:r>
    </w:p>
    <w:p w14:paraId="0BF141B0" w14:textId="77777777" w:rsidR="00E00372" w:rsidRPr="00B11CF3" w:rsidRDefault="00E00372" w:rsidP="00E00372">
      <w:pPr>
        <w:pStyle w:val="BodyText"/>
        <w:spacing w:after="0" w:line="240" w:lineRule="auto"/>
        <w:rPr>
          <w:b/>
          <w:bCs/>
        </w:rPr>
      </w:pPr>
      <w:r w:rsidRPr="00B11CF3">
        <w:rPr>
          <w:b/>
          <w:bCs/>
        </w:rPr>
        <w:t>log(</w:t>
      </w:r>
      <w:proofErr w:type="spellStart"/>
      <w:r w:rsidRPr="00B11CF3">
        <w:rPr>
          <w:b/>
          <w:bCs/>
        </w:rPr>
        <w:t>λ</w:t>
      </w:r>
      <w:proofErr w:type="gramStart"/>
      <w:r w:rsidRPr="00B11CF3">
        <w:rPr>
          <w:b/>
          <w:bCs/>
        </w:rPr>
        <w:t>it</w:t>
      </w:r>
      <w:proofErr w:type="spellEnd"/>
      <w:r w:rsidRPr="00B11CF3">
        <w:rPr>
          <w:b/>
          <w:bCs/>
        </w:rPr>
        <w:t>)=</w:t>
      </w:r>
      <w:proofErr w:type="gramEnd"/>
      <w:r w:rsidRPr="00B11CF3">
        <w:rPr>
          <w:b/>
          <w:bCs/>
        </w:rPr>
        <w:t xml:space="preserve"> </w:t>
      </w:r>
      <w:proofErr w:type="spellStart"/>
      <w:r w:rsidRPr="00B11CF3">
        <w:rPr>
          <w:b/>
          <w:bCs/>
        </w:rPr>
        <w:t>μi</w:t>
      </w:r>
      <w:proofErr w:type="spellEnd"/>
      <w:r w:rsidRPr="00B11CF3">
        <w:rPr>
          <w:b/>
          <w:bCs/>
        </w:rPr>
        <w:t xml:space="preserve"> + βit + </w:t>
      </w:r>
      <w:proofErr w:type="spellStart"/>
      <w:r w:rsidRPr="00B11CF3">
        <w:rPr>
          <w:b/>
          <w:bCs/>
        </w:rPr>
        <w:t>Mit</w:t>
      </w:r>
      <w:proofErr w:type="spellEnd"/>
      <w:r w:rsidRPr="00B11CF3">
        <w:rPr>
          <w:b/>
          <w:bCs/>
        </w:rPr>
        <w:t xml:space="preserve"> </w:t>
      </w:r>
      <w:r w:rsidRPr="00B11CF3">
        <w:rPr>
          <w:rFonts w:ascii="Cambria Math" w:hAnsi="Cambria Math" w:cs="Cambria Math"/>
          <w:b/>
          <w:bCs/>
        </w:rPr>
        <w:t>⋅</w:t>
      </w:r>
      <w:r w:rsidRPr="00B11CF3">
        <w:rPr>
          <w:b/>
          <w:bCs/>
        </w:rPr>
        <w:t xml:space="preserve"> [</w:t>
      </w:r>
      <w:r w:rsidRPr="00B11CF3">
        <w:rPr>
          <w:rFonts w:cs="Arial"/>
          <w:b/>
          <w:bCs/>
        </w:rPr>
        <w:t>α</w:t>
      </w:r>
      <w:r w:rsidRPr="00B11CF3">
        <w:rPr>
          <w:b/>
          <w:bCs/>
        </w:rPr>
        <w:t xml:space="preserve">1i </w:t>
      </w:r>
      <w:r w:rsidRPr="00B11CF3">
        <w:rPr>
          <w:rFonts w:ascii="Cambria Math" w:hAnsi="Cambria Math" w:cs="Cambria Math"/>
          <w:b/>
          <w:bCs/>
        </w:rPr>
        <w:t>⋅</w:t>
      </w:r>
      <w:r w:rsidRPr="00B11CF3">
        <w:rPr>
          <w:b/>
          <w:bCs/>
        </w:rPr>
        <w:t xml:space="preserve"> cos(2</w:t>
      </w:r>
      <w:r w:rsidRPr="00B11CF3">
        <w:rPr>
          <w:rFonts w:cs="Arial"/>
          <w:b/>
          <w:bCs/>
        </w:rPr>
        <w:t>π</w:t>
      </w:r>
      <w:r w:rsidRPr="00B11CF3">
        <w:rPr>
          <w:b/>
          <w:bCs/>
        </w:rPr>
        <w:t xml:space="preserve">t/12) </w:t>
      </w:r>
    </w:p>
    <w:p w14:paraId="4171C1F2" w14:textId="77777777" w:rsidR="00E00372" w:rsidRPr="00B11CF3" w:rsidRDefault="00E00372" w:rsidP="00E00372">
      <w:pPr>
        <w:pStyle w:val="BodyText"/>
        <w:spacing w:after="0" w:line="240" w:lineRule="auto"/>
        <w:rPr>
          <w:b/>
          <w:bCs/>
        </w:rPr>
      </w:pPr>
      <w:r w:rsidRPr="00B11CF3">
        <w:rPr>
          <w:b/>
          <w:bCs/>
        </w:rPr>
        <w:t xml:space="preserve">+α2i </w:t>
      </w:r>
      <w:r w:rsidRPr="00B11CF3">
        <w:rPr>
          <w:rFonts w:ascii="Cambria Math" w:hAnsi="Cambria Math" w:cs="Cambria Math"/>
          <w:b/>
          <w:bCs/>
        </w:rPr>
        <w:t>⋅</w:t>
      </w:r>
      <w:r w:rsidRPr="00B11CF3">
        <w:rPr>
          <w:b/>
          <w:bCs/>
        </w:rPr>
        <w:t xml:space="preserve"> sin(2</w:t>
      </w:r>
      <w:r w:rsidRPr="00B11CF3">
        <w:rPr>
          <w:rFonts w:cs="Arial"/>
          <w:b/>
          <w:bCs/>
        </w:rPr>
        <w:t>π</w:t>
      </w:r>
      <w:r w:rsidRPr="00B11CF3">
        <w:rPr>
          <w:b/>
          <w:bCs/>
        </w:rPr>
        <w:t>t/</w:t>
      </w:r>
      <w:proofErr w:type="gramStart"/>
      <w:r w:rsidRPr="00B11CF3">
        <w:rPr>
          <w:b/>
          <w:bCs/>
        </w:rPr>
        <w:t>12)+</w:t>
      </w:r>
      <w:proofErr w:type="gramEnd"/>
      <w:r w:rsidRPr="00B11CF3">
        <w:rPr>
          <w:rFonts w:cs="Arial"/>
          <w:b/>
          <w:bCs/>
        </w:rPr>
        <w:t>α</w:t>
      </w:r>
      <w:r w:rsidRPr="00B11CF3">
        <w:rPr>
          <w:b/>
          <w:bCs/>
        </w:rPr>
        <w:t xml:space="preserve">3i </w:t>
      </w:r>
      <w:r w:rsidRPr="00B11CF3">
        <w:rPr>
          <w:rFonts w:ascii="Cambria Math" w:hAnsi="Cambria Math" w:cs="Cambria Math"/>
          <w:b/>
          <w:bCs/>
        </w:rPr>
        <w:t>⋅</w:t>
      </w:r>
      <w:r w:rsidRPr="00B11CF3">
        <w:rPr>
          <w:b/>
          <w:bCs/>
        </w:rPr>
        <w:t xml:space="preserve"> cos(2</w:t>
      </w:r>
      <w:r w:rsidRPr="00B11CF3">
        <w:rPr>
          <w:rFonts w:cs="Arial"/>
          <w:b/>
          <w:bCs/>
        </w:rPr>
        <w:t>π</w:t>
      </w:r>
      <w:r w:rsidRPr="00B11CF3">
        <w:rPr>
          <w:b/>
          <w:bCs/>
        </w:rPr>
        <w:t xml:space="preserve">t/6) </w:t>
      </w:r>
    </w:p>
    <w:p w14:paraId="442A45EB" w14:textId="77777777" w:rsidR="00E00372" w:rsidRPr="00B11CF3" w:rsidRDefault="00E00372" w:rsidP="00E00372">
      <w:pPr>
        <w:pStyle w:val="BodyText"/>
        <w:spacing w:after="0" w:line="240" w:lineRule="auto"/>
        <w:rPr>
          <w:b/>
          <w:bCs/>
        </w:rPr>
      </w:pPr>
      <w:r w:rsidRPr="00B11CF3">
        <w:rPr>
          <w:b/>
          <w:bCs/>
        </w:rPr>
        <w:t xml:space="preserve">+α4i </w:t>
      </w:r>
      <w:r w:rsidRPr="00B11CF3">
        <w:rPr>
          <w:rFonts w:ascii="Cambria Math" w:hAnsi="Cambria Math" w:cs="Cambria Math"/>
          <w:b/>
          <w:bCs/>
        </w:rPr>
        <w:t>⋅</w:t>
      </w:r>
      <w:r w:rsidRPr="00B11CF3">
        <w:rPr>
          <w:b/>
          <w:bCs/>
        </w:rPr>
        <w:t xml:space="preserve"> sin(2</w:t>
      </w:r>
      <w:r w:rsidRPr="00B11CF3">
        <w:rPr>
          <w:rFonts w:cs="Arial"/>
          <w:b/>
          <w:bCs/>
        </w:rPr>
        <w:t>π</w:t>
      </w:r>
      <w:r w:rsidRPr="00B11CF3">
        <w:rPr>
          <w:b/>
          <w:bCs/>
        </w:rPr>
        <w:t xml:space="preserve">t/6)] </w:t>
      </w:r>
    </w:p>
    <w:p w14:paraId="24C91C84" w14:textId="77777777" w:rsidR="00E00372" w:rsidRPr="00B11CF3" w:rsidRDefault="00E00372" w:rsidP="00C13011">
      <w:pPr>
        <w:pStyle w:val="BodyText"/>
        <w:spacing w:after="0" w:line="240" w:lineRule="auto"/>
        <w:outlineLvl w:val="0"/>
        <w:rPr>
          <w:b/>
          <w:bCs/>
        </w:rPr>
      </w:pPr>
      <w:proofErr w:type="spellStart"/>
      <w:r w:rsidRPr="00B11CF3">
        <w:rPr>
          <w:b/>
          <w:bCs/>
        </w:rPr>
        <w:t>Mit</w:t>
      </w:r>
      <w:proofErr w:type="spellEnd"/>
      <w:r w:rsidRPr="00B11CF3">
        <w:rPr>
          <w:b/>
          <w:bCs/>
        </w:rPr>
        <w:t xml:space="preserve">= </w:t>
      </w:r>
      <w:proofErr w:type="spellStart"/>
      <w:r w:rsidRPr="00B11CF3">
        <w:rPr>
          <w:b/>
          <w:bCs/>
        </w:rPr>
        <w:t>ρi</w:t>
      </w:r>
      <w:proofErr w:type="spellEnd"/>
      <w:r w:rsidRPr="00B11CF3">
        <w:rPr>
          <w:b/>
          <w:bCs/>
        </w:rPr>
        <w:t xml:space="preserve"> + </w:t>
      </w:r>
      <w:proofErr w:type="spellStart"/>
      <w:r w:rsidRPr="00B11CF3">
        <w:rPr>
          <w:b/>
          <w:bCs/>
        </w:rPr>
        <w:t>γit</w:t>
      </w:r>
      <w:proofErr w:type="spellEnd"/>
      <w:r w:rsidRPr="00B11CF3">
        <w:rPr>
          <w:b/>
          <w:bCs/>
        </w:rPr>
        <w:t xml:space="preserve"> </w:t>
      </w:r>
    </w:p>
    <w:p w14:paraId="5257CD1E" w14:textId="77777777" w:rsidR="00E00372" w:rsidRPr="00BD0E87" w:rsidRDefault="00E00372" w:rsidP="00E00372">
      <w:pPr>
        <w:pStyle w:val="BodyText"/>
        <w:spacing w:after="0" w:line="240" w:lineRule="auto"/>
        <w:rPr>
          <w:b/>
          <w:bCs/>
        </w:rPr>
      </w:pPr>
      <w:r w:rsidRPr="00BD0E87">
        <w:rPr>
          <w:b/>
          <w:bCs/>
        </w:rPr>
        <w:t>----------------------------------------------------------</w:t>
      </w:r>
    </w:p>
    <w:p w14:paraId="0D64D796" w14:textId="77777777" w:rsidR="00E00372" w:rsidRPr="00BD0E87" w:rsidRDefault="00E00372" w:rsidP="00E00372">
      <w:pPr>
        <w:pStyle w:val="BodyText"/>
        <w:spacing w:after="0" w:line="240" w:lineRule="auto"/>
        <w:rPr>
          <w:b/>
          <w:bCs/>
        </w:rPr>
      </w:pPr>
    </w:p>
    <w:p w14:paraId="70AF473E" w14:textId="77777777" w:rsidR="00E00372" w:rsidRPr="00BD0E87" w:rsidRDefault="00E00372" w:rsidP="00E00372">
      <w:pPr>
        <w:rPr>
          <w:b/>
          <w:bCs/>
        </w:rPr>
      </w:pPr>
      <w:r w:rsidRPr="00BD0E87">
        <w:rPr>
          <w:b/>
          <w:bCs/>
        </w:rPr>
        <w:t xml:space="preserve">A model of this could answer the following questions, with p-values produced from a likelihood ratio test. </w:t>
      </w:r>
    </w:p>
    <w:p w14:paraId="0F4D06BE" w14:textId="77777777" w:rsidR="00E00372" w:rsidRPr="00BD0E87" w:rsidRDefault="00E00372" w:rsidP="00E00372">
      <w:pPr>
        <w:rPr>
          <w:b/>
          <w:bCs/>
        </w:rPr>
      </w:pPr>
    </w:p>
    <w:p w14:paraId="19086C2F" w14:textId="77777777" w:rsidR="00E00372" w:rsidRPr="00BD0E87" w:rsidRDefault="00E00372" w:rsidP="00E00372">
      <w:pPr>
        <w:rPr>
          <w:b/>
          <w:bCs/>
        </w:rPr>
      </w:pPr>
      <w:r w:rsidRPr="00BD0E87">
        <w:rPr>
          <w:b/>
          <w:bCs/>
        </w:rPr>
        <w:t xml:space="preserve">- Is </w:t>
      </w:r>
      <w:proofErr w:type="spellStart"/>
      <w:r w:rsidRPr="00BD0E87">
        <w:rPr>
          <w:b/>
          <w:bCs/>
        </w:rPr>
        <w:t>γi</w:t>
      </w:r>
      <w:proofErr w:type="spellEnd"/>
      <w:r w:rsidRPr="00BD0E87">
        <w:rPr>
          <w:b/>
          <w:bCs/>
        </w:rPr>
        <w:t xml:space="preserve"> negative? If so the seasonal effect is becoming less severe for age group </w:t>
      </w:r>
      <w:proofErr w:type="spellStart"/>
      <w:r w:rsidRPr="00BD0E87">
        <w:rPr>
          <w:b/>
          <w:bCs/>
        </w:rPr>
        <w:t>i</w:t>
      </w:r>
      <w:proofErr w:type="spellEnd"/>
      <w:r w:rsidRPr="00BD0E87">
        <w:rPr>
          <w:b/>
          <w:bCs/>
        </w:rPr>
        <w:t xml:space="preserve">. </w:t>
      </w:r>
    </w:p>
    <w:p w14:paraId="732B13A6" w14:textId="77777777" w:rsidR="00E00372" w:rsidRPr="00EF755D" w:rsidRDefault="00E00372" w:rsidP="00E00372">
      <w:pPr>
        <w:rPr>
          <w:b/>
          <w:bCs/>
        </w:rPr>
      </w:pPr>
      <w:r w:rsidRPr="00EF755D">
        <w:rPr>
          <w:b/>
          <w:bCs/>
        </w:rPr>
        <w:t xml:space="preserve">- Does it look like all age groups have the same trend, with </w:t>
      </w:r>
      <w:proofErr w:type="spellStart"/>
      <w:r w:rsidRPr="00EF755D">
        <w:rPr>
          <w:b/>
          <w:bCs/>
        </w:rPr>
        <w:t>γi</w:t>
      </w:r>
      <w:proofErr w:type="spellEnd"/>
      <w:r w:rsidRPr="00EF755D">
        <w:rPr>
          <w:b/>
          <w:bCs/>
        </w:rPr>
        <w:t> = γ</w:t>
      </w:r>
      <w:r w:rsidRPr="00EF755D">
        <w:rPr>
          <w:rFonts w:ascii="Cambria Math" w:hAnsi="Cambria Math" w:cs="Cambria Math"/>
          <w:b/>
          <w:bCs/>
        </w:rPr>
        <w:t>₀</w:t>
      </w:r>
      <w:r w:rsidRPr="00EF755D">
        <w:rPr>
          <w:b/>
          <w:bCs/>
        </w:rPr>
        <w:t xml:space="preserve"> for all </w:t>
      </w:r>
      <w:proofErr w:type="spellStart"/>
      <w:r w:rsidRPr="00EF755D">
        <w:rPr>
          <w:b/>
          <w:bCs/>
        </w:rPr>
        <w:t>i</w:t>
      </w:r>
      <w:proofErr w:type="spellEnd"/>
      <w:r w:rsidRPr="00EF755D">
        <w:rPr>
          <w:b/>
          <w:bCs/>
        </w:rPr>
        <w:t xml:space="preserve">? </w:t>
      </w:r>
    </w:p>
    <w:p w14:paraId="569DB992" w14:textId="77777777" w:rsidR="00E00372" w:rsidRPr="00EF755D" w:rsidRDefault="00E00372" w:rsidP="00E00372">
      <w:pPr>
        <w:rPr>
          <w:b/>
          <w:bCs/>
        </w:rPr>
      </w:pPr>
      <w:r w:rsidRPr="00EF755D">
        <w:rPr>
          <w:b/>
          <w:bCs/>
        </w:rPr>
        <w:t xml:space="preserve">- Do all age groups have the same cycle, with αpi = αp0? </w:t>
      </w:r>
    </w:p>
    <w:p w14:paraId="7BE4F006" w14:textId="77777777" w:rsidR="00E00372" w:rsidRPr="00EF755D" w:rsidRDefault="00E00372" w:rsidP="00E00372">
      <w:pPr>
        <w:rPr>
          <w:b/>
          <w:bCs/>
        </w:rPr>
      </w:pPr>
      <w:r w:rsidRPr="00EF755D">
        <w:rPr>
          <w:b/>
          <w:bCs/>
        </w:rPr>
        <w:t xml:space="preserve">- Does γ vary by region (negative in cold-climate regions?) </w:t>
      </w:r>
    </w:p>
    <w:p w14:paraId="18D91C27" w14:textId="77777777" w:rsidR="00E00372" w:rsidRPr="00BD0E87" w:rsidRDefault="00E00372" w:rsidP="00E00372">
      <w:pPr>
        <w:rPr>
          <w:b/>
          <w:bCs/>
        </w:rPr>
      </w:pPr>
      <w:r w:rsidRPr="00BD0E87">
        <w:rPr>
          <w:b/>
          <w:bCs/>
        </w:rPr>
        <w:t xml:space="preserve">- Do the cycles, given by the α, vary by region or is a nation-wide cycle sufficient? </w:t>
      </w:r>
    </w:p>
    <w:p w14:paraId="5C19D550" w14:textId="77777777" w:rsidR="00E00372" w:rsidRPr="00BD0E87" w:rsidRDefault="00E00372" w:rsidP="00E00372">
      <w:pPr>
        <w:rPr>
          <w:b/>
          <w:bCs/>
        </w:rPr>
      </w:pPr>
    </w:p>
    <w:p w14:paraId="66195366" w14:textId="77777777" w:rsidR="00E00372" w:rsidRPr="00BD0E87" w:rsidRDefault="00E00372" w:rsidP="00E00372">
      <w:pPr>
        <w:rPr>
          <w:b/>
          <w:bCs/>
        </w:rPr>
      </w:pPr>
      <w:r w:rsidRPr="00BD0E87">
        <w:rPr>
          <w:b/>
          <w:bCs/>
        </w:rPr>
        <w:t xml:space="preserve">The above model is easier to interpret than the wavelet analysis. The quantity 1 − </w:t>
      </w:r>
      <w:proofErr w:type="spellStart"/>
      <w:r w:rsidRPr="00BD0E87">
        <w:rPr>
          <w:b/>
          <w:bCs/>
        </w:rPr>
        <w:t>exp</w:t>
      </w:r>
      <w:proofErr w:type="spellEnd"/>
      <w:r w:rsidRPr="00BD0E87">
        <w:rPr>
          <w:b/>
          <w:bCs/>
        </w:rPr>
        <w:t xml:space="preserve">(120γ) is the change per decade in the seasonality effect, which could be reported with a 95% confidence interval. </w:t>
      </w:r>
    </w:p>
    <w:p w14:paraId="24E2D5E5" w14:textId="77777777" w:rsidR="00E00372" w:rsidRDefault="00E00372" w:rsidP="00E61AB2">
      <w:pPr>
        <w:rPr>
          <w:bCs/>
        </w:rPr>
      </w:pPr>
    </w:p>
    <w:p w14:paraId="79267FA4" w14:textId="426813EF" w:rsidR="00CA5EEB" w:rsidRPr="006C28FF" w:rsidRDefault="00C529EB" w:rsidP="00080FE2">
      <w:pPr>
        <w:rPr>
          <w:bCs/>
        </w:rPr>
      </w:pPr>
      <w:r>
        <w:rPr>
          <w:bCs/>
        </w:rPr>
        <w:t xml:space="preserve">We have clarified our method for Figure XX in the revised manuscript. </w:t>
      </w:r>
      <w:r w:rsidR="00080FE2">
        <w:rPr>
          <w:bCs/>
        </w:rPr>
        <w:t xml:space="preserve">We have also implemented the above model and included results. </w:t>
      </w:r>
      <w:ins w:id="9" w:author="Parks, Robbie M" w:date="2018-07-23T16:28:00Z">
        <w:r w:rsidR="00A4013A">
          <w:rPr>
            <w:bCs/>
          </w:rPr>
          <w:t>We address the following points raised in the review of the methodology:</w:t>
        </w:r>
      </w:ins>
      <w:commentRangeStart w:id="10"/>
      <w:del w:id="11" w:author="Parks, Robbie M" w:date="2018-07-23T16:28:00Z">
        <w:r w:rsidR="00080FE2" w:rsidDel="00A4013A">
          <w:rPr>
            <w:bCs/>
          </w:rPr>
          <w:delText xml:space="preserve">We have addressed the values of </w:delText>
        </w:r>
        <w:r w:rsidR="00080FE2" w:rsidRPr="007C27B3" w:rsidDel="00A4013A">
          <w:rPr>
            <w:bCs/>
          </w:rPr>
          <w:delText>α</w:delText>
        </w:r>
        <w:r w:rsidR="00080FE2" w:rsidDel="00A4013A">
          <w:rPr>
            <w:bCs/>
          </w:rPr>
          <w:delText xml:space="preserve"> in our centre of gravity analysis, the results of which we display in Figures XX and XX.</w:delText>
        </w:r>
        <w:commentRangeEnd w:id="10"/>
        <w:r w:rsidR="00080FE2" w:rsidDel="00A4013A">
          <w:rPr>
            <w:rStyle w:val="CommentReference"/>
          </w:rPr>
          <w:commentReference w:id="10"/>
        </w:r>
        <w:r w:rsidR="00080FE2" w:rsidDel="00A4013A">
          <w:rPr>
            <w:bCs/>
          </w:rPr>
          <w:delText xml:space="preserve"> </w:delText>
        </w:r>
        <w:commentRangeStart w:id="12"/>
        <w:r w:rsidR="00080FE2" w:rsidDel="00A4013A">
          <w:rPr>
            <w:bCs/>
          </w:rPr>
          <w:delText xml:space="preserve">We also now include how </w:delText>
        </w:r>
        <w:r w:rsidR="00080FE2" w:rsidRPr="006D5AF5" w:rsidDel="00A4013A">
          <w:rPr>
            <w:bCs/>
          </w:rPr>
          <w:delText>γ</w:delText>
        </w:r>
        <w:r w:rsidR="00080FE2" w:rsidDel="00A4013A">
          <w:rPr>
            <w:bCs/>
          </w:rPr>
          <w:delText xml:space="preserve"> varies by region, though there are issues with population size of the smaller climate regions.</w:delText>
        </w:r>
        <w:commentRangeEnd w:id="12"/>
        <w:r w:rsidR="00080FE2" w:rsidDel="00A4013A">
          <w:rPr>
            <w:rStyle w:val="CommentReference"/>
          </w:rPr>
          <w:commentReference w:id="12"/>
        </w:r>
      </w:del>
    </w:p>
    <w:p w14:paraId="5F433C9D" w14:textId="77777777" w:rsidR="00EB4A12" w:rsidDel="0019080E" w:rsidRDefault="00EB4A12" w:rsidP="00C529EB">
      <w:pPr>
        <w:rPr>
          <w:del w:id="13" w:author="Parks, Robbie M" w:date="2018-07-23T16:29:00Z"/>
          <w:bCs/>
        </w:rPr>
      </w:pPr>
    </w:p>
    <w:p w14:paraId="352786F5" w14:textId="77777777" w:rsidR="006C6128" w:rsidRDefault="006C6128" w:rsidP="00E61AB2">
      <w:pPr>
        <w:rPr>
          <w:bCs/>
        </w:rPr>
      </w:pPr>
    </w:p>
    <w:p w14:paraId="7252D390" w14:textId="43F4AC76" w:rsidR="006C6128" w:rsidRPr="00BD7CB1" w:rsidRDefault="006C6128" w:rsidP="006C6128">
      <w:pPr>
        <w:rPr>
          <w:bCs/>
          <w:i/>
        </w:rPr>
      </w:pPr>
      <w:commentRangeStart w:id="14"/>
      <w:commentRangeStart w:id="15"/>
      <w:r w:rsidRPr="00BD7CB1">
        <w:rPr>
          <w:bCs/>
          <w:i/>
        </w:rPr>
        <w:t xml:space="preserve">- Is </w:t>
      </w:r>
      <w:proofErr w:type="spellStart"/>
      <w:r w:rsidRPr="00BD7CB1">
        <w:rPr>
          <w:bCs/>
          <w:i/>
        </w:rPr>
        <w:t>γi</w:t>
      </w:r>
      <w:proofErr w:type="spellEnd"/>
      <w:r w:rsidRPr="00BD7CB1">
        <w:rPr>
          <w:bCs/>
          <w:i/>
        </w:rPr>
        <w:t xml:space="preserve"> negative? If so the seasonal effect is becoming less severe for age group </w:t>
      </w:r>
      <w:proofErr w:type="spellStart"/>
      <w:r w:rsidRPr="00BD7CB1">
        <w:rPr>
          <w:bCs/>
          <w:i/>
        </w:rPr>
        <w:t>i</w:t>
      </w:r>
      <w:proofErr w:type="spellEnd"/>
      <w:r w:rsidRPr="00BD7CB1">
        <w:rPr>
          <w:bCs/>
          <w:i/>
        </w:rPr>
        <w:t>.</w:t>
      </w:r>
    </w:p>
    <w:p w14:paraId="6DA25244" w14:textId="77777777" w:rsidR="006C6128" w:rsidRDefault="006C6128" w:rsidP="006C6128">
      <w:pPr>
        <w:rPr>
          <w:bCs/>
        </w:rPr>
      </w:pPr>
    </w:p>
    <w:p w14:paraId="71C7A047" w14:textId="1DBCE0D0" w:rsidR="00C42B83" w:rsidRDefault="00C42B83" w:rsidP="00C42B83">
      <w:pPr>
        <w:rPr>
          <w:bCs/>
        </w:rPr>
      </w:pPr>
      <w:r>
        <w:rPr>
          <w:bCs/>
        </w:rPr>
        <w:t xml:space="preserve">Result in the original approach: </w:t>
      </w:r>
      <w:ins w:id="16" w:author="Parks, Robbie M" w:date="2018-07-23T15:56:00Z">
        <w:r w:rsidR="0028467A">
          <w:rPr>
            <w:bCs/>
          </w:rPr>
          <w:t xml:space="preserve">We have reported </w:t>
        </w:r>
        <w:r w:rsidR="0028467A" w:rsidRPr="00830B87">
          <w:rPr>
            <w:bCs/>
          </w:rPr>
          <w:t>γ</w:t>
        </w:r>
        <w:r w:rsidR="0028467A">
          <w:rPr>
            <w:bCs/>
          </w:rPr>
          <w:t xml:space="preserve"> age, sex, and cause of death (Figure XX)</w:t>
        </w:r>
      </w:ins>
    </w:p>
    <w:p w14:paraId="125CA5BA" w14:textId="77777777" w:rsidR="00C42B83" w:rsidRPr="00BD7CB1" w:rsidRDefault="00C42B83" w:rsidP="00C42B83">
      <w:pPr>
        <w:rPr>
          <w:bCs/>
        </w:rPr>
      </w:pPr>
      <w:r w:rsidRPr="00BD7CB1">
        <w:rPr>
          <w:bCs/>
        </w:rPr>
        <w:t xml:space="preserve"> </w:t>
      </w:r>
    </w:p>
    <w:p w14:paraId="073AFF8E" w14:textId="4C3939FA" w:rsidR="006C6128" w:rsidRDefault="00080FE2" w:rsidP="006C6128">
      <w:pPr>
        <w:rPr>
          <w:bCs/>
        </w:rPr>
      </w:pPr>
      <w:r>
        <w:rPr>
          <w:bCs/>
        </w:rPr>
        <w:t xml:space="preserve">Result in the alternative method: </w:t>
      </w:r>
      <w:ins w:id="17" w:author="Parks, Robbie M" w:date="2018-07-23T15:56:00Z">
        <w:r w:rsidR="00ED7B52">
          <w:rPr>
            <w:bCs/>
          </w:rPr>
          <w:t>We have obtained values for age, sex, and cause of death</w:t>
        </w:r>
      </w:ins>
    </w:p>
    <w:p w14:paraId="2CE8E5D5" w14:textId="6D1B9764" w:rsidR="00080FE2" w:rsidRDefault="00080FE2" w:rsidP="006C6128">
      <w:pPr>
        <w:rPr>
          <w:bCs/>
        </w:rPr>
      </w:pPr>
    </w:p>
    <w:p w14:paraId="3213E498" w14:textId="77777777" w:rsidR="006C6128" w:rsidRDefault="006C6128" w:rsidP="006C6128">
      <w:pPr>
        <w:rPr>
          <w:bCs/>
          <w:i/>
          <w:color w:val="FF0000"/>
        </w:rPr>
      </w:pPr>
      <w:r w:rsidRPr="00BD7CB1">
        <w:rPr>
          <w:bCs/>
          <w:i/>
          <w:color w:val="FF0000"/>
        </w:rPr>
        <w:t xml:space="preserve">- Does it look like all age groups have the same trend, with </w:t>
      </w:r>
      <w:proofErr w:type="spellStart"/>
      <w:r w:rsidRPr="00BD7CB1">
        <w:rPr>
          <w:bCs/>
          <w:i/>
          <w:color w:val="FF0000"/>
        </w:rPr>
        <w:t>γi</w:t>
      </w:r>
      <w:proofErr w:type="spellEnd"/>
      <w:r w:rsidRPr="00BD7CB1">
        <w:rPr>
          <w:bCs/>
          <w:i/>
          <w:color w:val="FF0000"/>
        </w:rPr>
        <w:t> = γ</w:t>
      </w:r>
      <w:r w:rsidRPr="00BD7CB1">
        <w:rPr>
          <w:rFonts w:ascii="Cambria Math" w:hAnsi="Cambria Math" w:cs="Cambria Math"/>
          <w:bCs/>
          <w:i/>
          <w:color w:val="FF0000"/>
        </w:rPr>
        <w:t>₀</w:t>
      </w:r>
      <w:r w:rsidRPr="00BD7CB1">
        <w:rPr>
          <w:bCs/>
          <w:i/>
          <w:color w:val="FF0000"/>
        </w:rPr>
        <w:t xml:space="preserve"> for all </w:t>
      </w:r>
      <w:proofErr w:type="spellStart"/>
      <w:r w:rsidRPr="00BD7CB1">
        <w:rPr>
          <w:bCs/>
          <w:i/>
          <w:color w:val="FF0000"/>
        </w:rPr>
        <w:t>i</w:t>
      </w:r>
      <w:proofErr w:type="spellEnd"/>
      <w:r w:rsidRPr="00BD7CB1">
        <w:rPr>
          <w:bCs/>
          <w:i/>
          <w:color w:val="FF0000"/>
        </w:rPr>
        <w:t xml:space="preserve">? </w:t>
      </w:r>
    </w:p>
    <w:p w14:paraId="3553D72F" w14:textId="77777777" w:rsidR="00A74C38" w:rsidRDefault="00A74C38" w:rsidP="006C6128">
      <w:pPr>
        <w:rPr>
          <w:bCs/>
          <w:i/>
          <w:color w:val="FF0000"/>
        </w:rPr>
      </w:pPr>
    </w:p>
    <w:p w14:paraId="0C53BC74" w14:textId="4C534BD6" w:rsidR="00BA1230" w:rsidRDefault="00BA1230" w:rsidP="00BA1230">
      <w:pPr>
        <w:rPr>
          <w:ins w:id="18" w:author="Parks, Robbie M" w:date="2018-07-23T16:18:00Z"/>
          <w:bCs/>
        </w:rPr>
      </w:pPr>
      <w:ins w:id="19" w:author="Parks, Robbie M" w:date="2018-07-23T16:18:00Z">
        <w:r>
          <w:rPr>
            <w:bCs/>
          </w:rPr>
          <w:t xml:space="preserve">Result in the original approach: We have reported </w:t>
        </w:r>
        <w:r w:rsidRPr="00830B87">
          <w:rPr>
            <w:bCs/>
          </w:rPr>
          <w:t>γ</w:t>
        </w:r>
        <w:r>
          <w:rPr>
            <w:bCs/>
          </w:rPr>
          <w:t xml:space="preserve"> </w:t>
        </w:r>
      </w:ins>
      <w:ins w:id="20" w:author="Parks, Robbie M" w:date="2018-07-24T15:09:00Z">
        <w:r w:rsidR="00643F81">
          <w:rPr>
            <w:bCs/>
          </w:rPr>
          <w:t xml:space="preserve">for </w:t>
        </w:r>
      </w:ins>
      <w:ins w:id="21" w:author="Parks, Robbie M" w:date="2018-07-23T16:18:00Z">
        <w:r>
          <w:rPr>
            <w:bCs/>
          </w:rPr>
          <w:t>age, sex, and cause of death (Figure XX)</w:t>
        </w:r>
      </w:ins>
    </w:p>
    <w:p w14:paraId="0371557B" w14:textId="77777777" w:rsidR="00BA1230" w:rsidRPr="00BD7CB1" w:rsidRDefault="00BA1230" w:rsidP="00BA1230">
      <w:pPr>
        <w:rPr>
          <w:ins w:id="22" w:author="Parks, Robbie M" w:date="2018-07-23T16:18:00Z"/>
          <w:bCs/>
        </w:rPr>
      </w:pPr>
      <w:ins w:id="23" w:author="Parks, Robbie M" w:date="2018-07-23T16:18:00Z">
        <w:r w:rsidRPr="00BD7CB1">
          <w:rPr>
            <w:bCs/>
          </w:rPr>
          <w:t xml:space="preserve"> </w:t>
        </w:r>
      </w:ins>
    </w:p>
    <w:p w14:paraId="2DE91106" w14:textId="77777777" w:rsidR="00BA1230" w:rsidRDefault="00BA1230" w:rsidP="00BA1230">
      <w:pPr>
        <w:rPr>
          <w:ins w:id="24" w:author="Parks, Robbie M" w:date="2018-07-23T16:18:00Z"/>
          <w:bCs/>
        </w:rPr>
      </w:pPr>
      <w:ins w:id="25" w:author="Parks, Robbie M" w:date="2018-07-23T16:18:00Z">
        <w:r>
          <w:rPr>
            <w:bCs/>
          </w:rPr>
          <w:t>Result in the alternative method: We have obtained values for age, sex, and cause of death</w:t>
        </w:r>
      </w:ins>
    </w:p>
    <w:p w14:paraId="6C73090D" w14:textId="6EBAB8E3" w:rsidR="00A74C38" w:rsidRPr="00A74C38" w:rsidDel="00BA1230" w:rsidRDefault="00A74C38" w:rsidP="006C6128">
      <w:pPr>
        <w:rPr>
          <w:del w:id="26" w:author="Parks, Robbie M" w:date="2018-07-23T16:18:00Z"/>
          <w:bCs/>
          <w:color w:val="FF0000"/>
        </w:rPr>
      </w:pPr>
      <w:del w:id="27" w:author="Parks, Robbie M" w:date="2018-07-23T16:18:00Z">
        <w:r w:rsidRPr="00BD7CB1" w:rsidDel="00BA1230">
          <w:rPr>
            <w:bCs/>
          </w:rPr>
          <w:delText>γ</w:delText>
        </w:r>
        <w:r w:rsidDel="00BA1230">
          <w:rPr>
            <w:bCs/>
          </w:rPr>
          <w:delText xml:space="preserve"> has distinct tre</w:delText>
        </w:r>
        <w:r w:rsidR="00EF7AB7" w:rsidDel="00BA1230">
          <w:rPr>
            <w:bCs/>
          </w:rPr>
          <w:delText>nds for each age group (Figure XX</w:delText>
        </w:r>
        <w:r w:rsidDel="00BA1230">
          <w:rPr>
            <w:bCs/>
          </w:rPr>
          <w:delText>)</w:delText>
        </w:r>
      </w:del>
    </w:p>
    <w:p w14:paraId="20EAD23B" w14:textId="77777777" w:rsidR="00A74C38" w:rsidRPr="00BD7CB1" w:rsidRDefault="00A74C38" w:rsidP="006C6128">
      <w:pPr>
        <w:rPr>
          <w:bCs/>
          <w:color w:val="FF0000"/>
        </w:rPr>
      </w:pPr>
    </w:p>
    <w:p w14:paraId="4035719D" w14:textId="77777777" w:rsidR="006C6128" w:rsidRDefault="006C6128" w:rsidP="006C6128">
      <w:pPr>
        <w:rPr>
          <w:bCs/>
          <w:i/>
          <w:color w:val="FF0000"/>
        </w:rPr>
      </w:pPr>
      <w:r w:rsidRPr="00BD7CB1">
        <w:rPr>
          <w:bCs/>
          <w:i/>
          <w:color w:val="FF0000"/>
        </w:rPr>
        <w:t xml:space="preserve">- Do all age groups have the same cycle, with αpi = αp0? </w:t>
      </w:r>
    </w:p>
    <w:p w14:paraId="785270B6" w14:textId="77777777" w:rsidR="00A74C38" w:rsidRDefault="00A74C38" w:rsidP="006C6128">
      <w:pPr>
        <w:rPr>
          <w:bCs/>
          <w:i/>
          <w:color w:val="FF0000"/>
        </w:rPr>
      </w:pPr>
    </w:p>
    <w:p w14:paraId="57BC4435" w14:textId="609F7381" w:rsidR="00A74C38" w:rsidRPr="00BD7CB1" w:rsidRDefault="00882278" w:rsidP="006C6128">
      <w:pPr>
        <w:rPr>
          <w:bCs/>
          <w:color w:val="FF0000"/>
        </w:rPr>
      </w:pPr>
      <w:ins w:id="28" w:author="Parks, Robbie M" w:date="2018-07-23T16:27:00Z">
        <w:r>
          <w:rPr>
            <w:bCs/>
            <w:color w:val="FF0000"/>
          </w:rPr>
          <w:t xml:space="preserve">Result in the original approach: </w:t>
        </w:r>
      </w:ins>
      <w:r w:rsidR="00EF7AB7">
        <w:rPr>
          <w:bCs/>
          <w:color w:val="FF0000"/>
        </w:rPr>
        <w:t>Figure XX</w:t>
      </w:r>
      <w:ins w:id="29" w:author="Parks, Robbie M" w:date="2018-07-23T16:27:00Z">
        <w:r>
          <w:rPr>
            <w:bCs/>
            <w:color w:val="FF0000"/>
          </w:rPr>
          <w:t>, using centre of gravity methodology,</w:t>
        </w:r>
      </w:ins>
      <w:r w:rsidR="00BD7CB1">
        <w:rPr>
          <w:bCs/>
          <w:color w:val="FF0000"/>
        </w:rPr>
        <w:t xml:space="preserve"> </w:t>
      </w:r>
      <w:r w:rsidR="001F1D6F">
        <w:rPr>
          <w:bCs/>
          <w:color w:val="FF0000"/>
        </w:rPr>
        <w:t>ad</w:t>
      </w:r>
      <w:r w:rsidR="00153D7F">
        <w:rPr>
          <w:bCs/>
          <w:color w:val="FF0000"/>
        </w:rPr>
        <w:t>dresses</w:t>
      </w:r>
      <w:r w:rsidR="00A74C38">
        <w:rPr>
          <w:bCs/>
          <w:color w:val="FF0000"/>
        </w:rPr>
        <w:t xml:space="preserve"> this question, with </w:t>
      </w:r>
      <w:r w:rsidR="00BD7CB1">
        <w:rPr>
          <w:bCs/>
          <w:color w:val="FF0000"/>
        </w:rPr>
        <w:t>distinct timings for causes of death by age-sex group.</w:t>
      </w:r>
    </w:p>
    <w:p w14:paraId="2EA7001E" w14:textId="77777777" w:rsidR="00A74C38" w:rsidRPr="00BD7CB1" w:rsidRDefault="00A74C38" w:rsidP="006C6128">
      <w:pPr>
        <w:rPr>
          <w:bCs/>
          <w:i/>
          <w:color w:val="FF0000"/>
        </w:rPr>
      </w:pPr>
    </w:p>
    <w:p w14:paraId="5D545812" w14:textId="67E16912" w:rsidR="006C6128" w:rsidRDefault="006C6128" w:rsidP="006C6128">
      <w:pPr>
        <w:rPr>
          <w:bCs/>
          <w:i/>
          <w:color w:val="FF0000"/>
        </w:rPr>
      </w:pPr>
      <w:r w:rsidRPr="00BD7CB1">
        <w:rPr>
          <w:bCs/>
          <w:i/>
          <w:color w:val="FF0000"/>
        </w:rPr>
        <w:t>- Does γ vary by region (ne</w:t>
      </w:r>
      <w:r w:rsidR="00B23A5B">
        <w:rPr>
          <w:bCs/>
          <w:i/>
          <w:color w:val="FF0000"/>
        </w:rPr>
        <w:t>gative in cold-climate regions?</w:t>
      </w:r>
      <w:r w:rsidRPr="00BD7CB1">
        <w:rPr>
          <w:bCs/>
          <w:i/>
          <w:color w:val="FF0000"/>
        </w:rPr>
        <w:t xml:space="preserve"> </w:t>
      </w:r>
    </w:p>
    <w:p w14:paraId="75E12625" w14:textId="77777777" w:rsidR="00B162ED" w:rsidRDefault="00B162ED" w:rsidP="006C6128">
      <w:pPr>
        <w:rPr>
          <w:bCs/>
          <w:i/>
          <w:color w:val="FF0000"/>
        </w:rPr>
      </w:pPr>
    </w:p>
    <w:p w14:paraId="07B7DE76" w14:textId="28AB1486" w:rsidR="00B162ED" w:rsidRPr="00B162ED" w:rsidRDefault="00B162ED" w:rsidP="006C6128">
      <w:pPr>
        <w:rPr>
          <w:bCs/>
          <w:color w:val="FF0000"/>
        </w:rPr>
      </w:pPr>
      <w:r>
        <w:rPr>
          <w:bCs/>
          <w:color w:val="FF0000"/>
        </w:rPr>
        <w:t xml:space="preserve">Though not shown here, we have examined </w:t>
      </w:r>
      <w:proofErr w:type="spellStart"/>
      <w:r w:rsidRPr="00957F56">
        <w:rPr>
          <w:bCs/>
        </w:rPr>
        <w:t>γ</w:t>
      </w:r>
      <w:r>
        <w:rPr>
          <w:bCs/>
        </w:rPr>
        <w:t>’s</w:t>
      </w:r>
      <w:proofErr w:type="spellEnd"/>
      <w:r>
        <w:rPr>
          <w:bCs/>
        </w:rPr>
        <w:t xml:space="preserve"> variation by climate region. </w:t>
      </w:r>
      <w:r w:rsidR="002D5E92">
        <w:rPr>
          <w:bCs/>
        </w:rPr>
        <w:t>We have reported cross-section percent difference by reg</w:t>
      </w:r>
      <w:r w:rsidR="00006864">
        <w:rPr>
          <w:bCs/>
        </w:rPr>
        <w:t xml:space="preserve">ion (Figure 6). Including the figure would further make it difficult to provide a coherent story in one paper. Further, dividing </w:t>
      </w:r>
      <w:r w:rsidR="005E42F3">
        <w:rPr>
          <w:bCs/>
        </w:rPr>
        <w:t>the analysis into climate region for age,</w:t>
      </w:r>
      <w:r w:rsidR="00075C5C">
        <w:rPr>
          <w:bCs/>
        </w:rPr>
        <w:t xml:space="preserve"> </w:t>
      </w:r>
      <w:r w:rsidR="005E42F3">
        <w:rPr>
          <w:bCs/>
        </w:rPr>
        <w:t xml:space="preserve">sex, and cause of death creates issues with small </w:t>
      </w:r>
      <w:r w:rsidR="005F4570">
        <w:rPr>
          <w:bCs/>
        </w:rPr>
        <w:t>numbers.</w:t>
      </w:r>
    </w:p>
    <w:p w14:paraId="74D3DC6F" w14:textId="77777777" w:rsidR="00B162ED" w:rsidRPr="00BD7CB1" w:rsidRDefault="00B162ED" w:rsidP="006C6128">
      <w:pPr>
        <w:rPr>
          <w:bCs/>
          <w:i/>
          <w:color w:val="FF0000"/>
        </w:rPr>
      </w:pPr>
    </w:p>
    <w:p w14:paraId="07C381AF" w14:textId="77777777" w:rsidR="006C6128" w:rsidRPr="00BD7CB1" w:rsidRDefault="006C6128" w:rsidP="006C6128">
      <w:pPr>
        <w:rPr>
          <w:bCs/>
          <w:i/>
        </w:rPr>
      </w:pPr>
      <w:r w:rsidRPr="00BD7CB1">
        <w:rPr>
          <w:bCs/>
          <w:i/>
        </w:rPr>
        <w:t xml:space="preserve">- Do the cycles, given by the α, vary by region or is a nation-wide cycle sufficient? </w:t>
      </w:r>
    </w:p>
    <w:p w14:paraId="63C77173" w14:textId="77777777" w:rsidR="006C6128" w:rsidRDefault="006C6128" w:rsidP="00E61AB2">
      <w:pPr>
        <w:rPr>
          <w:bCs/>
        </w:rPr>
      </w:pPr>
    </w:p>
    <w:p w14:paraId="107A2F0B" w14:textId="55F41C85" w:rsidR="003E64B5" w:rsidRDefault="00EF7AB7" w:rsidP="00E61AB2">
      <w:pPr>
        <w:rPr>
          <w:bCs/>
        </w:rPr>
      </w:pPr>
      <w:r>
        <w:rPr>
          <w:bCs/>
        </w:rPr>
        <w:t>Figure XX</w:t>
      </w:r>
      <w:r w:rsidR="00153D7F">
        <w:rPr>
          <w:bCs/>
        </w:rPr>
        <w:t xml:space="preserve"> addre</w:t>
      </w:r>
      <w:r w:rsidR="00B162ED">
        <w:rPr>
          <w:bCs/>
        </w:rPr>
        <w:t>sses this</w:t>
      </w:r>
      <w:r w:rsidR="00153D7F">
        <w:rPr>
          <w:bCs/>
        </w:rPr>
        <w:t xml:space="preserve"> question</w:t>
      </w:r>
      <w:r w:rsidR="00B162ED">
        <w:rPr>
          <w:bCs/>
        </w:rPr>
        <w:t>, showing that independent of region, timing of maximum and minimum mortality remains stable</w:t>
      </w:r>
      <w:r w:rsidR="00153D7F">
        <w:rPr>
          <w:bCs/>
        </w:rPr>
        <w:t xml:space="preserve"> for many causes of death</w:t>
      </w:r>
      <w:r w:rsidR="00B162ED">
        <w:rPr>
          <w:bCs/>
        </w:rPr>
        <w:t>.</w:t>
      </w:r>
      <w:commentRangeEnd w:id="14"/>
      <w:r w:rsidR="00080FE2">
        <w:rPr>
          <w:rStyle w:val="CommentReference"/>
        </w:rPr>
        <w:commentReference w:id="14"/>
      </w:r>
      <w:commentRangeEnd w:id="15"/>
      <w:r w:rsidR="00545F82">
        <w:rPr>
          <w:rStyle w:val="CommentReference"/>
        </w:rPr>
        <w:commentReference w:id="15"/>
      </w:r>
    </w:p>
    <w:p w14:paraId="089425C7" w14:textId="63843D79" w:rsidR="003B6EF6" w:rsidRDefault="003B6EF6" w:rsidP="00E61AB2">
      <w:pPr>
        <w:rPr>
          <w:bCs/>
        </w:rPr>
      </w:pPr>
    </w:p>
    <w:p w14:paraId="6EAF2E5C" w14:textId="78C8AA13" w:rsidR="00080FE2" w:rsidRDefault="00080FE2" w:rsidP="00080FE2">
      <w:pPr>
        <w:rPr>
          <w:bCs/>
        </w:rPr>
      </w:pPr>
      <w:r>
        <w:rPr>
          <w:bCs/>
        </w:rPr>
        <w:t xml:space="preserve">We note however that all of the above questions are answerable through the methods used in the paper, with the specifics stated above. An advantage of the wavelet approach, compared to the use of cosinor basis functions, is </w:t>
      </w:r>
      <w:r w:rsidR="0030793D">
        <w:rPr>
          <w:bCs/>
        </w:rPr>
        <w:t>that it does not assume</w:t>
      </w:r>
      <w:r>
        <w:rPr>
          <w:bCs/>
        </w:rPr>
        <w:t xml:space="preserve"> stationary signals</w:t>
      </w:r>
      <w:ins w:id="30" w:author="Parks, Robbie M" w:date="2018-07-23T16:24:00Z">
        <w:r w:rsidR="0003627D">
          <w:rPr>
            <w:bCs/>
          </w:rPr>
          <w:t>.</w:t>
        </w:r>
      </w:ins>
    </w:p>
    <w:p w14:paraId="655376D6" w14:textId="77777777" w:rsidR="00EB4A12" w:rsidRDefault="00EB4A12" w:rsidP="00E61AB2">
      <w:pPr>
        <w:rPr>
          <w:bCs/>
        </w:rPr>
      </w:pPr>
    </w:p>
    <w:p w14:paraId="274327B9" w14:textId="77777777" w:rsidR="00D02BB5" w:rsidRDefault="00D02BB5" w:rsidP="00E61AB2">
      <w:pPr>
        <w:rPr>
          <w:b/>
          <w:bCs/>
        </w:rPr>
      </w:pPr>
      <w:r w:rsidRPr="00BD0E87">
        <w:rPr>
          <w:b/>
          <w:bCs/>
        </w:rPr>
        <w:t xml:space="preserve">B) The approach is different to a number of those referenced (particularly the standard measure of excess winter deaths). It would be helpful to have some comment on this, particularly the generalisability to other studies. The focus has been on peak months in this analysis, but the standard assessment of excess winter deaths is to compare December to March months to the rest of the year. </w:t>
      </w:r>
    </w:p>
    <w:p w14:paraId="34316467" w14:textId="77777777" w:rsidR="000A3852" w:rsidRDefault="000A3852" w:rsidP="00E61AB2">
      <w:pPr>
        <w:rPr>
          <w:b/>
          <w:bCs/>
        </w:rPr>
      </w:pPr>
    </w:p>
    <w:p w14:paraId="5D900B6A" w14:textId="5758B46F" w:rsidR="000A3852" w:rsidRDefault="000A3852" w:rsidP="00E61AB2">
      <w:pPr>
        <w:rPr>
          <w:bCs/>
        </w:rPr>
      </w:pPr>
      <w:r>
        <w:rPr>
          <w:bCs/>
        </w:rPr>
        <w:t xml:space="preserve">We </w:t>
      </w:r>
      <w:r w:rsidR="0030793D">
        <w:rPr>
          <w:bCs/>
        </w:rPr>
        <w:t xml:space="preserve">have </w:t>
      </w:r>
      <w:r>
        <w:rPr>
          <w:bCs/>
        </w:rPr>
        <w:t>avoided the term Excess Winter Deaths (EWDs)</w:t>
      </w:r>
      <w:r w:rsidR="0030793D">
        <w:rPr>
          <w:bCs/>
        </w:rPr>
        <w:t xml:space="preserve"> because the latter assumes higher deaths in</w:t>
      </w:r>
      <w:r>
        <w:rPr>
          <w:bCs/>
        </w:rPr>
        <w:t xml:space="preserve"> winter than in the summer</w:t>
      </w:r>
      <w:r w:rsidR="0030793D">
        <w:rPr>
          <w:bCs/>
        </w:rPr>
        <w:t xml:space="preserve">, and requires a priori decisions about which months to </w:t>
      </w:r>
      <w:r w:rsidR="0030793D">
        <w:rPr>
          <w:bCs/>
        </w:rPr>
        <w:lastRenderedPageBreak/>
        <w:t>include in “winter” and “summer”. Our empirical results show that peak mortality not only varies from age group to age group or cause by cause, but also can in the extreme take place in summer</w:t>
      </w:r>
      <w:r w:rsidR="00825700">
        <w:rPr>
          <w:bCs/>
        </w:rPr>
        <w:t xml:space="preserve">, </w:t>
      </w:r>
      <w:r w:rsidR="0030793D">
        <w:rPr>
          <w:bCs/>
        </w:rPr>
        <w:t>e.g., for young adult males</w:t>
      </w:r>
      <w:r>
        <w:rPr>
          <w:bCs/>
        </w:rPr>
        <w:t>. We have</w:t>
      </w:r>
      <w:r w:rsidR="0030793D">
        <w:rPr>
          <w:bCs/>
        </w:rPr>
        <w:t xml:space="preserve"> </w:t>
      </w:r>
      <w:r w:rsidR="000F5FF2">
        <w:rPr>
          <w:bCs/>
        </w:rPr>
        <w:t>added a brief overview of</w:t>
      </w:r>
      <w:r w:rsidR="00F63ABE">
        <w:rPr>
          <w:bCs/>
        </w:rPr>
        <w:t xml:space="preserve"> EWDs</w:t>
      </w:r>
      <w:r w:rsidR="000F5FF2">
        <w:rPr>
          <w:bCs/>
        </w:rPr>
        <w:t>, and why an empirical approach like ours is preferred to its strong assumptions</w:t>
      </w:r>
      <w:r>
        <w:rPr>
          <w:bCs/>
        </w:rPr>
        <w:t xml:space="preserve"> </w:t>
      </w:r>
      <w:r w:rsidR="000F5FF2">
        <w:rPr>
          <w:bCs/>
        </w:rPr>
        <w:t>(</w:t>
      </w:r>
      <w:r w:rsidR="0070750E">
        <w:rPr>
          <w:bCs/>
        </w:rPr>
        <w:t>P.</w:t>
      </w:r>
      <w:r w:rsidR="00F63ABE">
        <w:rPr>
          <w:bCs/>
        </w:rPr>
        <w:t xml:space="preserve"> XX</w:t>
      </w:r>
      <w:r w:rsidR="000F5FF2">
        <w:rPr>
          <w:bCs/>
        </w:rPr>
        <w:t>)</w:t>
      </w:r>
      <w:r w:rsidR="00F63ABE">
        <w:rPr>
          <w:bCs/>
        </w:rPr>
        <w:t>.</w:t>
      </w:r>
    </w:p>
    <w:p w14:paraId="06164D35" w14:textId="77777777" w:rsidR="00BD0E87" w:rsidRPr="00D02BB5" w:rsidRDefault="00BD0E87" w:rsidP="00E61AB2">
      <w:pPr>
        <w:rPr>
          <w:bCs/>
        </w:rPr>
      </w:pPr>
    </w:p>
    <w:p w14:paraId="7D11BBD3" w14:textId="77777777" w:rsidR="00D02BB5" w:rsidRPr="00C14A58" w:rsidRDefault="00D02BB5" w:rsidP="00E61AB2">
      <w:pPr>
        <w:rPr>
          <w:b/>
          <w:bCs/>
        </w:rPr>
      </w:pPr>
      <w:r w:rsidRPr="00C14A58">
        <w:rPr>
          <w:b/>
          <w:bCs/>
        </w:rPr>
        <w:t xml:space="preserve">C) Appropriate rationale was given to the regional splits used in the analysis. However no description was given of the characteristics of these regional areas other than subsequent information on temperatures. As pointed out there could be a number of factors that are important. I would expect some reference to their differing characteristics. </w:t>
      </w:r>
    </w:p>
    <w:p w14:paraId="2C5F846A" w14:textId="3FB26C5E" w:rsidR="00D02BB5" w:rsidRDefault="00D02BB5" w:rsidP="00E61AB2">
      <w:pPr>
        <w:rPr>
          <w:bCs/>
        </w:rPr>
      </w:pPr>
    </w:p>
    <w:p w14:paraId="3AF42731" w14:textId="3444264F" w:rsidR="00BD0E87" w:rsidRDefault="00BD0E87" w:rsidP="00E61AB2">
      <w:pPr>
        <w:rPr>
          <w:bCs/>
        </w:rPr>
      </w:pPr>
      <w:r>
        <w:rPr>
          <w:bCs/>
        </w:rPr>
        <w:t>A fair comment and addressed in the revised manuscript</w:t>
      </w:r>
      <w:r w:rsidR="00C14A58">
        <w:rPr>
          <w:bCs/>
        </w:rPr>
        <w:t xml:space="preserve"> by providing an overview of the characteristics of the r</w:t>
      </w:r>
      <w:r w:rsidR="006D1920">
        <w:rPr>
          <w:bCs/>
        </w:rPr>
        <w:t>e</w:t>
      </w:r>
      <w:r w:rsidR="00C14A58">
        <w:rPr>
          <w:bCs/>
        </w:rPr>
        <w:t>gions</w:t>
      </w:r>
      <w:r>
        <w:rPr>
          <w:bCs/>
        </w:rPr>
        <w:t xml:space="preserve"> (P. </w:t>
      </w:r>
      <w:r w:rsidR="0070750E">
        <w:rPr>
          <w:bCs/>
        </w:rPr>
        <w:t>XX</w:t>
      </w:r>
      <w:r w:rsidR="00BA7F9D">
        <w:rPr>
          <w:bCs/>
        </w:rPr>
        <w:t xml:space="preserve"> and Table </w:t>
      </w:r>
      <w:r w:rsidR="0070750E">
        <w:rPr>
          <w:bCs/>
        </w:rPr>
        <w:t>XX</w:t>
      </w:r>
      <w:r>
        <w:rPr>
          <w:bCs/>
        </w:rPr>
        <w:t>).</w:t>
      </w:r>
    </w:p>
    <w:p w14:paraId="6C9DEB4E" w14:textId="77777777" w:rsidR="00BD0E87" w:rsidRPr="00D02BB5" w:rsidRDefault="00BD0E87" w:rsidP="00E61AB2">
      <w:pPr>
        <w:rPr>
          <w:bCs/>
        </w:rPr>
      </w:pPr>
    </w:p>
    <w:p w14:paraId="6767AC99" w14:textId="77777777" w:rsidR="00D02BB5" w:rsidRPr="006D1920" w:rsidRDefault="00D02BB5" w:rsidP="00E61AB2">
      <w:pPr>
        <w:rPr>
          <w:b/>
          <w:bCs/>
        </w:rPr>
      </w:pPr>
      <w:r w:rsidRPr="006D1920">
        <w:rPr>
          <w:b/>
          <w:bCs/>
        </w:rPr>
        <w:t xml:space="preserve">4) Interpretation: </w:t>
      </w:r>
    </w:p>
    <w:p w14:paraId="0F555E79" w14:textId="77777777" w:rsidR="00D02BB5" w:rsidRPr="006D1920" w:rsidRDefault="00D02BB5" w:rsidP="00E61AB2">
      <w:pPr>
        <w:rPr>
          <w:b/>
          <w:bCs/>
        </w:rPr>
      </w:pPr>
    </w:p>
    <w:p w14:paraId="59160938" w14:textId="77777777" w:rsidR="00D02BB5" w:rsidRPr="006D1920" w:rsidRDefault="00D02BB5" w:rsidP="00E61AB2">
      <w:pPr>
        <w:rPr>
          <w:b/>
          <w:bCs/>
        </w:rPr>
      </w:pPr>
      <w:r w:rsidRPr="006D1920">
        <w:rPr>
          <w:b/>
          <w:bCs/>
        </w:rPr>
        <w:t xml:space="preserve">A) No table is presented with descriptive statistics, i.e. on the sample size of cases that fall into each disease category. </w:t>
      </w:r>
    </w:p>
    <w:p w14:paraId="3D6C8B33" w14:textId="1CBD2DDC" w:rsidR="00D02BB5" w:rsidRDefault="00D02BB5" w:rsidP="00E61AB2">
      <w:pPr>
        <w:rPr>
          <w:bCs/>
        </w:rPr>
      </w:pPr>
    </w:p>
    <w:p w14:paraId="20951A94" w14:textId="122A8983" w:rsidR="006D1920" w:rsidRDefault="006D1920" w:rsidP="00C13011">
      <w:pPr>
        <w:outlineLvl w:val="0"/>
        <w:rPr>
          <w:bCs/>
        </w:rPr>
      </w:pPr>
      <w:r>
        <w:rPr>
          <w:bCs/>
        </w:rPr>
        <w:t xml:space="preserve">We have added a table of descriptive statistics (Table </w:t>
      </w:r>
      <w:r w:rsidR="00CD148A">
        <w:rPr>
          <w:bCs/>
        </w:rPr>
        <w:t>XX</w:t>
      </w:r>
      <w:r>
        <w:rPr>
          <w:bCs/>
        </w:rPr>
        <w:t>).</w:t>
      </w:r>
    </w:p>
    <w:p w14:paraId="34584CBB" w14:textId="77777777" w:rsidR="006D1920" w:rsidRPr="00D02BB5" w:rsidRDefault="006D1920" w:rsidP="00E61AB2">
      <w:pPr>
        <w:rPr>
          <w:bCs/>
        </w:rPr>
      </w:pPr>
    </w:p>
    <w:p w14:paraId="082505E9" w14:textId="77777777" w:rsidR="00D02BB5" w:rsidRPr="006D1920" w:rsidRDefault="00D02BB5" w:rsidP="00E61AB2">
      <w:pPr>
        <w:rPr>
          <w:b/>
          <w:bCs/>
        </w:rPr>
      </w:pPr>
      <w:r w:rsidRPr="006D1920">
        <w:rPr>
          <w:b/>
          <w:bCs/>
        </w:rPr>
        <w:t xml:space="preserve">B) I may be misreading the paper (in which case it would be helpful to clarify so others do not make the same mistake), however the analysis in figure 6 compares the difference in temperature experienced in those regions between the warmest and coldest months versus the % seasonal difference in death. In the discussion this in contrasted with findings from Europe where countries with a more temperate winter have, paradoxically, higher rates of excess winter mortality. However this is not an appropriate direct comparison, regional extremes in variation were not looked at when comparisons between countries are made. This does not invalidate the comparison but it would be helpful to explicitly summarise if there are any differences between regions and examine what those are, </w:t>
      </w:r>
    </w:p>
    <w:p w14:paraId="0F608215" w14:textId="247FF14B" w:rsidR="00D02BB5" w:rsidRDefault="00D02BB5" w:rsidP="00E61AB2">
      <w:pPr>
        <w:rPr>
          <w:bCs/>
        </w:rPr>
      </w:pPr>
    </w:p>
    <w:p w14:paraId="0B8D1C95" w14:textId="19244540" w:rsidR="00DC0E3F" w:rsidRDefault="00BE0B8B" w:rsidP="0003425D">
      <w:pPr>
        <w:rPr>
          <w:ins w:id="31" w:author="Parks, Robbie M" w:date="2018-07-23T15:57:00Z"/>
          <w:bCs/>
        </w:rPr>
      </w:pPr>
      <w:r>
        <w:rPr>
          <w:bCs/>
        </w:rPr>
        <w:t>A fair comment and address</w:t>
      </w:r>
      <w:r w:rsidR="00554D06">
        <w:rPr>
          <w:bCs/>
        </w:rPr>
        <w:t xml:space="preserve">ed </w:t>
      </w:r>
      <w:r>
        <w:rPr>
          <w:bCs/>
        </w:rPr>
        <w:t xml:space="preserve">in the </w:t>
      </w:r>
      <w:r w:rsidR="00B71F4E">
        <w:rPr>
          <w:bCs/>
        </w:rPr>
        <w:t>revised manuscript in the discussion</w:t>
      </w:r>
      <w:r>
        <w:rPr>
          <w:bCs/>
        </w:rPr>
        <w:t xml:space="preserve">. </w:t>
      </w:r>
      <w:r w:rsidR="007103CF">
        <w:rPr>
          <w:bCs/>
        </w:rPr>
        <w:t xml:space="preserve">Specifically, the European papers that we had cited </w:t>
      </w:r>
      <w:r w:rsidR="007103CF">
        <w:rPr>
          <w:bCs/>
        </w:rPr>
        <w:fldChar w:fldCharType="begin" w:fldLock="1"/>
      </w:r>
      <w:r w:rsidR="00627F9F">
        <w:rPr>
          <w:bCs/>
        </w:rPr>
        <w:instrText>ADDIN CSL_CITATION {"citationItems":[{"id":"ITEM-1","itemData":{"DOI":"10.1093/eurpub/cku073","ISBN":"1464-360X (Electronic)\\r1101-1262 (Linking)","ISSN":"1464360X","PMID":"24919695","abstract":"BACKGROUND Winter deaths are a known health and social care challenge for many countries. A previous international comparison showed significant differences in excess winter deaths across Europe in the 1990s, with the northern countries having lower excess winter mortality than those in southern Europe. METHODS The Excess Winter Deaths Index (EWDI) is the ratio of deaths in the winter period (December to March) compared with deaths in the non-winter period. Data from the Eurostat database and national registries were used to calculate the EWDI for 31 countries in Europe across the time period 2002/2003 to 2010/2011. RESULTS National EWDI values show heterogeneity, with a broad pattern of increasing EWDI values from northern to southern Europe and increasing mean winter temperature (r(2) = 0.50, P &gt; 0.0001). Malta, Portugal, Spain, Cyprus and Belgium all had an EWDI that was statistically significantly higher than the average EWDI for the other 30 European countries. There was no clear association between country-level EWDI and the level of inter-annual variability in winter temperature across Europe. DISCUSSION This article demonstrates the differences in EWDI that exist between European countries with implications for both research and policy. Many deaths may be avoidable as environmental, social and personal factors are known to contribute to winter mortality. We now need to work to better understand the causes of inter-country differences.","author":[{"dropping-particle":"","family":"Fowler","given":"Tom","non-dropping-particle":"","parse-names":false,"suffix":""},{"dropping-particle":"","family":"Southgate","given":"Rosamund J.","non-dropping-particle":"","parse-names":false,"suffix":""},{"dropping-particle":"","family":"Waite","given":"Thomas","non-dropping-particle":"","parse-names":false,"suffix":""},{"dropping-particle":"","family":"Harrell","given":"Ruth","non-dropping-particle":"","parse-names":false,"suffix":""},{"dropping-particle":"","family":"Kovats","given":"Sari","non-dropping-particle":"","parse-names":false,"suffix":""},{"dropping-particle":"","family":"Bone","given":"Angie","non-dropping-particle":"","parse-names":false,"suffix":""},{"dropping-particle":"","family":"Doyle","given":"Yvonne","non-dropping-particle":"","parse-names":false,"suffix":""},{"dropping-particle":"","family":"Murray","given":"Virginia","non-dropping-particle":"","parse-names":false,"suffix":""}],"container-title":"European Journal of Public Health","id":"ITEM-1","issue":"2","issued":{"date-parts":[["2015"]]},"page":"339-345","title":"Excess winter deaths in Europe: A multi-country descriptive analysis","type":"article-journal","volume":"25"},"uris":["http://www.mendeley.com/documents/?uuid=b30766a9-cdc0-41a0-95d8-1ca7a2391ddd"]},{"id":"ITEM-2","itemData":{"DOI":"10.1136/jech.57.10.784","ISBN":"0143-005X","ISSN":"0143005X","PMID":"14573581","abstract":"OBJECTIVE: Much debate remains regarding why certain countries experience dramatically higher winter mortality. Potential causative factors other than cold exposure have rarely been analysed. Comparatively less research exists on excess winter deaths in southern Europe. Multiple time series data on a variety of risk factors are analysed against seasonal-mortality patterns in 14 European countries to identify key relations Subjects and setting: Excess winter deaths (all causes), 1988-97, EU-14.\\n\\nDESIGN: Coefficients of seasonal variation in mortality are calculated for EU-14 using monthly mortality data. Comparable, longitudinal datasets on risk factors pertaining to climate, macroeconomy, health care, lifestyle, socioeconomics, and housing were also obtained. Poisson regression identifies seasonality relations over time.\\n\\nRESULTS: Portugal suffers from the highest rates of excess winter mortality (28%, CI=25% to 31%) followed jointly by Spain (21%, CI=19% to 23%), and Ireland (21%, CI=18% to 24%). Cross country variations in mean winter environmental temperature (regression coefficient (beta)=0.27), mean winter relative humidity (beta=0.54), parity adjusted per capita national income (beta=1.08), per capita health expenditure (beta=-1.19), rates of income poverty (beta=-0.47), inequality (beta=0.97), deprivation (beta=0.11), and fuel poverty (beta=0.44), and several indicators of residential thermal standards are found to be significantly related to variations in relative excess winter mortality at the 5% level. The strong, positive relation with environmental temperature and strong negative relation with thermal efficiency indicate that housing standards in southern and western Europe play strong parts in such seasonality.\\n\\nCONCLUSIONS: High seasonal mortality in southern and western Europe could be reduced through improved protection from the cold indoors, increased public spending on health care, and improved socioeconomic circumstances resulting in more equitable income distribution.","author":[{"dropping-particle":"","family":"Healy","given":"J. D.","non-dropping-particle":"","parse-names":false,"suffix":""}],"container-title":"Journal of Epidemiology and Community Health","id":"ITEM-2","issue":"10","issued":{"date-parts":[["2003"]]},"page":"784-789","title":"Excess winter mortality in Europe: A cross country analysis identifying key risk factors","type":"article-journal","volume":"57"},"uris":["http://www.mendeley.com/documents/?uuid=f7ab7783-971a-4e21-9158-84e008745163"]},{"id":"ITEM-3","itemData":{"DOI":"10.1007/BF00156826","ISSN":"03922990","abstract":"There is a substantial increase in the number of deaths in winter in the United Kingdom. This is also seen in some, but not all, European countries. Almost 60% of the the variation among countries can be explained by the minimum average monthly temperature and the gross national product per capita. Seasonal variation is lowest in those countries with cold winters, suggesting that insulation may be important. It is also low in the more wealthy countries. The implications for health service policy of these finding are discussed. Some of the residual variation may be explained by known factors, such as low cost geo-thermal energy in Iceland, but much remains unexplained. There is a need for more research in this field. © 1989 Kluwer Academic Publishers.","author":[{"dropping-particle":"","family":"McKee","given":"C. M.","non-dropping-particle":"","parse-names":false,"suffix":""}],"container-title":"European Journal of Epidemiology","id":"ITEM-3","issue":"2","issued":{"date-parts":[["1989"]]},"page":"178-182","title":"Deaths in winter: Can Britain learn from Europe?","type":"article-journal","volume":"5"},"uris":["http://www.mendeley.com/documents/?uuid=3cd840a5-addb-4d68-9dcf-039d2f2f1220"]}],"mendeley":{"formattedCitation":"(Fowler et al., 2015; Healy, 2003; McKee, 1989)","plainTextFormattedCitation":"(Fowler et al., 2015; Healy, 2003; McKee, 1989)","previouslyFormattedCitation":"(Fowler et al., 2015; Healy, 2003; McKee, 1989)"},"properties":{"noteIndex":0},"schema":"https://github.com/citation-style-language/schema/raw/master/csl-citation.json"}</w:instrText>
      </w:r>
      <w:r w:rsidR="007103CF">
        <w:rPr>
          <w:bCs/>
        </w:rPr>
        <w:fldChar w:fldCharType="separate"/>
      </w:r>
      <w:r w:rsidR="007103CF" w:rsidRPr="003A105F">
        <w:rPr>
          <w:bCs/>
          <w:noProof/>
        </w:rPr>
        <w:t>(Fowler et al., 2015; Healy, 2003; McKee, 1989)</w:t>
      </w:r>
      <w:r w:rsidR="007103CF">
        <w:rPr>
          <w:bCs/>
        </w:rPr>
        <w:fldChar w:fldCharType="end"/>
      </w:r>
      <w:r w:rsidR="007103CF">
        <w:rPr>
          <w:bCs/>
        </w:rPr>
        <w:t xml:space="preserve"> had based their comparison on annual mean temperature whereas ours was based on the temperature range. We have clarified this distinction in the revised Discussion, noting that the </w:t>
      </w:r>
      <w:proofErr w:type="gramStart"/>
      <w:r w:rsidR="007103CF">
        <w:rPr>
          <w:bCs/>
        </w:rPr>
        <w:t>two temperature</w:t>
      </w:r>
      <w:proofErr w:type="gramEnd"/>
      <w:r w:rsidR="007103CF">
        <w:rPr>
          <w:bCs/>
        </w:rPr>
        <w:t xml:space="preserve"> metrics are correlated (see Figure below).</w:t>
      </w:r>
    </w:p>
    <w:p w14:paraId="5C4BCC08" w14:textId="095B5D50" w:rsidR="007103CF" w:rsidRDefault="00200430" w:rsidP="0003425D">
      <w:pPr>
        <w:rPr>
          <w:bCs/>
        </w:rPr>
      </w:pPr>
      <w:ins w:id="32" w:author="Parks, Robbie M" w:date="2018-07-23T16:10:00Z">
        <w:r w:rsidRPr="00643F81">
          <w:rPr>
            <w:bCs/>
            <w:noProof/>
            <w:lang w:eastAsia="en-GB"/>
          </w:rPr>
          <w:lastRenderedPageBreak/>
          <w:drawing>
            <wp:inline distT="0" distB="0" distL="0" distR="0" wp14:anchorId="0463FDFF" wp14:editId="40F7B079">
              <wp:extent cx="5740400" cy="4053840"/>
              <wp:effectExtent l="0" t="0" r="0" b="0"/>
              <wp:docPr id="1" name="Picture 1" descr="../../../../../../../../../../climate/countries/USA/output/seasonality_index_against_mean/t2m/mean/comparison_of_mean_against_range_1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limate/countries/USA/output/seasonality_index_against_mean/t2m/mean/comparison_of_mean_against_range_19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40400" cy="4053840"/>
                      </a:xfrm>
                      <a:prstGeom prst="rect">
                        <a:avLst/>
                      </a:prstGeom>
                      <a:noFill/>
                      <a:ln>
                        <a:noFill/>
                      </a:ln>
                    </pic:spPr>
                  </pic:pic>
                </a:graphicData>
              </a:graphic>
            </wp:inline>
          </w:drawing>
        </w:r>
      </w:ins>
    </w:p>
    <w:p w14:paraId="2DD4413B" w14:textId="1C2FC410" w:rsidR="007103CF" w:rsidRDefault="007103CF" w:rsidP="0003425D">
      <w:pPr>
        <w:rPr>
          <w:bCs/>
        </w:rPr>
      </w:pPr>
      <w:r>
        <w:rPr>
          <w:bCs/>
        </w:rPr>
        <w:t xml:space="preserve">Figure: The relationship between annual mean temperature (used in European papers) and temperature range between maximum and minimum mortality months (used in our paper). </w:t>
      </w:r>
    </w:p>
    <w:p w14:paraId="62437E46" w14:textId="77777777" w:rsidR="0002089D" w:rsidRDefault="0002089D" w:rsidP="0003425D">
      <w:pPr>
        <w:rPr>
          <w:bCs/>
        </w:rPr>
      </w:pPr>
    </w:p>
    <w:p w14:paraId="7CC183C7" w14:textId="3F8E77AD" w:rsidR="006D1920" w:rsidRDefault="00D02BB5" w:rsidP="00E61AB2">
      <w:pPr>
        <w:rPr>
          <w:b/>
          <w:bCs/>
        </w:rPr>
      </w:pPr>
      <w:r w:rsidRPr="006D1920">
        <w:rPr>
          <w:b/>
          <w:bCs/>
        </w:rPr>
        <w:t xml:space="preserve">C) One option for this paper would be to be admittedly exploratory, avoiding the use of the word 'significant' and simplifying the analysis. Simple monthly averages and testing for the months having the same mean could replace the wavelet analysis. A second option would be to focus on a specific research hypothesis, explain carefully how the model estimates relate to this research hypothesis, and adjust the p-values for multiple testing. </w:t>
      </w:r>
    </w:p>
    <w:p w14:paraId="4C67630D" w14:textId="19E4A3ED" w:rsidR="006D1920" w:rsidRDefault="006D1920" w:rsidP="00E61AB2">
      <w:pPr>
        <w:rPr>
          <w:bCs/>
        </w:rPr>
      </w:pPr>
    </w:p>
    <w:p w14:paraId="737172FE" w14:textId="3D938FC8" w:rsidR="0084489A" w:rsidRDefault="00A918ED" w:rsidP="00E61AB2">
      <w:pPr>
        <w:rPr>
          <w:bCs/>
        </w:rPr>
      </w:pPr>
      <w:r>
        <w:rPr>
          <w:bCs/>
        </w:rPr>
        <w:t xml:space="preserve">As above, </w:t>
      </w:r>
      <w:r w:rsidR="00367C69">
        <w:rPr>
          <w:bCs/>
        </w:rPr>
        <w:t>w</w:t>
      </w:r>
      <w:r>
        <w:rPr>
          <w:bCs/>
        </w:rPr>
        <w:t>avelet analysis</w:t>
      </w:r>
      <w:r w:rsidR="00367C69">
        <w:rPr>
          <w:bCs/>
        </w:rPr>
        <w:t>,</w:t>
      </w:r>
      <w:r>
        <w:rPr>
          <w:bCs/>
        </w:rPr>
        <w:t xml:space="preserve"> the subsequent step of </w:t>
      </w:r>
      <w:r w:rsidR="00367C69">
        <w:rPr>
          <w:bCs/>
        </w:rPr>
        <w:t xml:space="preserve">centre-of-gravity analysis to identify peak and minimum mortality months, and the analysis of changes in seasonal mortality range are all formal analyses. We now also provide the results from the alternative methods, noting as above that this approach involves additional assumptions. </w:t>
      </w:r>
      <w:r w:rsidR="00367C69" w:rsidRPr="00367C69">
        <w:rPr>
          <w:bCs/>
          <w:highlight w:val="yellow"/>
        </w:rPr>
        <w:t>[[[to discuss multiple testing adjustment]]]</w:t>
      </w:r>
    </w:p>
    <w:p w14:paraId="53E468E1" w14:textId="77777777" w:rsidR="0084489A" w:rsidRPr="00D02BB5" w:rsidRDefault="0084489A" w:rsidP="00E61AB2">
      <w:pPr>
        <w:rPr>
          <w:bCs/>
        </w:rPr>
      </w:pPr>
    </w:p>
    <w:p w14:paraId="46D7E281" w14:textId="77777777" w:rsidR="00D02BB5" w:rsidRPr="006D1920" w:rsidRDefault="00D02BB5" w:rsidP="00C13011">
      <w:pPr>
        <w:outlineLvl w:val="0"/>
        <w:rPr>
          <w:b/>
          <w:bCs/>
        </w:rPr>
      </w:pPr>
      <w:r w:rsidRPr="006D1920">
        <w:rPr>
          <w:b/>
          <w:bCs/>
        </w:rPr>
        <w:t xml:space="preserve">MINOR POINTS: </w:t>
      </w:r>
    </w:p>
    <w:p w14:paraId="6319585C" w14:textId="77777777" w:rsidR="00D02BB5" w:rsidRPr="006D1920" w:rsidRDefault="00D02BB5" w:rsidP="00E61AB2">
      <w:pPr>
        <w:rPr>
          <w:b/>
          <w:bCs/>
        </w:rPr>
      </w:pPr>
    </w:p>
    <w:p w14:paraId="3F169913" w14:textId="77777777" w:rsidR="00D779EA" w:rsidRDefault="00D02BB5" w:rsidP="00E61AB2">
      <w:pPr>
        <w:rPr>
          <w:b/>
          <w:bCs/>
        </w:rPr>
      </w:pPr>
      <w:r w:rsidRPr="006D1920">
        <w:rPr>
          <w:b/>
          <w:bCs/>
        </w:rPr>
        <w:t>There are various grammatical issues in the manuscript, it could benefit from a further proof reading.</w:t>
      </w:r>
    </w:p>
    <w:p w14:paraId="2277DBA5" w14:textId="77777777" w:rsidR="00D779EA" w:rsidRDefault="00D779EA" w:rsidP="00E61AB2">
      <w:pPr>
        <w:rPr>
          <w:b/>
          <w:bCs/>
        </w:rPr>
      </w:pPr>
    </w:p>
    <w:p w14:paraId="5E5FB808" w14:textId="2060C841" w:rsidR="00D02BB5" w:rsidRPr="00CD148A" w:rsidRDefault="00367C69" w:rsidP="00E61AB2">
      <w:pPr>
        <w:rPr>
          <w:bCs/>
        </w:rPr>
      </w:pPr>
      <w:r>
        <w:rPr>
          <w:bCs/>
        </w:rPr>
        <w:t>W</w:t>
      </w:r>
      <w:r w:rsidR="00D779EA">
        <w:rPr>
          <w:bCs/>
        </w:rPr>
        <w:t xml:space="preserve">e have </w:t>
      </w:r>
      <w:r>
        <w:rPr>
          <w:bCs/>
        </w:rPr>
        <w:t xml:space="preserve">read the paper carefully to find and correct editorial issues, and of course welcome suggestions for specific corrections. </w:t>
      </w:r>
    </w:p>
    <w:p w14:paraId="1923F95A" w14:textId="77777777" w:rsidR="00D02BB5" w:rsidRPr="006D1920" w:rsidRDefault="00D02BB5" w:rsidP="00E61AB2">
      <w:pPr>
        <w:rPr>
          <w:b/>
          <w:bCs/>
        </w:rPr>
      </w:pPr>
    </w:p>
    <w:p w14:paraId="1421C17F" w14:textId="77777777" w:rsidR="00D02BB5" w:rsidRPr="006D1920" w:rsidRDefault="00D02BB5" w:rsidP="00C13011">
      <w:pPr>
        <w:outlineLvl w:val="0"/>
        <w:rPr>
          <w:b/>
          <w:bCs/>
        </w:rPr>
      </w:pPr>
      <w:r w:rsidRPr="006D1920">
        <w:rPr>
          <w:b/>
          <w:bCs/>
        </w:rPr>
        <w:t xml:space="preserve">For example in the abstract the starting sentence </w:t>
      </w:r>
    </w:p>
    <w:p w14:paraId="6E08E9C5" w14:textId="77777777" w:rsidR="00D02BB5" w:rsidRPr="006D1920" w:rsidRDefault="00D02BB5" w:rsidP="00E61AB2">
      <w:pPr>
        <w:rPr>
          <w:b/>
          <w:bCs/>
        </w:rPr>
      </w:pPr>
    </w:p>
    <w:p w14:paraId="66FD1317" w14:textId="77777777" w:rsidR="00D02BB5" w:rsidRPr="006D1920" w:rsidRDefault="00D02BB5" w:rsidP="00E61AB2">
      <w:pPr>
        <w:rPr>
          <w:b/>
          <w:bCs/>
        </w:rPr>
      </w:pPr>
      <w:r w:rsidRPr="006D1920">
        <w:rPr>
          <w:b/>
          <w:bCs/>
        </w:rPr>
        <w:lastRenderedPageBreak/>
        <w:t xml:space="preserve">'It has been hypothesized that a warmer world may lower winter mortality in temperate climates, where winter deaths exceed summer ones.' </w:t>
      </w:r>
    </w:p>
    <w:p w14:paraId="15D2422F" w14:textId="77777777" w:rsidR="00D02BB5" w:rsidRPr="006D1920" w:rsidRDefault="00D02BB5" w:rsidP="00E61AB2">
      <w:pPr>
        <w:rPr>
          <w:b/>
          <w:bCs/>
        </w:rPr>
      </w:pPr>
    </w:p>
    <w:p w14:paraId="3E41BCF9" w14:textId="77777777" w:rsidR="00D02BB5" w:rsidRPr="006D1920" w:rsidRDefault="00D02BB5" w:rsidP="00E61AB2">
      <w:pPr>
        <w:rPr>
          <w:b/>
          <w:bCs/>
        </w:rPr>
      </w:pPr>
      <w:r w:rsidRPr="006D1920">
        <w:rPr>
          <w:b/>
          <w:bCs/>
        </w:rPr>
        <w:t xml:space="preserve">Could be taken to imply that it is temperate climates where winter deaths exceed summer ones. It may be clearer to use the more standardised terminology of 'excess winter mortality ' e.g., 'It has been hypothesized that a warmer world may lower excess winter mortality in temperate climates.' </w:t>
      </w:r>
    </w:p>
    <w:p w14:paraId="7AFB6343" w14:textId="3B536FFA" w:rsidR="00D02BB5" w:rsidRDefault="00D02BB5" w:rsidP="00E61AB2">
      <w:pPr>
        <w:rPr>
          <w:bCs/>
        </w:rPr>
      </w:pPr>
    </w:p>
    <w:p w14:paraId="0AFB9C3F" w14:textId="02EEEA61" w:rsidR="006D1920" w:rsidRDefault="006D1920" w:rsidP="00E61AB2">
      <w:pPr>
        <w:rPr>
          <w:bCs/>
        </w:rPr>
      </w:pPr>
      <w:r>
        <w:rPr>
          <w:bCs/>
        </w:rPr>
        <w:t xml:space="preserve">We have </w:t>
      </w:r>
      <w:r w:rsidR="005D48DC">
        <w:rPr>
          <w:bCs/>
        </w:rPr>
        <w:t>avoided the term excess winter mortality because</w:t>
      </w:r>
      <w:r w:rsidR="00367C69">
        <w:rPr>
          <w:bCs/>
        </w:rPr>
        <w:t>, as above,</w:t>
      </w:r>
      <w:r w:rsidR="005D48DC">
        <w:rPr>
          <w:bCs/>
        </w:rPr>
        <w:t xml:space="preserve"> it is commonly used f</w:t>
      </w:r>
      <w:r w:rsidR="006600A6">
        <w:rPr>
          <w:bCs/>
        </w:rPr>
        <w:t>or a very specific calculation</w:t>
      </w:r>
      <w:r w:rsidR="005D48DC">
        <w:rPr>
          <w:bCs/>
        </w:rPr>
        <w:t>.</w:t>
      </w:r>
      <w:r w:rsidR="00367C69">
        <w:rPr>
          <w:bCs/>
        </w:rPr>
        <w:t xml:space="preserve"> We have nonetheless modified this sentence for clarity (P. XX).</w:t>
      </w:r>
    </w:p>
    <w:p w14:paraId="18BE887C" w14:textId="77777777" w:rsidR="006D1920" w:rsidRPr="00D02BB5" w:rsidRDefault="006D1920" w:rsidP="00E61AB2">
      <w:pPr>
        <w:rPr>
          <w:bCs/>
        </w:rPr>
      </w:pPr>
    </w:p>
    <w:p w14:paraId="191BF422" w14:textId="77777777" w:rsidR="00D02BB5" w:rsidRPr="005D48DC" w:rsidRDefault="00D02BB5" w:rsidP="00C13011">
      <w:pPr>
        <w:outlineLvl w:val="0"/>
        <w:rPr>
          <w:b/>
          <w:bCs/>
        </w:rPr>
      </w:pPr>
      <w:r w:rsidRPr="005D48DC">
        <w:rPr>
          <w:b/>
          <w:bCs/>
        </w:rPr>
        <w:t xml:space="preserve">Introduction </w:t>
      </w:r>
    </w:p>
    <w:p w14:paraId="60717A51" w14:textId="77777777" w:rsidR="00D02BB5" w:rsidRPr="005D48DC" w:rsidRDefault="00D02BB5" w:rsidP="00E61AB2">
      <w:pPr>
        <w:rPr>
          <w:b/>
          <w:bCs/>
        </w:rPr>
      </w:pPr>
      <w:r w:rsidRPr="005D48DC">
        <w:rPr>
          <w:b/>
          <w:bCs/>
        </w:rPr>
        <w:t xml:space="preserve">41 - what is a weather regime? </w:t>
      </w:r>
    </w:p>
    <w:p w14:paraId="7C6E5794" w14:textId="025CA386" w:rsidR="00D02BB5" w:rsidRDefault="00D02BB5" w:rsidP="00E61AB2">
      <w:pPr>
        <w:rPr>
          <w:bCs/>
        </w:rPr>
      </w:pPr>
    </w:p>
    <w:p w14:paraId="36F9F21E" w14:textId="22B0F89A" w:rsidR="005D48DC" w:rsidRDefault="005D48DC" w:rsidP="00C13011">
      <w:pPr>
        <w:outlineLvl w:val="0"/>
        <w:rPr>
          <w:bCs/>
        </w:rPr>
      </w:pPr>
      <w:r>
        <w:rPr>
          <w:bCs/>
        </w:rPr>
        <w:t xml:space="preserve">We have reworded for clarity (P. </w:t>
      </w:r>
      <w:r w:rsidR="007F3884">
        <w:rPr>
          <w:bCs/>
        </w:rPr>
        <w:t>XX</w:t>
      </w:r>
      <w:r>
        <w:rPr>
          <w:bCs/>
        </w:rPr>
        <w:t>).</w:t>
      </w:r>
    </w:p>
    <w:p w14:paraId="08343B2E" w14:textId="77777777" w:rsidR="005D48DC" w:rsidRPr="00D02BB5" w:rsidRDefault="005D48DC" w:rsidP="00E61AB2">
      <w:pPr>
        <w:rPr>
          <w:bCs/>
        </w:rPr>
      </w:pPr>
    </w:p>
    <w:p w14:paraId="3022C705" w14:textId="77777777" w:rsidR="00D02BB5" w:rsidRPr="005D48DC" w:rsidRDefault="00D02BB5" w:rsidP="00C13011">
      <w:pPr>
        <w:outlineLvl w:val="0"/>
        <w:rPr>
          <w:b/>
          <w:bCs/>
        </w:rPr>
      </w:pPr>
      <w:r w:rsidRPr="005D48DC">
        <w:rPr>
          <w:b/>
          <w:bCs/>
        </w:rPr>
        <w:t xml:space="preserve">Discussion </w:t>
      </w:r>
    </w:p>
    <w:p w14:paraId="552261E8" w14:textId="36DF0141" w:rsidR="00BA466B" w:rsidRPr="005D48DC" w:rsidRDefault="00D02BB5" w:rsidP="00E61AB2">
      <w:pPr>
        <w:rPr>
          <w:b/>
          <w:bCs/>
        </w:rPr>
      </w:pPr>
      <w:r w:rsidRPr="005D48DC">
        <w:rPr>
          <w:b/>
          <w:bCs/>
        </w:rPr>
        <w:t>131 - is it not seasonal patterns rather than seasonal behaviors?</w:t>
      </w:r>
    </w:p>
    <w:p w14:paraId="5C6443A9" w14:textId="77777777" w:rsidR="005D48DC" w:rsidRDefault="005D48DC" w:rsidP="00E61AB2">
      <w:pPr>
        <w:jc w:val="left"/>
        <w:rPr>
          <w:bCs/>
        </w:rPr>
      </w:pPr>
    </w:p>
    <w:p w14:paraId="5D00C770" w14:textId="2B6B94FF" w:rsidR="007E0D70" w:rsidRDefault="005D48DC" w:rsidP="00C13011">
      <w:pPr>
        <w:jc w:val="left"/>
        <w:outlineLvl w:val="0"/>
        <w:rPr>
          <w:bCs/>
        </w:rPr>
      </w:pPr>
      <w:r>
        <w:rPr>
          <w:bCs/>
        </w:rPr>
        <w:t xml:space="preserve">We have reworded as suggested (P. </w:t>
      </w:r>
      <w:proofErr w:type="gramStart"/>
      <w:r w:rsidR="007F3884">
        <w:rPr>
          <w:bCs/>
        </w:rPr>
        <w:t>XX</w:t>
      </w:r>
      <w:r w:rsidR="00D97DDE">
        <w:rPr>
          <w:bCs/>
        </w:rPr>
        <w:t>,</w:t>
      </w:r>
      <w:r w:rsidR="007F3884">
        <w:rPr>
          <w:bCs/>
        </w:rPr>
        <w:t>XX</w:t>
      </w:r>
      <w:proofErr w:type="gramEnd"/>
      <w:r>
        <w:rPr>
          <w:bCs/>
        </w:rPr>
        <w:t>).</w:t>
      </w:r>
    </w:p>
    <w:p w14:paraId="70A295BB" w14:textId="77777777" w:rsidR="007E0D70" w:rsidRDefault="007E0D70" w:rsidP="00E61AB2">
      <w:pPr>
        <w:jc w:val="left"/>
        <w:rPr>
          <w:bCs/>
        </w:rPr>
      </w:pPr>
    </w:p>
    <w:p w14:paraId="334BA964" w14:textId="77777777" w:rsidR="007E0D70" w:rsidRPr="00DE63FA" w:rsidRDefault="007E0D70" w:rsidP="00C13011">
      <w:pPr>
        <w:jc w:val="left"/>
        <w:outlineLvl w:val="0"/>
        <w:rPr>
          <w:b/>
          <w:bCs/>
        </w:rPr>
      </w:pPr>
      <w:r w:rsidRPr="00DE63FA">
        <w:rPr>
          <w:b/>
          <w:bCs/>
        </w:rPr>
        <w:t>Additional revisions</w:t>
      </w:r>
    </w:p>
    <w:p w14:paraId="500987D1" w14:textId="582E3661" w:rsidR="007E0D70" w:rsidRPr="00CD71BB" w:rsidRDefault="007E0D70" w:rsidP="007E0D70">
      <w:pPr>
        <w:pStyle w:val="BodyText"/>
        <w:spacing w:after="0" w:line="240" w:lineRule="auto"/>
        <w:rPr>
          <w:bCs/>
        </w:rPr>
      </w:pPr>
      <w:r>
        <w:rPr>
          <w:bCs/>
        </w:rPr>
        <w:t>We have obtained</w:t>
      </w:r>
      <w:r w:rsidR="00831D8C">
        <w:rPr>
          <w:bCs/>
        </w:rPr>
        <w:t>, and included in the analysis, three</w:t>
      </w:r>
      <w:r>
        <w:rPr>
          <w:bCs/>
        </w:rPr>
        <w:t xml:space="preserve"> </w:t>
      </w:r>
      <w:r w:rsidR="00831D8C">
        <w:rPr>
          <w:bCs/>
        </w:rPr>
        <w:t>additional</w:t>
      </w:r>
      <w:r>
        <w:rPr>
          <w:bCs/>
        </w:rPr>
        <w:t xml:space="preserve"> years of data</w:t>
      </w:r>
      <w:r w:rsidR="00831D8C">
        <w:rPr>
          <w:bCs/>
        </w:rPr>
        <w:t xml:space="preserve"> </w:t>
      </w:r>
      <w:r w:rsidR="0067476B">
        <w:rPr>
          <w:bCs/>
        </w:rPr>
        <w:t>(</w:t>
      </w:r>
      <w:r w:rsidR="00831D8C">
        <w:rPr>
          <w:bCs/>
        </w:rPr>
        <w:t xml:space="preserve">2014 </w:t>
      </w:r>
      <w:r w:rsidR="0067476B">
        <w:rPr>
          <w:bCs/>
        </w:rPr>
        <w:t xml:space="preserve">to </w:t>
      </w:r>
      <w:r>
        <w:rPr>
          <w:bCs/>
        </w:rPr>
        <w:t>2016</w:t>
      </w:r>
      <w:r w:rsidR="0067476B">
        <w:rPr>
          <w:bCs/>
        </w:rPr>
        <w:t>)</w:t>
      </w:r>
      <w:r>
        <w:rPr>
          <w:bCs/>
        </w:rPr>
        <w:t>.</w:t>
      </w:r>
    </w:p>
    <w:p w14:paraId="18AC41DB" w14:textId="77777777" w:rsidR="007E0D70" w:rsidRPr="00CD71BB" w:rsidRDefault="007E0D70" w:rsidP="007E0D70">
      <w:pPr>
        <w:pStyle w:val="BodyText"/>
        <w:spacing w:after="0" w:line="240" w:lineRule="auto"/>
        <w:rPr>
          <w:bCs/>
        </w:rPr>
      </w:pPr>
    </w:p>
    <w:p w14:paraId="1DA4CF81" w14:textId="78AE413C" w:rsidR="00BA466B" w:rsidRPr="000A14BA" w:rsidRDefault="00BA466B" w:rsidP="00E61AB2">
      <w:pPr>
        <w:jc w:val="left"/>
        <w:rPr>
          <w:bCs/>
        </w:rPr>
      </w:pPr>
      <w:r w:rsidRPr="000A14BA">
        <w:rPr>
          <w:bCs/>
        </w:rPr>
        <w:br w:type="page"/>
      </w:r>
    </w:p>
    <w:p w14:paraId="6CD3E660" w14:textId="3FDCD736" w:rsidR="00E15FDA" w:rsidRPr="000A14BA" w:rsidRDefault="00E15FDA" w:rsidP="00C13011">
      <w:pPr>
        <w:outlineLvl w:val="0"/>
        <w:rPr>
          <w:b/>
          <w:bCs/>
        </w:rPr>
      </w:pPr>
      <w:r w:rsidRPr="000A14BA">
        <w:rPr>
          <w:b/>
          <w:bCs/>
        </w:rPr>
        <w:lastRenderedPageBreak/>
        <w:t>References</w:t>
      </w:r>
    </w:p>
    <w:p w14:paraId="564BDF58" w14:textId="0EAFCCA4" w:rsidR="008439C3" w:rsidRDefault="008439C3" w:rsidP="00E61AB2">
      <w:pPr>
        <w:rPr>
          <w:bCs/>
        </w:rPr>
      </w:pPr>
    </w:p>
    <w:p w14:paraId="5280A8ED" w14:textId="0F3AFD40" w:rsidR="00707D8D" w:rsidRPr="00707D8D" w:rsidRDefault="008338F8" w:rsidP="00707D8D">
      <w:pPr>
        <w:widowControl w:val="0"/>
        <w:autoSpaceDE w:val="0"/>
        <w:autoSpaceDN w:val="0"/>
        <w:adjustRightInd w:val="0"/>
        <w:ind w:left="480" w:hanging="480"/>
        <w:rPr>
          <w:rFonts w:eastAsia="Times New Roman" w:cs="Arial"/>
          <w:noProof/>
        </w:rPr>
      </w:pPr>
      <w:ins w:id="33" w:author="Parks, Robbie M" w:date="2018-06-19T10:09:00Z">
        <w:r>
          <w:rPr>
            <w:bCs/>
          </w:rPr>
          <w:fldChar w:fldCharType="begin" w:fldLock="1"/>
        </w:r>
        <w:r>
          <w:rPr>
            <w:bCs/>
          </w:rPr>
          <w:instrText xml:space="preserve">ADDIN Mendeley Bibliography CSL_BIBLIOGRAPHY </w:instrText>
        </w:r>
      </w:ins>
      <w:r>
        <w:rPr>
          <w:bCs/>
        </w:rPr>
        <w:fldChar w:fldCharType="separate"/>
      </w:r>
      <w:r w:rsidR="00707D8D" w:rsidRPr="00707D8D">
        <w:rPr>
          <w:rFonts w:eastAsia="Times New Roman" w:cs="Arial"/>
          <w:noProof/>
        </w:rPr>
        <w:t xml:space="preserve">Basu, R. (2009). High ambient temperature and mortality: A review of epidemiologic studies from 2001 to 2008. </w:t>
      </w:r>
      <w:r w:rsidR="00707D8D" w:rsidRPr="00707D8D">
        <w:rPr>
          <w:rFonts w:eastAsia="Times New Roman" w:cs="Arial"/>
          <w:i/>
          <w:iCs/>
          <w:noProof/>
        </w:rPr>
        <w:t>Environmental Health: A Global Access Science Source</w:t>
      </w:r>
      <w:r w:rsidR="00707D8D" w:rsidRPr="00707D8D">
        <w:rPr>
          <w:rFonts w:eastAsia="Times New Roman" w:cs="Arial"/>
          <w:noProof/>
        </w:rPr>
        <w:t>. https://doi.org/10.1186/1476-069X-8-40</w:t>
      </w:r>
    </w:p>
    <w:p w14:paraId="2CDD809D" w14:textId="77777777" w:rsidR="00707D8D" w:rsidRPr="00707D8D" w:rsidRDefault="00707D8D" w:rsidP="00707D8D">
      <w:pPr>
        <w:widowControl w:val="0"/>
        <w:autoSpaceDE w:val="0"/>
        <w:autoSpaceDN w:val="0"/>
        <w:adjustRightInd w:val="0"/>
        <w:ind w:left="480" w:hanging="480"/>
        <w:rPr>
          <w:rFonts w:eastAsia="Times New Roman" w:cs="Arial"/>
          <w:noProof/>
        </w:rPr>
      </w:pPr>
      <w:r w:rsidRPr="00707D8D">
        <w:rPr>
          <w:rFonts w:eastAsia="Times New Roman" w:cs="Arial"/>
          <w:noProof/>
        </w:rPr>
        <w:t xml:space="preserve">Basu, R., Dominici, F., &amp; Samet, J. M. (2005). Temperature and mortality among the elderly in the United States: a comparison of epidemiologic methods. </w:t>
      </w:r>
      <w:r w:rsidRPr="00707D8D">
        <w:rPr>
          <w:rFonts w:eastAsia="Times New Roman" w:cs="Arial"/>
          <w:i/>
          <w:iCs/>
          <w:noProof/>
        </w:rPr>
        <w:t>Epidemiology</w:t>
      </w:r>
      <w:r w:rsidRPr="00707D8D">
        <w:rPr>
          <w:rFonts w:eastAsia="Times New Roman" w:cs="Arial"/>
          <w:noProof/>
        </w:rPr>
        <w:t xml:space="preserve">, </w:t>
      </w:r>
      <w:r w:rsidRPr="00707D8D">
        <w:rPr>
          <w:rFonts w:eastAsia="Times New Roman" w:cs="Arial"/>
          <w:i/>
          <w:iCs/>
          <w:noProof/>
        </w:rPr>
        <w:t>16</w:t>
      </w:r>
      <w:r w:rsidRPr="00707D8D">
        <w:rPr>
          <w:rFonts w:eastAsia="Times New Roman" w:cs="Arial"/>
          <w:noProof/>
        </w:rPr>
        <w:t>(1), 58–66. https://doi.org/00001648-200501000-00009 [pii]</w:t>
      </w:r>
    </w:p>
    <w:p w14:paraId="489BCBD2" w14:textId="77777777" w:rsidR="00707D8D" w:rsidRPr="00707D8D" w:rsidRDefault="00707D8D" w:rsidP="00707D8D">
      <w:pPr>
        <w:widowControl w:val="0"/>
        <w:autoSpaceDE w:val="0"/>
        <w:autoSpaceDN w:val="0"/>
        <w:adjustRightInd w:val="0"/>
        <w:ind w:left="480" w:hanging="480"/>
        <w:rPr>
          <w:rFonts w:eastAsia="Times New Roman" w:cs="Arial"/>
          <w:noProof/>
        </w:rPr>
      </w:pPr>
      <w:r w:rsidRPr="00707D8D">
        <w:rPr>
          <w:rFonts w:eastAsia="Times New Roman" w:cs="Arial"/>
          <w:noProof/>
        </w:rPr>
        <w:t xml:space="preserve">Basu, R., &amp; Samet, J. M. (2002). Relation between elevated ambient temperature and mortality: A review of the epidemiologic evidence. </w:t>
      </w:r>
      <w:r w:rsidRPr="00707D8D">
        <w:rPr>
          <w:rFonts w:eastAsia="Times New Roman" w:cs="Arial"/>
          <w:i/>
          <w:iCs/>
          <w:noProof/>
        </w:rPr>
        <w:t>Epidemiologic Reviews</w:t>
      </w:r>
      <w:r w:rsidRPr="00707D8D">
        <w:rPr>
          <w:rFonts w:eastAsia="Times New Roman" w:cs="Arial"/>
          <w:noProof/>
        </w:rPr>
        <w:t>. https://doi.org/10.1093/epirev/mxf007</w:t>
      </w:r>
    </w:p>
    <w:p w14:paraId="1BE70764" w14:textId="77777777" w:rsidR="00707D8D" w:rsidRPr="00707D8D" w:rsidRDefault="00707D8D" w:rsidP="00707D8D">
      <w:pPr>
        <w:widowControl w:val="0"/>
        <w:autoSpaceDE w:val="0"/>
        <w:autoSpaceDN w:val="0"/>
        <w:adjustRightInd w:val="0"/>
        <w:ind w:left="480" w:hanging="480"/>
        <w:rPr>
          <w:rFonts w:eastAsia="Times New Roman" w:cs="Arial"/>
          <w:noProof/>
        </w:rPr>
      </w:pPr>
      <w:r w:rsidRPr="00707D8D">
        <w:rPr>
          <w:rFonts w:eastAsia="Times New Roman" w:cs="Arial"/>
          <w:noProof/>
        </w:rPr>
        <w:t xml:space="preserve">Bennett, J. E., Blangiardo, M., Fecht, D., Elliott, P., &amp; Ezzati, M. (2014). Vulnerability to the mortality effects of warm temperature in the districts of England and Wales. </w:t>
      </w:r>
      <w:r w:rsidRPr="00707D8D">
        <w:rPr>
          <w:rFonts w:eastAsia="Times New Roman" w:cs="Arial"/>
          <w:i/>
          <w:iCs/>
          <w:noProof/>
        </w:rPr>
        <w:t>Nature Climate Change</w:t>
      </w:r>
      <w:r w:rsidRPr="00707D8D">
        <w:rPr>
          <w:rFonts w:eastAsia="Times New Roman" w:cs="Arial"/>
          <w:noProof/>
        </w:rPr>
        <w:t xml:space="preserve">, </w:t>
      </w:r>
      <w:r w:rsidRPr="00707D8D">
        <w:rPr>
          <w:rFonts w:eastAsia="Times New Roman" w:cs="Arial"/>
          <w:i/>
          <w:iCs/>
          <w:noProof/>
        </w:rPr>
        <w:t>4</w:t>
      </w:r>
      <w:r w:rsidRPr="00707D8D">
        <w:rPr>
          <w:rFonts w:eastAsia="Times New Roman" w:cs="Arial"/>
          <w:noProof/>
        </w:rPr>
        <w:t>(4), 269–273. https://doi.org/10.1038/nclimate2123</w:t>
      </w:r>
    </w:p>
    <w:p w14:paraId="0913417A" w14:textId="77777777" w:rsidR="00707D8D" w:rsidRPr="00707D8D" w:rsidRDefault="00707D8D" w:rsidP="00707D8D">
      <w:pPr>
        <w:widowControl w:val="0"/>
        <w:autoSpaceDE w:val="0"/>
        <w:autoSpaceDN w:val="0"/>
        <w:adjustRightInd w:val="0"/>
        <w:ind w:left="480" w:hanging="480"/>
        <w:rPr>
          <w:rFonts w:eastAsia="Times New Roman" w:cs="Arial"/>
          <w:noProof/>
        </w:rPr>
      </w:pPr>
      <w:r w:rsidRPr="00707D8D">
        <w:rPr>
          <w:rFonts w:eastAsia="Times New Roman" w:cs="Arial"/>
          <w:noProof/>
        </w:rPr>
        <w:t xml:space="preserve">Braga, A. L. F., Zanobetti, A., &amp; Schwartz, J. (2002). The effect of weather on respiratory and cardiovascular deaths in 12 U.S. cities. </w:t>
      </w:r>
      <w:r w:rsidRPr="00707D8D">
        <w:rPr>
          <w:rFonts w:eastAsia="Times New Roman" w:cs="Arial"/>
          <w:i/>
          <w:iCs/>
          <w:noProof/>
        </w:rPr>
        <w:t>Environmental Health Perspectives</w:t>
      </w:r>
      <w:r w:rsidRPr="00707D8D">
        <w:rPr>
          <w:rFonts w:eastAsia="Times New Roman" w:cs="Arial"/>
          <w:noProof/>
        </w:rPr>
        <w:t xml:space="preserve">, </w:t>
      </w:r>
      <w:r w:rsidRPr="00707D8D">
        <w:rPr>
          <w:rFonts w:eastAsia="Times New Roman" w:cs="Arial"/>
          <w:i/>
          <w:iCs/>
          <w:noProof/>
        </w:rPr>
        <w:t>110</w:t>
      </w:r>
      <w:r w:rsidRPr="00707D8D">
        <w:rPr>
          <w:rFonts w:eastAsia="Times New Roman" w:cs="Arial"/>
          <w:noProof/>
        </w:rPr>
        <w:t>(9), 859–863. https://doi.org/10.1289/ehp.02110859</w:t>
      </w:r>
    </w:p>
    <w:p w14:paraId="42C396FF" w14:textId="77777777" w:rsidR="00707D8D" w:rsidRPr="00707D8D" w:rsidRDefault="00707D8D" w:rsidP="00707D8D">
      <w:pPr>
        <w:widowControl w:val="0"/>
        <w:autoSpaceDE w:val="0"/>
        <w:autoSpaceDN w:val="0"/>
        <w:adjustRightInd w:val="0"/>
        <w:ind w:left="480" w:hanging="480"/>
        <w:rPr>
          <w:rFonts w:eastAsia="Times New Roman" w:cs="Arial"/>
          <w:noProof/>
        </w:rPr>
      </w:pPr>
      <w:r w:rsidRPr="00707D8D">
        <w:rPr>
          <w:rFonts w:eastAsia="Times New Roman" w:cs="Arial"/>
          <w:noProof/>
        </w:rPr>
        <w:t xml:space="preserve">Curriero, F. C., Heiner, K. S., Samet, J. M., Zeger, S. L., Strug, L., &amp; Patz, J. A. (2002). Temperature and mortality in 11 cities of the eastern United States. </w:t>
      </w:r>
      <w:r w:rsidRPr="00707D8D">
        <w:rPr>
          <w:rFonts w:eastAsia="Times New Roman" w:cs="Arial"/>
          <w:i/>
          <w:iCs/>
          <w:noProof/>
        </w:rPr>
        <w:t>American Journal of Epidemiology</w:t>
      </w:r>
      <w:r w:rsidRPr="00707D8D">
        <w:rPr>
          <w:rFonts w:eastAsia="Times New Roman" w:cs="Arial"/>
          <w:noProof/>
        </w:rPr>
        <w:t xml:space="preserve">, </w:t>
      </w:r>
      <w:r w:rsidRPr="00707D8D">
        <w:rPr>
          <w:rFonts w:eastAsia="Times New Roman" w:cs="Arial"/>
          <w:i/>
          <w:iCs/>
          <w:noProof/>
        </w:rPr>
        <w:t>155</w:t>
      </w:r>
      <w:r w:rsidRPr="00707D8D">
        <w:rPr>
          <w:rFonts w:eastAsia="Times New Roman" w:cs="Arial"/>
          <w:noProof/>
        </w:rPr>
        <w:t>(1), 80–87. https://doi.org/10.1093/aje/155.1.80</w:t>
      </w:r>
    </w:p>
    <w:p w14:paraId="64849EE2" w14:textId="77777777" w:rsidR="00707D8D" w:rsidRPr="00707D8D" w:rsidRDefault="00707D8D" w:rsidP="00707D8D">
      <w:pPr>
        <w:widowControl w:val="0"/>
        <w:autoSpaceDE w:val="0"/>
        <w:autoSpaceDN w:val="0"/>
        <w:adjustRightInd w:val="0"/>
        <w:ind w:left="480" w:hanging="480"/>
        <w:rPr>
          <w:rFonts w:eastAsia="Times New Roman" w:cs="Arial"/>
          <w:noProof/>
        </w:rPr>
      </w:pPr>
      <w:r w:rsidRPr="00707D8D">
        <w:rPr>
          <w:rFonts w:eastAsia="Times New Roman" w:cs="Arial"/>
          <w:noProof/>
        </w:rPr>
        <w:t xml:space="preserve">Dockery, D. W., Pope, C. A., Xu, X., Spengler, J. D., Ware, J. H., Fay, M. E., … Speizer, F. E. (1993). An association between air pollution and mortality in six U.S. cities. </w:t>
      </w:r>
      <w:r w:rsidRPr="00707D8D">
        <w:rPr>
          <w:rFonts w:eastAsia="Times New Roman" w:cs="Arial"/>
          <w:i/>
          <w:iCs/>
          <w:noProof/>
        </w:rPr>
        <w:t>The New England Journal of Medicine</w:t>
      </w:r>
      <w:r w:rsidRPr="00707D8D">
        <w:rPr>
          <w:rFonts w:eastAsia="Times New Roman" w:cs="Arial"/>
          <w:noProof/>
        </w:rPr>
        <w:t xml:space="preserve">, </w:t>
      </w:r>
      <w:r w:rsidRPr="00707D8D">
        <w:rPr>
          <w:rFonts w:eastAsia="Times New Roman" w:cs="Arial"/>
          <w:i/>
          <w:iCs/>
          <w:noProof/>
        </w:rPr>
        <w:t>329</w:t>
      </w:r>
      <w:r w:rsidRPr="00707D8D">
        <w:rPr>
          <w:rFonts w:eastAsia="Times New Roman" w:cs="Arial"/>
          <w:noProof/>
        </w:rPr>
        <w:t>(24), 1753–9. https://doi.org/10.1056/NEJM199312093292401</w:t>
      </w:r>
    </w:p>
    <w:p w14:paraId="4ED033AB" w14:textId="77777777" w:rsidR="00707D8D" w:rsidRPr="00707D8D" w:rsidRDefault="00707D8D" w:rsidP="00707D8D">
      <w:pPr>
        <w:widowControl w:val="0"/>
        <w:autoSpaceDE w:val="0"/>
        <w:autoSpaceDN w:val="0"/>
        <w:adjustRightInd w:val="0"/>
        <w:ind w:left="480" w:hanging="480"/>
        <w:rPr>
          <w:rFonts w:eastAsia="Times New Roman" w:cs="Arial"/>
          <w:noProof/>
        </w:rPr>
      </w:pPr>
      <w:r w:rsidRPr="00707D8D">
        <w:rPr>
          <w:rFonts w:eastAsia="Times New Roman" w:cs="Arial"/>
          <w:noProof/>
        </w:rPr>
        <w:t xml:space="preserve">Fowler, T., Southgate, R. J., Waite, T., Harrell, R., Kovats, S., Bone, A., … Murray, V. (2015). Excess winter deaths in Europe: A multi-country descriptive analysis. </w:t>
      </w:r>
      <w:r w:rsidRPr="00707D8D">
        <w:rPr>
          <w:rFonts w:eastAsia="Times New Roman" w:cs="Arial"/>
          <w:i/>
          <w:iCs/>
          <w:noProof/>
        </w:rPr>
        <w:t>European Journal of Public Health</w:t>
      </w:r>
      <w:r w:rsidRPr="00707D8D">
        <w:rPr>
          <w:rFonts w:eastAsia="Times New Roman" w:cs="Arial"/>
          <w:noProof/>
        </w:rPr>
        <w:t xml:space="preserve">, </w:t>
      </w:r>
      <w:r w:rsidRPr="00707D8D">
        <w:rPr>
          <w:rFonts w:eastAsia="Times New Roman" w:cs="Arial"/>
          <w:i/>
          <w:iCs/>
          <w:noProof/>
        </w:rPr>
        <w:t>25</w:t>
      </w:r>
      <w:r w:rsidRPr="00707D8D">
        <w:rPr>
          <w:rFonts w:eastAsia="Times New Roman" w:cs="Arial"/>
          <w:noProof/>
        </w:rPr>
        <w:t>(2), 339–345. https://doi.org/10.1093/eurpub/cku073</w:t>
      </w:r>
    </w:p>
    <w:p w14:paraId="245B12B8" w14:textId="77777777" w:rsidR="00707D8D" w:rsidRPr="00707D8D" w:rsidRDefault="00707D8D" w:rsidP="00707D8D">
      <w:pPr>
        <w:widowControl w:val="0"/>
        <w:autoSpaceDE w:val="0"/>
        <w:autoSpaceDN w:val="0"/>
        <w:adjustRightInd w:val="0"/>
        <w:ind w:left="480" w:hanging="480"/>
        <w:rPr>
          <w:rFonts w:eastAsia="Times New Roman" w:cs="Arial"/>
          <w:noProof/>
        </w:rPr>
      </w:pPr>
      <w:r w:rsidRPr="00707D8D">
        <w:rPr>
          <w:rFonts w:eastAsia="Times New Roman" w:cs="Arial"/>
          <w:noProof/>
        </w:rPr>
        <w:t xml:space="preserve">Gasparrini, A., Guo, Y., Hashizume, M., Lavigne, E., Zanobetti, A., Schwartz, J., … Armstrong, B. (2015). Mortality risk attributable to high and low ambient temperature: A multicountry observational study. </w:t>
      </w:r>
      <w:r w:rsidRPr="00707D8D">
        <w:rPr>
          <w:rFonts w:eastAsia="Times New Roman" w:cs="Arial"/>
          <w:i/>
          <w:iCs/>
          <w:noProof/>
        </w:rPr>
        <w:t>The Lancet</w:t>
      </w:r>
      <w:r w:rsidRPr="00707D8D">
        <w:rPr>
          <w:rFonts w:eastAsia="Times New Roman" w:cs="Arial"/>
          <w:noProof/>
        </w:rPr>
        <w:t xml:space="preserve">, </w:t>
      </w:r>
      <w:r w:rsidRPr="00707D8D">
        <w:rPr>
          <w:rFonts w:eastAsia="Times New Roman" w:cs="Arial"/>
          <w:i/>
          <w:iCs/>
          <w:noProof/>
        </w:rPr>
        <w:t>386</w:t>
      </w:r>
      <w:r w:rsidRPr="00707D8D">
        <w:rPr>
          <w:rFonts w:eastAsia="Times New Roman" w:cs="Arial"/>
          <w:noProof/>
        </w:rPr>
        <w:t>(9991), 369–375. https://doi.org/10.1016/S0140-6736(14)62114-0</w:t>
      </w:r>
    </w:p>
    <w:p w14:paraId="54E9F063" w14:textId="77777777" w:rsidR="00707D8D" w:rsidRPr="00707D8D" w:rsidRDefault="00707D8D" w:rsidP="00707D8D">
      <w:pPr>
        <w:widowControl w:val="0"/>
        <w:autoSpaceDE w:val="0"/>
        <w:autoSpaceDN w:val="0"/>
        <w:adjustRightInd w:val="0"/>
        <w:ind w:left="480" w:hanging="480"/>
        <w:rPr>
          <w:rFonts w:eastAsia="Times New Roman" w:cs="Arial"/>
          <w:noProof/>
        </w:rPr>
      </w:pPr>
      <w:r w:rsidRPr="00707D8D">
        <w:rPr>
          <w:rFonts w:eastAsia="Times New Roman" w:cs="Arial"/>
          <w:noProof/>
        </w:rPr>
        <w:t xml:space="preserve">Grenfell, B. T., Bjørnstad, O. N., &amp; Kappey, J. (2001). Travelling waves and spatial hierarchies in measles epidemics. </w:t>
      </w:r>
      <w:r w:rsidRPr="00707D8D">
        <w:rPr>
          <w:rFonts w:eastAsia="Times New Roman" w:cs="Arial"/>
          <w:i/>
          <w:iCs/>
          <w:noProof/>
        </w:rPr>
        <w:t>Nature</w:t>
      </w:r>
      <w:r w:rsidRPr="00707D8D">
        <w:rPr>
          <w:rFonts w:eastAsia="Times New Roman" w:cs="Arial"/>
          <w:noProof/>
        </w:rPr>
        <w:t xml:space="preserve">, </w:t>
      </w:r>
      <w:r w:rsidRPr="00707D8D">
        <w:rPr>
          <w:rFonts w:eastAsia="Times New Roman" w:cs="Arial"/>
          <w:i/>
          <w:iCs/>
          <w:noProof/>
        </w:rPr>
        <w:t>414</w:t>
      </w:r>
      <w:r w:rsidRPr="00707D8D">
        <w:rPr>
          <w:rFonts w:eastAsia="Times New Roman" w:cs="Arial"/>
          <w:noProof/>
        </w:rPr>
        <w:t>(6865), 716–723. https://doi.org/10.1038/414716a</w:t>
      </w:r>
    </w:p>
    <w:p w14:paraId="2DB7F41C" w14:textId="77777777" w:rsidR="00707D8D" w:rsidRPr="00707D8D" w:rsidRDefault="00707D8D" w:rsidP="00707D8D">
      <w:pPr>
        <w:widowControl w:val="0"/>
        <w:autoSpaceDE w:val="0"/>
        <w:autoSpaceDN w:val="0"/>
        <w:adjustRightInd w:val="0"/>
        <w:ind w:left="480" w:hanging="480"/>
        <w:rPr>
          <w:rFonts w:eastAsia="Times New Roman" w:cs="Arial"/>
          <w:noProof/>
        </w:rPr>
      </w:pPr>
      <w:r w:rsidRPr="00707D8D">
        <w:rPr>
          <w:rFonts w:eastAsia="Times New Roman" w:cs="Arial"/>
          <w:noProof/>
        </w:rPr>
        <w:t xml:space="preserve">Healy, J. D. (2003). Excess winter mortality in Europe: A cross country analysis identifying key risk factors. </w:t>
      </w:r>
      <w:r w:rsidRPr="00707D8D">
        <w:rPr>
          <w:rFonts w:eastAsia="Times New Roman" w:cs="Arial"/>
          <w:i/>
          <w:iCs/>
          <w:noProof/>
        </w:rPr>
        <w:t>Journal of Epidemiology and Community Health</w:t>
      </w:r>
      <w:r w:rsidRPr="00707D8D">
        <w:rPr>
          <w:rFonts w:eastAsia="Times New Roman" w:cs="Arial"/>
          <w:noProof/>
        </w:rPr>
        <w:t xml:space="preserve">, </w:t>
      </w:r>
      <w:r w:rsidRPr="00707D8D">
        <w:rPr>
          <w:rFonts w:eastAsia="Times New Roman" w:cs="Arial"/>
          <w:i/>
          <w:iCs/>
          <w:noProof/>
        </w:rPr>
        <w:t>57</w:t>
      </w:r>
      <w:r w:rsidRPr="00707D8D">
        <w:rPr>
          <w:rFonts w:eastAsia="Times New Roman" w:cs="Arial"/>
          <w:noProof/>
        </w:rPr>
        <w:t>(10), 784–789. https://doi.org/10.1136/jech.57.10.784</w:t>
      </w:r>
    </w:p>
    <w:p w14:paraId="051CB077" w14:textId="77777777" w:rsidR="00707D8D" w:rsidRPr="00707D8D" w:rsidRDefault="00707D8D" w:rsidP="00707D8D">
      <w:pPr>
        <w:widowControl w:val="0"/>
        <w:autoSpaceDE w:val="0"/>
        <w:autoSpaceDN w:val="0"/>
        <w:adjustRightInd w:val="0"/>
        <w:ind w:left="480" w:hanging="480"/>
        <w:rPr>
          <w:rFonts w:eastAsia="Times New Roman" w:cs="Arial"/>
          <w:noProof/>
        </w:rPr>
      </w:pPr>
      <w:r w:rsidRPr="00707D8D">
        <w:rPr>
          <w:rFonts w:eastAsia="Times New Roman" w:cs="Arial"/>
          <w:noProof/>
        </w:rPr>
        <w:t xml:space="preserve">Hoek, G., Krishnan, R. M., Beelen, R., Peters, A., Ostro, B., Brunekreef, B., &amp; Kaufman, J. D. (2013). Long-term air pollution exposure and cardio- respiratory mortality: a review. </w:t>
      </w:r>
      <w:r w:rsidRPr="00707D8D">
        <w:rPr>
          <w:rFonts w:eastAsia="Times New Roman" w:cs="Arial"/>
          <w:i/>
          <w:iCs/>
          <w:noProof/>
        </w:rPr>
        <w:t>Environmental Health</w:t>
      </w:r>
      <w:r w:rsidRPr="00707D8D">
        <w:rPr>
          <w:rFonts w:eastAsia="Times New Roman" w:cs="Arial"/>
          <w:noProof/>
        </w:rPr>
        <w:t xml:space="preserve">, </w:t>
      </w:r>
      <w:r w:rsidRPr="00707D8D">
        <w:rPr>
          <w:rFonts w:eastAsia="Times New Roman" w:cs="Arial"/>
          <w:i/>
          <w:iCs/>
          <w:noProof/>
        </w:rPr>
        <w:t>12</w:t>
      </w:r>
      <w:r w:rsidRPr="00707D8D">
        <w:rPr>
          <w:rFonts w:eastAsia="Times New Roman" w:cs="Arial"/>
          <w:noProof/>
        </w:rPr>
        <w:t>(1), 43. https://doi.org/10.1186/1476-069X-12-43</w:t>
      </w:r>
    </w:p>
    <w:p w14:paraId="38AA73FD" w14:textId="77777777" w:rsidR="00707D8D" w:rsidRPr="00707D8D" w:rsidRDefault="00707D8D" w:rsidP="00707D8D">
      <w:pPr>
        <w:widowControl w:val="0"/>
        <w:autoSpaceDE w:val="0"/>
        <w:autoSpaceDN w:val="0"/>
        <w:adjustRightInd w:val="0"/>
        <w:ind w:left="480" w:hanging="480"/>
        <w:rPr>
          <w:rFonts w:eastAsia="Times New Roman" w:cs="Arial"/>
          <w:noProof/>
        </w:rPr>
      </w:pPr>
      <w:r w:rsidRPr="00707D8D">
        <w:rPr>
          <w:rFonts w:eastAsia="Times New Roman" w:cs="Arial"/>
          <w:noProof/>
        </w:rPr>
        <w:t xml:space="preserve">Hubbard, B. B. (1996). </w:t>
      </w:r>
      <w:r w:rsidRPr="00707D8D">
        <w:rPr>
          <w:rFonts w:eastAsia="Times New Roman" w:cs="Arial"/>
          <w:i/>
          <w:iCs/>
          <w:noProof/>
        </w:rPr>
        <w:t>The world according to wavelets: the story of a mathematical technique in the making</w:t>
      </w:r>
      <w:r w:rsidRPr="00707D8D">
        <w:rPr>
          <w:rFonts w:eastAsia="Times New Roman" w:cs="Arial"/>
          <w:noProof/>
        </w:rPr>
        <w:t xml:space="preserve">. </w:t>
      </w:r>
      <w:r w:rsidRPr="00707D8D">
        <w:rPr>
          <w:rFonts w:eastAsia="Times New Roman" w:cs="Arial"/>
          <w:i/>
          <w:iCs/>
          <w:noProof/>
        </w:rPr>
        <w:t>NOTICES OF THE AMS</w:t>
      </w:r>
      <w:r w:rsidRPr="00707D8D">
        <w:rPr>
          <w:rFonts w:eastAsia="Times New Roman" w:cs="Arial"/>
          <w:noProof/>
        </w:rPr>
        <w:t>.</w:t>
      </w:r>
    </w:p>
    <w:p w14:paraId="7E307192" w14:textId="77777777" w:rsidR="00707D8D" w:rsidRPr="00707D8D" w:rsidRDefault="00707D8D" w:rsidP="00707D8D">
      <w:pPr>
        <w:widowControl w:val="0"/>
        <w:autoSpaceDE w:val="0"/>
        <w:autoSpaceDN w:val="0"/>
        <w:adjustRightInd w:val="0"/>
        <w:ind w:left="480" w:hanging="480"/>
        <w:rPr>
          <w:rFonts w:eastAsia="Times New Roman" w:cs="Arial"/>
          <w:noProof/>
        </w:rPr>
      </w:pPr>
      <w:r w:rsidRPr="00707D8D">
        <w:rPr>
          <w:rFonts w:eastAsia="Times New Roman" w:cs="Arial"/>
          <w:noProof/>
        </w:rPr>
        <w:t xml:space="preserve">McKee, C. M. (1989). Deaths in winter: Can Britain learn from Europe? </w:t>
      </w:r>
      <w:r w:rsidRPr="00707D8D">
        <w:rPr>
          <w:rFonts w:eastAsia="Times New Roman" w:cs="Arial"/>
          <w:i/>
          <w:iCs/>
          <w:noProof/>
        </w:rPr>
        <w:t>European Journal of Epidemiology</w:t>
      </w:r>
      <w:r w:rsidRPr="00707D8D">
        <w:rPr>
          <w:rFonts w:eastAsia="Times New Roman" w:cs="Arial"/>
          <w:noProof/>
        </w:rPr>
        <w:t xml:space="preserve">, </w:t>
      </w:r>
      <w:r w:rsidRPr="00707D8D">
        <w:rPr>
          <w:rFonts w:eastAsia="Times New Roman" w:cs="Arial"/>
          <w:i/>
          <w:iCs/>
          <w:noProof/>
        </w:rPr>
        <w:t>5</w:t>
      </w:r>
      <w:r w:rsidRPr="00707D8D">
        <w:rPr>
          <w:rFonts w:eastAsia="Times New Roman" w:cs="Arial"/>
          <w:noProof/>
        </w:rPr>
        <w:t>(2), 178–182. https://doi.org/10.1007/BF00156826</w:t>
      </w:r>
    </w:p>
    <w:p w14:paraId="2381E4E1" w14:textId="77777777" w:rsidR="00707D8D" w:rsidRPr="00707D8D" w:rsidRDefault="00707D8D" w:rsidP="00707D8D">
      <w:pPr>
        <w:widowControl w:val="0"/>
        <w:autoSpaceDE w:val="0"/>
        <w:autoSpaceDN w:val="0"/>
        <w:adjustRightInd w:val="0"/>
        <w:ind w:left="480" w:hanging="480"/>
        <w:rPr>
          <w:rFonts w:eastAsia="Times New Roman" w:cs="Arial"/>
          <w:noProof/>
        </w:rPr>
      </w:pPr>
      <w:r w:rsidRPr="00707D8D">
        <w:rPr>
          <w:rFonts w:eastAsia="Times New Roman" w:cs="Arial"/>
          <w:noProof/>
        </w:rPr>
        <w:t xml:space="preserve">Moy, C. M., Seltzer, G. O., Rodbell, D. T., &amp; Anderson, D. M. (2002). Variability of El Niño/Southern Oscillation activity at millennial timescales during the Holocene epoch. </w:t>
      </w:r>
      <w:r w:rsidRPr="00707D8D">
        <w:rPr>
          <w:rFonts w:eastAsia="Times New Roman" w:cs="Arial"/>
          <w:i/>
          <w:iCs/>
          <w:noProof/>
        </w:rPr>
        <w:t>Nature</w:t>
      </w:r>
      <w:r w:rsidRPr="00707D8D">
        <w:rPr>
          <w:rFonts w:eastAsia="Times New Roman" w:cs="Arial"/>
          <w:noProof/>
        </w:rPr>
        <w:t xml:space="preserve">, </w:t>
      </w:r>
      <w:r w:rsidRPr="00707D8D">
        <w:rPr>
          <w:rFonts w:eastAsia="Times New Roman" w:cs="Arial"/>
          <w:i/>
          <w:iCs/>
          <w:noProof/>
        </w:rPr>
        <w:t>420</w:t>
      </w:r>
      <w:r w:rsidRPr="00707D8D">
        <w:rPr>
          <w:rFonts w:eastAsia="Times New Roman" w:cs="Arial"/>
          <w:noProof/>
        </w:rPr>
        <w:t>(6912), 162–165. https://doi.org/10.1038/nature01194</w:t>
      </w:r>
    </w:p>
    <w:p w14:paraId="49364283" w14:textId="77777777" w:rsidR="00707D8D" w:rsidRPr="00707D8D" w:rsidRDefault="00707D8D" w:rsidP="00707D8D">
      <w:pPr>
        <w:widowControl w:val="0"/>
        <w:autoSpaceDE w:val="0"/>
        <w:autoSpaceDN w:val="0"/>
        <w:adjustRightInd w:val="0"/>
        <w:ind w:left="480" w:hanging="480"/>
        <w:rPr>
          <w:rFonts w:eastAsia="Times New Roman" w:cs="Arial"/>
          <w:noProof/>
        </w:rPr>
      </w:pPr>
      <w:r w:rsidRPr="00707D8D">
        <w:rPr>
          <w:rFonts w:eastAsia="Times New Roman" w:cs="Arial"/>
          <w:noProof/>
        </w:rPr>
        <w:t xml:space="preserve">Pope, C. A., Burnett, R. T., Thun, M. J., Calle, E. E., Krewski, D., Ito, K., &amp; Thurston, G. D. (2002). Lung cancer, cardiopulmonary mortality, and long-term exposure to fine particulate air pollution. </w:t>
      </w:r>
      <w:r w:rsidRPr="00707D8D">
        <w:rPr>
          <w:rFonts w:eastAsia="Times New Roman" w:cs="Arial"/>
          <w:i/>
          <w:iCs/>
          <w:noProof/>
        </w:rPr>
        <w:t>JAMA</w:t>
      </w:r>
      <w:r w:rsidRPr="00707D8D">
        <w:rPr>
          <w:rFonts w:eastAsia="Times New Roman" w:cs="Arial"/>
          <w:noProof/>
        </w:rPr>
        <w:t xml:space="preserve">, </w:t>
      </w:r>
      <w:r w:rsidRPr="00707D8D">
        <w:rPr>
          <w:rFonts w:eastAsia="Times New Roman" w:cs="Arial"/>
          <w:i/>
          <w:iCs/>
          <w:noProof/>
        </w:rPr>
        <w:t>287</w:t>
      </w:r>
      <w:r w:rsidRPr="00707D8D">
        <w:rPr>
          <w:rFonts w:eastAsia="Times New Roman" w:cs="Arial"/>
          <w:noProof/>
        </w:rPr>
        <w:t>(9), 1132–1141. https://doi.org/joc11435 [pii]</w:t>
      </w:r>
    </w:p>
    <w:p w14:paraId="41A26CF6" w14:textId="77777777" w:rsidR="00707D8D" w:rsidRPr="00707D8D" w:rsidRDefault="00707D8D" w:rsidP="00707D8D">
      <w:pPr>
        <w:widowControl w:val="0"/>
        <w:autoSpaceDE w:val="0"/>
        <w:autoSpaceDN w:val="0"/>
        <w:adjustRightInd w:val="0"/>
        <w:ind w:left="480" w:hanging="480"/>
        <w:rPr>
          <w:rFonts w:cs="Arial"/>
          <w:noProof/>
        </w:rPr>
      </w:pPr>
      <w:r w:rsidRPr="00707D8D">
        <w:rPr>
          <w:rFonts w:eastAsia="Times New Roman" w:cs="Arial"/>
          <w:noProof/>
        </w:rPr>
        <w:t xml:space="preserve">Torrence, C., &amp; Compo, G. P. (1998). A Practical Guide to Wavelet Analysis. </w:t>
      </w:r>
      <w:r w:rsidRPr="00707D8D">
        <w:rPr>
          <w:rFonts w:eastAsia="Times New Roman" w:cs="Arial"/>
          <w:i/>
          <w:iCs/>
          <w:noProof/>
        </w:rPr>
        <w:t>Bulletin of the American Meteorological Society</w:t>
      </w:r>
      <w:r w:rsidRPr="00707D8D">
        <w:rPr>
          <w:rFonts w:eastAsia="Times New Roman" w:cs="Arial"/>
          <w:noProof/>
        </w:rPr>
        <w:t>. https://doi.org/10.1175/1520-</w:t>
      </w:r>
      <w:r w:rsidRPr="00707D8D">
        <w:rPr>
          <w:rFonts w:eastAsia="Times New Roman" w:cs="Arial"/>
          <w:noProof/>
        </w:rPr>
        <w:lastRenderedPageBreak/>
        <w:t>0477(1998)079&lt;0061:APGTWA&gt;2.0.CO;2</w:t>
      </w:r>
    </w:p>
    <w:p w14:paraId="094A715E" w14:textId="28937781" w:rsidR="00B11CF3" w:rsidRDefault="008338F8" w:rsidP="00707D8D">
      <w:pPr>
        <w:widowControl w:val="0"/>
        <w:autoSpaceDE w:val="0"/>
        <w:autoSpaceDN w:val="0"/>
        <w:adjustRightInd w:val="0"/>
        <w:ind w:left="480" w:hanging="480"/>
        <w:rPr>
          <w:bCs/>
        </w:rPr>
      </w:pPr>
      <w:ins w:id="34" w:author="Parks, Robbie M" w:date="2018-06-19T10:09:00Z">
        <w:r>
          <w:rPr>
            <w:bCs/>
          </w:rPr>
          <w:fldChar w:fldCharType="end"/>
        </w:r>
      </w:ins>
    </w:p>
    <w:p w14:paraId="4EAA7E9B" w14:textId="22A7A2A9" w:rsidR="00B11CF3" w:rsidRPr="000A14BA" w:rsidRDefault="00B11CF3" w:rsidP="00E61AB2">
      <w:pPr>
        <w:rPr>
          <w:bCs/>
        </w:rPr>
      </w:pPr>
    </w:p>
    <w:sectPr w:rsidR="00B11CF3" w:rsidRPr="000A14BA" w:rsidSect="000B342F">
      <w:headerReference w:type="default" r:id="rId11"/>
      <w:footerReference w:type="default" r:id="rId12"/>
      <w:footerReference w:type="first" r:id="rId13"/>
      <w:type w:val="continuous"/>
      <w:pgSz w:w="11907" w:h="16840" w:code="9"/>
      <w:pgMar w:top="2127" w:right="1440" w:bottom="1440" w:left="1418" w:header="720" w:footer="1021" w:gutter="0"/>
      <w:pgNumType w:start="1"/>
      <w:cols w:space="720"/>
      <w:titlePg/>
      <w:docGrid w:linePitch="299"/>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comment w:id="0" w:author="Ezzati, Majid" w:date="2018-07-08T16:54:00Z" w:initials="EM">
    <w:p w14:paraId="1840915F" w14:textId="7AB81A29" w:rsidR="00197613" w:rsidRDefault="00197613" w:rsidP="00197613">
      <w:pPr>
        <w:pStyle w:val="CommentText"/>
      </w:pPr>
      <w:r>
        <w:rPr>
          <w:rStyle w:val="CommentReference"/>
        </w:rPr>
        <w:annotationRef/>
      </w:r>
      <w:r>
        <w:t xml:space="preserve">We had discussed </w:t>
      </w:r>
      <w:r w:rsidRPr="00197613">
        <w:t xml:space="preserve">what else to say e.g. in comparison with random </w:t>
      </w:r>
      <w:r>
        <w:t>white or red noise + citation. Can you please do so here? And head toward finalising this response</w:t>
      </w:r>
      <w:r w:rsidR="005C08C6">
        <w:t>. Discuss again if needed with the intent to finalise</w:t>
      </w:r>
    </w:p>
    <w:p w14:paraId="03D0918E" w14:textId="0F1DF1FA" w:rsidR="004F3940" w:rsidRDefault="004F3940" w:rsidP="00197613">
      <w:pPr>
        <w:pStyle w:val="CommentText"/>
      </w:pPr>
    </w:p>
    <w:p w14:paraId="786D3692" w14:textId="50A6A1EB" w:rsidR="004F3940" w:rsidRDefault="004F3940" w:rsidP="00197613">
      <w:pPr>
        <w:pStyle w:val="CommentText"/>
      </w:pPr>
      <w:r>
        <w:t>Looking at the comment, it doesn’t say statistical significance is not possible; rather it says not apparent from spectra. We can respond to that and perhaps maintain the statements on significance. To discuss adding something in methods.</w:t>
      </w:r>
    </w:p>
  </w:comment>
  <w:comment w:id="10" w:author="Ezzati, Majid" w:date="2018-07-08T17:03:00Z" w:initials="EM">
    <w:p w14:paraId="35F7A523" w14:textId="60C06805" w:rsidR="00080FE2" w:rsidRDefault="00080FE2" w:rsidP="00080FE2">
      <w:pPr>
        <w:pStyle w:val="CommentText"/>
      </w:pPr>
      <w:r>
        <w:rPr>
          <w:rStyle w:val="CommentReference"/>
        </w:rPr>
        <w:annotationRef/>
      </w:r>
      <w:r>
        <w:t>Vague; discuss let’s keep the two things of how we answer these questions and this other method separate.  This is the most involved comment and our answer has to be to the point.</w:t>
      </w:r>
    </w:p>
  </w:comment>
  <w:comment w:id="12" w:author="Ezzati, Majid" w:date="2018-07-08T17:03:00Z" w:initials="EM">
    <w:p w14:paraId="7886F5D8" w14:textId="77777777" w:rsidR="00080FE2" w:rsidRDefault="00080FE2" w:rsidP="00080FE2">
      <w:pPr>
        <w:pStyle w:val="CommentText"/>
      </w:pPr>
      <w:r>
        <w:rPr>
          <w:rStyle w:val="CommentReference"/>
        </w:rPr>
        <w:annotationRef/>
      </w:r>
      <w:r>
        <w:t>Discuss presentation of these results</w:t>
      </w:r>
    </w:p>
  </w:comment>
  <w:comment w:id="14" w:author="Ezzati, Majid" w:date="2018-07-08T20:37:00Z" w:initials="EM">
    <w:p w14:paraId="4CB72DD7" w14:textId="1C389AFF" w:rsidR="00080FE2" w:rsidRDefault="00080FE2">
      <w:pPr>
        <w:pStyle w:val="CommentText"/>
      </w:pPr>
      <w:r>
        <w:rPr>
          <w:rStyle w:val="CommentReference"/>
        </w:rPr>
        <w:annotationRef/>
      </w:r>
      <w:r>
        <w:t>Discuss if these refer to the new analyses or original. See how I have tried to separate in the first item and to discuss if we can do this</w:t>
      </w:r>
    </w:p>
  </w:comment>
  <w:comment w:id="15" w:author="Parks, Robbie M" w:date="2018-07-23T16:22:00Z" w:initials="PRM">
    <w:p w14:paraId="4F2B59B0" w14:textId="4663E07A" w:rsidR="00545F82" w:rsidRDefault="00545F82">
      <w:pPr>
        <w:pStyle w:val="CommentText"/>
      </w:pPr>
      <w:r>
        <w:rPr>
          <w:rStyle w:val="CommentReference"/>
        </w:rPr>
        <w:annotationRef/>
      </w:r>
      <w:r>
        <w:t>Only gammas are addressed in alternative model.</w:t>
      </w:r>
    </w:p>
  </w:comment>
</w:comments>
</file>

<file path=word/commentsExtended.xml><?xml version="1.0" encoding="utf-8"?>
<w15:commentsEx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commentEx w15:paraId="786D3692" w15:done="0"/>
  <w15:commentEx w15:paraId="35F7A523" w15:done="0"/>
  <w15:commentEx w15:paraId="7886F5D8" w15:done="0"/>
  <w15:commentEx w15:paraId="4CB72DD7" w15:done="0"/>
  <w15:commentEx w15:paraId="4F2B59B0" w15:paraIdParent="4CB72DD7" w15:done="0"/>
</w15:commentsEx>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12739C87" w14:textId="77777777" w:rsidR="0048126C" w:rsidRDefault="0048126C">
      <w:r>
        <w:separator/>
      </w:r>
    </w:p>
  </w:endnote>
  <w:endnote w:type="continuationSeparator" w:id="0">
    <w:p w14:paraId="139C1AA8" w14:textId="77777777" w:rsidR="0048126C" w:rsidRDefault="0048126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auto"/>
    <w:pitch w:val="variable"/>
    <w:sig w:usb0="E0002AE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notTrueType/>
    <w:pitch w:val="variable"/>
    <w:sig w:usb0="00000001" w:usb1="080E0000" w:usb2="00000010" w:usb3="00000000" w:csb0="00040000" w:csb1="00000000"/>
  </w:font>
  <w:font w:name="Arial">
    <w:panose1 w:val="020B0604020202020204"/>
    <w:charset w:val="00"/>
    <w:family w:val="auto"/>
    <w:pitch w:val="variable"/>
    <w:sig w:usb0="E0002AFF" w:usb1="C0007843" w:usb2="00000009" w:usb3="00000000" w:csb0="000001FF" w:csb1="00000000"/>
  </w:font>
  <w:font w:name="MS Mincho">
    <w:panose1 w:val="02020609040205080304"/>
    <w:charset w:val="80"/>
    <w:family w:val="auto"/>
    <w:pitch w:val="variable"/>
    <w:sig w:usb0="E00002FF" w:usb1="6AC7FDFB" w:usb2="08000012" w:usb3="00000000" w:csb0="0002009F" w:csb1="00000000"/>
  </w:font>
  <w:font w:name="Trebuchet MS">
    <w:panose1 w:val="020B0603020202020204"/>
    <w:charset w:val="00"/>
    <w:family w:val="auto"/>
    <w:pitch w:val="variable"/>
    <w:sig w:usb0="00000287" w:usb1="00000000" w:usb2="00000000" w:usb3="00000000" w:csb0="0000009F" w:csb1="00000000"/>
  </w:font>
  <w:font w:name="Tahoma">
    <w:panose1 w:val="020B0604030504040204"/>
    <w:charset w:val="00"/>
    <w:family w:val="auto"/>
    <w:pitch w:val="variable"/>
    <w:sig w:usb0="E1002EFF" w:usb1="C000605B" w:usb2="00000029" w:usb3="00000000" w:csb0="000101FF" w:csb1="00000000"/>
  </w:font>
  <w:font w:name="Calibri">
    <w:panose1 w:val="020F0502020204030204"/>
    <w:charset w:val="00"/>
    <w:family w:val="auto"/>
    <w:pitch w:val="variable"/>
    <w:sig w:usb0="E00002FF" w:usb1="4000ACFF" w:usb2="00000001" w:usb3="00000000" w:csb0="0000019F" w:csb1="00000000"/>
  </w:font>
  <w:font w:name="Shaker 2 Lancet Regular">
    <w:altName w:val="Cambria"/>
    <w:panose1 w:val="00000000000000000000"/>
    <w:charset w:val="00"/>
    <w:family w:val="swiss"/>
    <w:notTrueType/>
    <w:pitch w:val="default"/>
    <w:sig w:usb0="00000003" w:usb1="00000000" w:usb2="00000000" w:usb3="00000000" w:csb0="00000001" w:csb1="00000000"/>
  </w:font>
  <w:font w:name="Cambria Math">
    <w:panose1 w:val="02040503050406030204"/>
    <w:charset w:val="00"/>
    <w:family w:val="auto"/>
    <w:pitch w:val="variable"/>
    <w:sig w:usb0="E00002FF" w:usb1="420024FF" w:usb2="00000000" w:usb3="00000000" w:csb0="0000019F" w:csb1="00000000"/>
  </w:font>
  <w:font w:name="ＭＳ ゴシック">
    <w:charset w:val="80"/>
    <w:family w:val="auto"/>
    <w:pitch w:val="variable"/>
    <w:sig w:usb0="E00002FF" w:usb1="6AC7FDFB" w:usb2="08000012" w:usb3="00000000" w:csb0="0002009F" w:csb1="00000000"/>
  </w:font>
  <w:font w:name="Cambria">
    <w:panose1 w:val="02040503050406030204"/>
    <w:charset w:val="00"/>
    <w:family w:val="auto"/>
    <w:pitch w:val="variable"/>
    <w:sig w:usb0="E00002FF" w:usb1="400004FF" w:usb2="00000000" w:usb3="00000000" w:csb0="0000019F" w:csb1="00000000"/>
  </w:font>
  <w:font w:name="ＭＳ 明朝">
    <w:charset w:val="80"/>
    <w:family w:val="auto"/>
    <w:pitch w:val="variable"/>
    <w:sig w:usb0="E00002FF" w:usb1="6AC7FDFB" w:usb2="08000012" w:usb3="00000000" w:csb0="0002009F"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A78FAAD" w14:textId="11B0A1AA" w:rsidR="005530AF" w:rsidRDefault="005530AF">
    <w:pPr>
      <w:pStyle w:val="Footer"/>
      <w:jc w:val="right"/>
    </w:pPr>
    <w:r>
      <w:fldChar w:fldCharType="begin"/>
    </w:r>
    <w:r>
      <w:instrText xml:space="preserve"> PAGE   \* MERGEFORMAT </w:instrText>
    </w:r>
    <w:r>
      <w:fldChar w:fldCharType="separate"/>
    </w:r>
    <w:r w:rsidR="00643F81">
      <w:rPr>
        <w:noProof/>
      </w:rPr>
      <w:t>2</w:t>
    </w:r>
    <w:r>
      <w:rPr>
        <w:noProof/>
      </w:rPr>
      <w:fldChar w:fldCharType="end"/>
    </w:r>
  </w:p>
  <w:p w14:paraId="2E358582" w14:textId="77777777" w:rsidR="005530AF" w:rsidRDefault="005530AF">
    <w:pPr>
      <w:pStyle w:val="Footer"/>
    </w:pPr>
  </w:p>
</w:ftr>
</file>

<file path=word/footer2.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4897B0D" w14:textId="688B0BBE" w:rsidR="005530AF" w:rsidRDefault="005530AF">
    <w:pPr>
      <w:pStyle w:val="Footer"/>
      <w:jc w:val="right"/>
    </w:pPr>
    <w:r>
      <w:fldChar w:fldCharType="begin"/>
    </w:r>
    <w:r>
      <w:instrText xml:space="preserve"> PAGE   \* MERGEFORMAT </w:instrText>
    </w:r>
    <w:r>
      <w:fldChar w:fldCharType="separate"/>
    </w:r>
    <w:r w:rsidR="00643F81">
      <w:rPr>
        <w:noProof/>
      </w:rPr>
      <w:t>1</w:t>
    </w:r>
    <w:r>
      <w:rPr>
        <w:noProof/>
      </w:rPr>
      <w:fldChar w:fldCharType="end"/>
    </w:r>
  </w:p>
  <w:p w14:paraId="69428321" w14:textId="77777777" w:rsidR="005530AF" w:rsidRDefault="005530AF">
    <w:pPr>
      <w:pStyle w:val="Footer"/>
    </w:pP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7F526C18" w14:textId="77777777" w:rsidR="0048126C" w:rsidRDefault="0048126C">
      <w:r>
        <w:separator/>
      </w:r>
    </w:p>
  </w:footnote>
  <w:footnote w:type="continuationSeparator" w:id="0">
    <w:p w14:paraId="4CB00E1A" w14:textId="77777777" w:rsidR="0048126C" w:rsidRDefault="0048126C">
      <w:r>
        <w:continuationSeparator/>
      </w:r>
    </w:p>
  </w:footnote>
</w:footnotes>
</file>

<file path=word/header1.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97C123E" w14:textId="77777777" w:rsidR="005530AF" w:rsidRDefault="005530AF" w:rsidP="001C5AA6">
    <w:pPr>
      <w:pStyle w:val="Header"/>
      <w:tabs>
        <w:tab w:val="left" w:pos="225"/>
      </w:tabs>
    </w:pPr>
    <w:r>
      <w:tab/>
    </w:r>
    <w:r>
      <w:tab/>
    </w:r>
    <w:r>
      <w:tab/>
      <w:t>.</w:t>
    </w:r>
    <w:r>
      <w:tab/>
      <w:t xml:space="preserve"> </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1D"/>
    <w:multiLevelType w:val="multilevel"/>
    <w:tmpl w:val="8794DCE4"/>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Symbol"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Symbol"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nsid w:val="0FDA61D7"/>
    <w:multiLevelType w:val="hybridMultilevel"/>
    <w:tmpl w:val="410A718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nsid w:val="47455FDD"/>
    <w:multiLevelType w:val="hybridMultilevel"/>
    <w:tmpl w:val="C248D2B2"/>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nsid w:val="4D0213B8"/>
    <w:multiLevelType w:val="hybridMultilevel"/>
    <w:tmpl w:val="7CAEB88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nsid w:val="5D5854B5"/>
    <w:multiLevelType w:val="hybridMultilevel"/>
    <w:tmpl w:val="9CA87CB4"/>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nsid w:val="5DEB4E9D"/>
    <w:multiLevelType w:val="hybridMultilevel"/>
    <w:tmpl w:val="3B9415D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0"/>
  </w:num>
  <w:num w:numId="2">
    <w:abstractNumId w:val="4"/>
  </w:num>
  <w:num w:numId="3">
    <w:abstractNumId w:val="5"/>
  </w:num>
  <w:num w:numId="4">
    <w:abstractNumId w:val="1"/>
  </w:num>
  <w:num w:numId="5">
    <w:abstractNumId w:val="3"/>
  </w:num>
  <w:num w:numId="6">
    <w:abstractNumId w:val="2"/>
  </w:num>
</w:numbering>
</file>

<file path=word/people.xml><?xml version="1.0" encoding="utf-8"?>
<w15:people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Ezzati, Majid">
    <w15:presenceInfo w15:providerId="None" w15:userId="Ezzati, Majid"/>
  </w15:person>
  <w15:person w15:author="Parks, Robbie M">
    <w15:presenceInfo w15:providerId="None" w15:userId="Parks, Robbie M"/>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5"/>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defaultTabStop w:val="0"/>
  <w:drawingGridHorizontalSpacing w:val="110"/>
  <w:displayHorizontalDrawingGridEvery w:val="2"/>
  <w:noPunctuationKerning/>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EN.InstantFormat" w:val="&lt;ENInstantFormat&gt;&lt;Enabled&gt;0&lt;/Enabled&gt;&lt;ScanUnformatted&gt;1&lt;/ScanUnformatted&gt;&lt;ScanChanges&gt;1&lt;/ScanChanges&gt;&lt;Suspended&gt;0&lt;/Suspended&gt;&lt;/ENInstantFormat&gt;"/>
    <w:docVar w:name="EN.Layout" w:val="&lt;ENLayout&gt;&lt;Style&gt;Nature&lt;/Style&gt;&lt;LeftDelim&gt;{&lt;/LeftDelim&gt;&lt;RightDelim&gt;}&lt;/RightDelim&gt;&lt;FontName&gt;Arial&lt;/FontName&gt;&lt;FontSize&gt;11&lt;/FontSize&gt;&lt;ReflistTitle&gt;&lt;/ReflistTitle&gt;&lt;StartingRefnum&gt;1&lt;/StartingRefnum&gt;&lt;FirstLineIndent&gt;0&lt;/FirstLineIndent&gt;&lt;HangingIndent&gt;720&lt;/HangingIndent&gt;&lt;LineSpacing&gt;0&lt;/LineSpacing&gt;&lt;SpaceAfter&gt;0&lt;/SpaceAfter&gt;&lt;HyperlinksEnabled&gt;1&lt;/HyperlinksEnabled&gt;&lt;HyperlinksVisible&gt;0&lt;/HyperlinksVisible&gt;&lt;EnableBibliographyCategories&gt;0&lt;/EnableBibliographyCategories&gt;&lt;/ENLayout&gt;"/>
    <w:docVar w:name="EN.Libraries" w:val="&lt;Libraries&gt;&lt;item db-id=&quot;00vwdewz8tp9wcett925fszawtref9xta5sw&quot;&gt;EzzatiAllRefs&lt;record-ids&gt;&lt;item&gt;3757&lt;/item&gt;&lt;item&gt;4482&lt;/item&gt;&lt;item&gt;5192&lt;/item&gt;&lt;item&gt;5273&lt;/item&gt;&lt;item&gt;5275&lt;/item&gt;&lt;item&gt;5397&lt;/item&gt;&lt;item&gt;5433&lt;/item&gt;&lt;item&gt;5434&lt;/item&gt;&lt;item&gt;5435&lt;/item&gt;&lt;item&gt;5436&lt;/item&gt;&lt;item&gt;5437&lt;/item&gt;&lt;item&gt;5438&lt;/item&gt;&lt;item&gt;5441&lt;/item&gt;&lt;item&gt;5442&lt;/item&gt;&lt;/record-ids&gt;&lt;/item&gt;&lt;/Libraries&gt;"/>
  </w:docVars>
  <w:rsids>
    <w:rsidRoot w:val="00AA06B9"/>
    <w:rsid w:val="00000832"/>
    <w:rsid w:val="00000EFD"/>
    <w:rsid w:val="00005513"/>
    <w:rsid w:val="00006864"/>
    <w:rsid w:val="0000794B"/>
    <w:rsid w:val="00010AD3"/>
    <w:rsid w:val="00012ABC"/>
    <w:rsid w:val="00013234"/>
    <w:rsid w:val="00014357"/>
    <w:rsid w:val="00015362"/>
    <w:rsid w:val="0002089D"/>
    <w:rsid w:val="000231F9"/>
    <w:rsid w:val="0002378D"/>
    <w:rsid w:val="00024201"/>
    <w:rsid w:val="00024212"/>
    <w:rsid w:val="00025715"/>
    <w:rsid w:val="00025F42"/>
    <w:rsid w:val="00027931"/>
    <w:rsid w:val="000320D1"/>
    <w:rsid w:val="00033D48"/>
    <w:rsid w:val="0003425D"/>
    <w:rsid w:val="0003518F"/>
    <w:rsid w:val="0003627D"/>
    <w:rsid w:val="00043666"/>
    <w:rsid w:val="00045516"/>
    <w:rsid w:val="000467B2"/>
    <w:rsid w:val="00047EBE"/>
    <w:rsid w:val="00051557"/>
    <w:rsid w:val="00051A6F"/>
    <w:rsid w:val="000530C5"/>
    <w:rsid w:val="00056BA2"/>
    <w:rsid w:val="000604D6"/>
    <w:rsid w:val="00061971"/>
    <w:rsid w:val="00062159"/>
    <w:rsid w:val="00062E05"/>
    <w:rsid w:val="0006384C"/>
    <w:rsid w:val="00063BE5"/>
    <w:rsid w:val="00064704"/>
    <w:rsid w:val="00064B61"/>
    <w:rsid w:val="000668FF"/>
    <w:rsid w:val="0006744D"/>
    <w:rsid w:val="0007048D"/>
    <w:rsid w:val="00070D01"/>
    <w:rsid w:val="0007116F"/>
    <w:rsid w:val="0007122D"/>
    <w:rsid w:val="00071233"/>
    <w:rsid w:val="000715F0"/>
    <w:rsid w:val="00071CBE"/>
    <w:rsid w:val="00071F8E"/>
    <w:rsid w:val="00072C85"/>
    <w:rsid w:val="0007397B"/>
    <w:rsid w:val="00075C5C"/>
    <w:rsid w:val="00080F56"/>
    <w:rsid w:val="00080FE2"/>
    <w:rsid w:val="00084C94"/>
    <w:rsid w:val="00085041"/>
    <w:rsid w:val="00086E7F"/>
    <w:rsid w:val="00087C9A"/>
    <w:rsid w:val="00090E06"/>
    <w:rsid w:val="0009101C"/>
    <w:rsid w:val="000931A3"/>
    <w:rsid w:val="00093B7C"/>
    <w:rsid w:val="0009647D"/>
    <w:rsid w:val="000A14BA"/>
    <w:rsid w:val="000A1A24"/>
    <w:rsid w:val="000A3852"/>
    <w:rsid w:val="000A5021"/>
    <w:rsid w:val="000A59D7"/>
    <w:rsid w:val="000A6CDA"/>
    <w:rsid w:val="000B342F"/>
    <w:rsid w:val="000B35E9"/>
    <w:rsid w:val="000B6543"/>
    <w:rsid w:val="000C1194"/>
    <w:rsid w:val="000C26E9"/>
    <w:rsid w:val="000C3933"/>
    <w:rsid w:val="000C4EEA"/>
    <w:rsid w:val="000C50E4"/>
    <w:rsid w:val="000C7EFF"/>
    <w:rsid w:val="000D2444"/>
    <w:rsid w:val="000D3885"/>
    <w:rsid w:val="000D39EC"/>
    <w:rsid w:val="000D5F86"/>
    <w:rsid w:val="000D760F"/>
    <w:rsid w:val="000D77E0"/>
    <w:rsid w:val="000D7BA4"/>
    <w:rsid w:val="000E369D"/>
    <w:rsid w:val="000E6589"/>
    <w:rsid w:val="000E6AE3"/>
    <w:rsid w:val="000E7E0D"/>
    <w:rsid w:val="000F1A2A"/>
    <w:rsid w:val="000F1F5B"/>
    <w:rsid w:val="000F543F"/>
    <w:rsid w:val="000F5FF2"/>
    <w:rsid w:val="000F765D"/>
    <w:rsid w:val="000F76C6"/>
    <w:rsid w:val="000F7F78"/>
    <w:rsid w:val="00101066"/>
    <w:rsid w:val="00101824"/>
    <w:rsid w:val="0010238B"/>
    <w:rsid w:val="00103D74"/>
    <w:rsid w:val="0010489C"/>
    <w:rsid w:val="00105ED6"/>
    <w:rsid w:val="00105EEE"/>
    <w:rsid w:val="001110D2"/>
    <w:rsid w:val="001121AA"/>
    <w:rsid w:val="001127E0"/>
    <w:rsid w:val="001141E2"/>
    <w:rsid w:val="00116830"/>
    <w:rsid w:val="00121256"/>
    <w:rsid w:val="0012337E"/>
    <w:rsid w:val="00123D02"/>
    <w:rsid w:val="00123D80"/>
    <w:rsid w:val="00124C6C"/>
    <w:rsid w:val="0012778B"/>
    <w:rsid w:val="00131734"/>
    <w:rsid w:val="00132BD8"/>
    <w:rsid w:val="00135C6B"/>
    <w:rsid w:val="001366B7"/>
    <w:rsid w:val="00136E2C"/>
    <w:rsid w:val="00137F01"/>
    <w:rsid w:val="00141DE1"/>
    <w:rsid w:val="00143F4F"/>
    <w:rsid w:val="00144997"/>
    <w:rsid w:val="00146BF8"/>
    <w:rsid w:val="00146F25"/>
    <w:rsid w:val="001501F3"/>
    <w:rsid w:val="00151D82"/>
    <w:rsid w:val="00152637"/>
    <w:rsid w:val="00153D7F"/>
    <w:rsid w:val="001541FF"/>
    <w:rsid w:val="00154E48"/>
    <w:rsid w:val="00156D93"/>
    <w:rsid w:val="00157401"/>
    <w:rsid w:val="00161053"/>
    <w:rsid w:val="001613E9"/>
    <w:rsid w:val="00161467"/>
    <w:rsid w:val="00161723"/>
    <w:rsid w:val="0016472B"/>
    <w:rsid w:val="001651ED"/>
    <w:rsid w:val="00165E95"/>
    <w:rsid w:val="0017045D"/>
    <w:rsid w:val="00170608"/>
    <w:rsid w:val="0017338C"/>
    <w:rsid w:val="00177240"/>
    <w:rsid w:val="00177B3D"/>
    <w:rsid w:val="0018432D"/>
    <w:rsid w:val="0018492E"/>
    <w:rsid w:val="0018543F"/>
    <w:rsid w:val="00185AFA"/>
    <w:rsid w:val="00187151"/>
    <w:rsid w:val="00190469"/>
    <w:rsid w:val="001906C8"/>
    <w:rsid w:val="0019080E"/>
    <w:rsid w:val="0019167F"/>
    <w:rsid w:val="00191D65"/>
    <w:rsid w:val="001926CC"/>
    <w:rsid w:val="00194DC7"/>
    <w:rsid w:val="00196BFA"/>
    <w:rsid w:val="00197613"/>
    <w:rsid w:val="00197A02"/>
    <w:rsid w:val="00197C3C"/>
    <w:rsid w:val="001A0299"/>
    <w:rsid w:val="001A211D"/>
    <w:rsid w:val="001A42ED"/>
    <w:rsid w:val="001A5348"/>
    <w:rsid w:val="001A5878"/>
    <w:rsid w:val="001A648F"/>
    <w:rsid w:val="001A65E3"/>
    <w:rsid w:val="001A6F50"/>
    <w:rsid w:val="001A7864"/>
    <w:rsid w:val="001A7A1C"/>
    <w:rsid w:val="001A7A67"/>
    <w:rsid w:val="001A7BA2"/>
    <w:rsid w:val="001B004A"/>
    <w:rsid w:val="001B0436"/>
    <w:rsid w:val="001B0CDA"/>
    <w:rsid w:val="001B4960"/>
    <w:rsid w:val="001B6921"/>
    <w:rsid w:val="001B78F4"/>
    <w:rsid w:val="001C06BB"/>
    <w:rsid w:val="001C2896"/>
    <w:rsid w:val="001C49A5"/>
    <w:rsid w:val="001C5AA6"/>
    <w:rsid w:val="001C6956"/>
    <w:rsid w:val="001D28CE"/>
    <w:rsid w:val="001D29C2"/>
    <w:rsid w:val="001D548D"/>
    <w:rsid w:val="001D6558"/>
    <w:rsid w:val="001D67EB"/>
    <w:rsid w:val="001D75A4"/>
    <w:rsid w:val="001D7FCE"/>
    <w:rsid w:val="001E05B9"/>
    <w:rsid w:val="001E27A0"/>
    <w:rsid w:val="001E4B36"/>
    <w:rsid w:val="001E51F6"/>
    <w:rsid w:val="001E614A"/>
    <w:rsid w:val="001E650C"/>
    <w:rsid w:val="001E6A81"/>
    <w:rsid w:val="001E6B2A"/>
    <w:rsid w:val="001E7319"/>
    <w:rsid w:val="001E7347"/>
    <w:rsid w:val="001E7D44"/>
    <w:rsid w:val="001F11A9"/>
    <w:rsid w:val="001F1D6F"/>
    <w:rsid w:val="001F22CD"/>
    <w:rsid w:val="001F351C"/>
    <w:rsid w:val="001F3A6B"/>
    <w:rsid w:val="001F3F6B"/>
    <w:rsid w:val="001F5F6B"/>
    <w:rsid w:val="001F629A"/>
    <w:rsid w:val="001F6953"/>
    <w:rsid w:val="001F798F"/>
    <w:rsid w:val="0020003C"/>
    <w:rsid w:val="00200430"/>
    <w:rsid w:val="002041A9"/>
    <w:rsid w:val="00205AF4"/>
    <w:rsid w:val="00211726"/>
    <w:rsid w:val="0021362D"/>
    <w:rsid w:val="00216A2B"/>
    <w:rsid w:val="00216EA9"/>
    <w:rsid w:val="00221765"/>
    <w:rsid w:val="00224D88"/>
    <w:rsid w:val="00225440"/>
    <w:rsid w:val="0022691A"/>
    <w:rsid w:val="0022765C"/>
    <w:rsid w:val="002308F7"/>
    <w:rsid w:val="00230AA2"/>
    <w:rsid w:val="00231301"/>
    <w:rsid w:val="002314E2"/>
    <w:rsid w:val="002316BD"/>
    <w:rsid w:val="0023196D"/>
    <w:rsid w:val="002324EC"/>
    <w:rsid w:val="002327DA"/>
    <w:rsid w:val="00233490"/>
    <w:rsid w:val="00235BA9"/>
    <w:rsid w:val="00236766"/>
    <w:rsid w:val="002369AE"/>
    <w:rsid w:val="002400B5"/>
    <w:rsid w:val="00240FF4"/>
    <w:rsid w:val="00242648"/>
    <w:rsid w:val="002428D0"/>
    <w:rsid w:val="00242946"/>
    <w:rsid w:val="00243841"/>
    <w:rsid w:val="00247BE3"/>
    <w:rsid w:val="002500A7"/>
    <w:rsid w:val="00256610"/>
    <w:rsid w:val="002576F8"/>
    <w:rsid w:val="00257C71"/>
    <w:rsid w:val="0026293E"/>
    <w:rsid w:val="00262B01"/>
    <w:rsid w:val="00264445"/>
    <w:rsid w:val="00264D41"/>
    <w:rsid w:val="00266484"/>
    <w:rsid w:val="0026756F"/>
    <w:rsid w:val="002713A8"/>
    <w:rsid w:val="002722C5"/>
    <w:rsid w:val="00272467"/>
    <w:rsid w:val="00272833"/>
    <w:rsid w:val="00274528"/>
    <w:rsid w:val="00274B7A"/>
    <w:rsid w:val="00275B0A"/>
    <w:rsid w:val="00276EC5"/>
    <w:rsid w:val="0028008B"/>
    <w:rsid w:val="0028077B"/>
    <w:rsid w:val="00281C42"/>
    <w:rsid w:val="0028467A"/>
    <w:rsid w:val="002869A7"/>
    <w:rsid w:val="00286E37"/>
    <w:rsid w:val="00287195"/>
    <w:rsid w:val="00290094"/>
    <w:rsid w:val="00291A37"/>
    <w:rsid w:val="00294487"/>
    <w:rsid w:val="0029551D"/>
    <w:rsid w:val="00296399"/>
    <w:rsid w:val="00296E5E"/>
    <w:rsid w:val="002A0659"/>
    <w:rsid w:val="002A06AE"/>
    <w:rsid w:val="002A2130"/>
    <w:rsid w:val="002A364D"/>
    <w:rsid w:val="002A3DB9"/>
    <w:rsid w:val="002A5283"/>
    <w:rsid w:val="002A6960"/>
    <w:rsid w:val="002A6D4D"/>
    <w:rsid w:val="002A6F0C"/>
    <w:rsid w:val="002A73D0"/>
    <w:rsid w:val="002A7AD9"/>
    <w:rsid w:val="002B100B"/>
    <w:rsid w:val="002B1810"/>
    <w:rsid w:val="002B1C84"/>
    <w:rsid w:val="002B23C8"/>
    <w:rsid w:val="002B3975"/>
    <w:rsid w:val="002B3A84"/>
    <w:rsid w:val="002B5EB4"/>
    <w:rsid w:val="002B6352"/>
    <w:rsid w:val="002B7FAA"/>
    <w:rsid w:val="002C2072"/>
    <w:rsid w:val="002C2397"/>
    <w:rsid w:val="002C2B8E"/>
    <w:rsid w:val="002C47D7"/>
    <w:rsid w:val="002C4F7A"/>
    <w:rsid w:val="002C60A2"/>
    <w:rsid w:val="002C7257"/>
    <w:rsid w:val="002D0D85"/>
    <w:rsid w:val="002D252E"/>
    <w:rsid w:val="002D387D"/>
    <w:rsid w:val="002D4A87"/>
    <w:rsid w:val="002D5257"/>
    <w:rsid w:val="002D5C2F"/>
    <w:rsid w:val="002D5E92"/>
    <w:rsid w:val="002D6223"/>
    <w:rsid w:val="002E045B"/>
    <w:rsid w:val="002E2D66"/>
    <w:rsid w:val="002E4A44"/>
    <w:rsid w:val="002E550B"/>
    <w:rsid w:val="002F1CF2"/>
    <w:rsid w:val="002F3844"/>
    <w:rsid w:val="002F5EEC"/>
    <w:rsid w:val="002F6168"/>
    <w:rsid w:val="002F6E1A"/>
    <w:rsid w:val="002F7468"/>
    <w:rsid w:val="002F756C"/>
    <w:rsid w:val="00300D35"/>
    <w:rsid w:val="00301062"/>
    <w:rsid w:val="00306CE1"/>
    <w:rsid w:val="0030793D"/>
    <w:rsid w:val="0031079D"/>
    <w:rsid w:val="0031127E"/>
    <w:rsid w:val="00311C50"/>
    <w:rsid w:val="003120A6"/>
    <w:rsid w:val="0031246D"/>
    <w:rsid w:val="003163E9"/>
    <w:rsid w:val="0032257A"/>
    <w:rsid w:val="00322E48"/>
    <w:rsid w:val="0032315C"/>
    <w:rsid w:val="00324B68"/>
    <w:rsid w:val="003258F7"/>
    <w:rsid w:val="0032626C"/>
    <w:rsid w:val="0032659D"/>
    <w:rsid w:val="0033008C"/>
    <w:rsid w:val="00331146"/>
    <w:rsid w:val="00331B7C"/>
    <w:rsid w:val="003322D2"/>
    <w:rsid w:val="00332BFE"/>
    <w:rsid w:val="00332D5F"/>
    <w:rsid w:val="0033342E"/>
    <w:rsid w:val="003358D6"/>
    <w:rsid w:val="00335E90"/>
    <w:rsid w:val="00337CD7"/>
    <w:rsid w:val="0034130C"/>
    <w:rsid w:val="00341442"/>
    <w:rsid w:val="00342900"/>
    <w:rsid w:val="00344E27"/>
    <w:rsid w:val="00346281"/>
    <w:rsid w:val="003473A7"/>
    <w:rsid w:val="00347D29"/>
    <w:rsid w:val="00347E73"/>
    <w:rsid w:val="00351D62"/>
    <w:rsid w:val="003556D6"/>
    <w:rsid w:val="003565C2"/>
    <w:rsid w:val="00357531"/>
    <w:rsid w:val="00357CF1"/>
    <w:rsid w:val="00360180"/>
    <w:rsid w:val="003612B9"/>
    <w:rsid w:val="0036181E"/>
    <w:rsid w:val="00363145"/>
    <w:rsid w:val="00364655"/>
    <w:rsid w:val="0036666A"/>
    <w:rsid w:val="00367C69"/>
    <w:rsid w:val="00370365"/>
    <w:rsid w:val="00370A97"/>
    <w:rsid w:val="00372752"/>
    <w:rsid w:val="0037324C"/>
    <w:rsid w:val="00373E75"/>
    <w:rsid w:val="00374BA1"/>
    <w:rsid w:val="00376402"/>
    <w:rsid w:val="003772B6"/>
    <w:rsid w:val="003805A0"/>
    <w:rsid w:val="0038133B"/>
    <w:rsid w:val="003814CD"/>
    <w:rsid w:val="0038442E"/>
    <w:rsid w:val="0038490B"/>
    <w:rsid w:val="00384C08"/>
    <w:rsid w:val="003850FC"/>
    <w:rsid w:val="0039019D"/>
    <w:rsid w:val="003905F9"/>
    <w:rsid w:val="00394EBD"/>
    <w:rsid w:val="0039519A"/>
    <w:rsid w:val="00395A88"/>
    <w:rsid w:val="00397F2D"/>
    <w:rsid w:val="003A0F3C"/>
    <w:rsid w:val="003A105F"/>
    <w:rsid w:val="003A1176"/>
    <w:rsid w:val="003A2827"/>
    <w:rsid w:val="003A2ACD"/>
    <w:rsid w:val="003A3502"/>
    <w:rsid w:val="003A733B"/>
    <w:rsid w:val="003B16CC"/>
    <w:rsid w:val="003B2D95"/>
    <w:rsid w:val="003B5C5E"/>
    <w:rsid w:val="003B5D5F"/>
    <w:rsid w:val="003B6EF6"/>
    <w:rsid w:val="003B6F8B"/>
    <w:rsid w:val="003B781C"/>
    <w:rsid w:val="003C1041"/>
    <w:rsid w:val="003C14B7"/>
    <w:rsid w:val="003C1EC9"/>
    <w:rsid w:val="003C30EE"/>
    <w:rsid w:val="003C543C"/>
    <w:rsid w:val="003C6B84"/>
    <w:rsid w:val="003D07F4"/>
    <w:rsid w:val="003D1021"/>
    <w:rsid w:val="003D37D0"/>
    <w:rsid w:val="003D415C"/>
    <w:rsid w:val="003D46E2"/>
    <w:rsid w:val="003D4EF9"/>
    <w:rsid w:val="003D5443"/>
    <w:rsid w:val="003D78AF"/>
    <w:rsid w:val="003E1169"/>
    <w:rsid w:val="003E1E4E"/>
    <w:rsid w:val="003E28DD"/>
    <w:rsid w:val="003E33DA"/>
    <w:rsid w:val="003E3683"/>
    <w:rsid w:val="003E3BFC"/>
    <w:rsid w:val="003E5EFF"/>
    <w:rsid w:val="003E5FCB"/>
    <w:rsid w:val="003E64B5"/>
    <w:rsid w:val="003F1E6A"/>
    <w:rsid w:val="003F22F4"/>
    <w:rsid w:val="003F24F6"/>
    <w:rsid w:val="003F2AFA"/>
    <w:rsid w:val="003F57EE"/>
    <w:rsid w:val="003F5EFA"/>
    <w:rsid w:val="004002D2"/>
    <w:rsid w:val="004002FE"/>
    <w:rsid w:val="00403746"/>
    <w:rsid w:val="00404D49"/>
    <w:rsid w:val="00404FFF"/>
    <w:rsid w:val="004050A1"/>
    <w:rsid w:val="00405877"/>
    <w:rsid w:val="00405884"/>
    <w:rsid w:val="004059DE"/>
    <w:rsid w:val="00405C43"/>
    <w:rsid w:val="00406ED8"/>
    <w:rsid w:val="00410BFC"/>
    <w:rsid w:val="00410FB9"/>
    <w:rsid w:val="00412ED1"/>
    <w:rsid w:val="00414AF7"/>
    <w:rsid w:val="004153A9"/>
    <w:rsid w:val="00416B08"/>
    <w:rsid w:val="004209FB"/>
    <w:rsid w:val="004216BA"/>
    <w:rsid w:val="00421D39"/>
    <w:rsid w:val="00422233"/>
    <w:rsid w:val="004225AF"/>
    <w:rsid w:val="00422880"/>
    <w:rsid w:val="00424BE7"/>
    <w:rsid w:val="00424EB3"/>
    <w:rsid w:val="0042622B"/>
    <w:rsid w:val="0042638A"/>
    <w:rsid w:val="004269B6"/>
    <w:rsid w:val="00430041"/>
    <w:rsid w:val="00430B39"/>
    <w:rsid w:val="004320BC"/>
    <w:rsid w:val="004338B0"/>
    <w:rsid w:val="00435208"/>
    <w:rsid w:val="00436FB6"/>
    <w:rsid w:val="00437EF9"/>
    <w:rsid w:val="00437F0E"/>
    <w:rsid w:val="00441094"/>
    <w:rsid w:val="00441095"/>
    <w:rsid w:val="00441617"/>
    <w:rsid w:val="0044240A"/>
    <w:rsid w:val="00443C10"/>
    <w:rsid w:val="00445651"/>
    <w:rsid w:val="00445A10"/>
    <w:rsid w:val="00446E65"/>
    <w:rsid w:val="00452C6D"/>
    <w:rsid w:val="0045512F"/>
    <w:rsid w:val="00455CA2"/>
    <w:rsid w:val="004574A5"/>
    <w:rsid w:val="0045751A"/>
    <w:rsid w:val="00460218"/>
    <w:rsid w:val="004610BF"/>
    <w:rsid w:val="004658D3"/>
    <w:rsid w:val="00465C83"/>
    <w:rsid w:val="004663A8"/>
    <w:rsid w:val="004671ED"/>
    <w:rsid w:val="004672D8"/>
    <w:rsid w:val="004706DE"/>
    <w:rsid w:val="0047098E"/>
    <w:rsid w:val="00471BD5"/>
    <w:rsid w:val="00471EC8"/>
    <w:rsid w:val="0047362D"/>
    <w:rsid w:val="00475B36"/>
    <w:rsid w:val="004809DF"/>
    <w:rsid w:val="0048126C"/>
    <w:rsid w:val="00481669"/>
    <w:rsid w:val="00483DAB"/>
    <w:rsid w:val="00483F09"/>
    <w:rsid w:val="00485A22"/>
    <w:rsid w:val="00491411"/>
    <w:rsid w:val="0049167B"/>
    <w:rsid w:val="00491C4D"/>
    <w:rsid w:val="0049394D"/>
    <w:rsid w:val="00494719"/>
    <w:rsid w:val="00494B6F"/>
    <w:rsid w:val="00494E91"/>
    <w:rsid w:val="004954A5"/>
    <w:rsid w:val="004A019F"/>
    <w:rsid w:val="004A03FF"/>
    <w:rsid w:val="004A1B85"/>
    <w:rsid w:val="004A3A25"/>
    <w:rsid w:val="004A3D1D"/>
    <w:rsid w:val="004A41BC"/>
    <w:rsid w:val="004B172B"/>
    <w:rsid w:val="004B2EFE"/>
    <w:rsid w:val="004B3018"/>
    <w:rsid w:val="004B34DB"/>
    <w:rsid w:val="004B35A6"/>
    <w:rsid w:val="004B5499"/>
    <w:rsid w:val="004B61F1"/>
    <w:rsid w:val="004B625D"/>
    <w:rsid w:val="004C05D7"/>
    <w:rsid w:val="004C0819"/>
    <w:rsid w:val="004C147D"/>
    <w:rsid w:val="004C20FB"/>
    <w:rsid w:val="004C2CE4"/>
    <w:rsid w:val="004C4B7A"/>
    <w:rsid w:val="004C7BB9"/>
    <w:rsid w:val="004D26D5"/>
    <w:rsid w:val="004D3C0A"/>
    <w:rsid w:val="004D4DF2"/>
    <w:rsid w:val="004E0219"/>
    <w:rsid w:val="004E06CF"/>
    <w:rsid w:val="004E1B43"/>
    <w:rsid w:val="004E25DB"/>
    <w:rsid w:val="004E288C"/>
    <w:rsid w:val="004E579A"/>
    <w:rsid w:val="004E6B04"/>
    <w:rsid w:val="004E787B"/>
    <w:rsid w:val="004E7EC2"/>
    <w:rsid w:val="004F3940"/>
    <w:rsid w:val="004F41BB"/>
    <w:rsid w:val="004F5471"/>
    <w:rsid w:val="0050038B"/>
    <w:rsid w:val="00501010"/>
    <w:rsid w:val="005014D1"/>
    <w:rsid w:val="005033D5"/>
    <w:rsid w:val="0050414B"/>
    <w:rsid w:val="00510DF8"/>
    <w:rsid w:val="00511B1C"/>
    <w:rsid w:val="005123A3"/>
    <w:rsid w:val="005145C7"/>
    <w:rsid w:val="00517058"/>
    <w:rsid w:val="00521001"/>
    <w:rsid w:val="00522DCB"/>
    <w:rsid w:val="00524D16"/>
    <w:rsid w:val="00524E0C"/>
    <w:rsid w:val="005258A3"/>
    <w:rsid w:val="005261B0"/>
    <w:rsid w:val="005276D4"/>
    <w:rsid w:val="005308CE"/>
    <w:rsid w:val="00535C06"/>
    <w:rsid w:val="005362C8"/>
    <w:rsid w:val="00537EDA"/>
    <w:rsid w:val="00540EB8"/>
    <w:rsid w:val="005411E1"/>
    <w:rsid w:val="00541284"/>
    <w:rsid w:val="00542E43"/>
    <w:rsid w:val="0054344E"/>
    <w:rsid w:val="00545F82"/>
    <w:rsid w:val="00547E38"/>
    <w:rsid w:val="00550B91"/>
    <w:rsid w:val="00550D3B"/>
    <w:rsid w:val="00551E57"/>
    <w:rsid w:val="00552A89"/>
    <w:rsid w:val="00552C14"/>
    <w:rsid w:val="005530AF"/>
    <w:rsid w:val="005533C6"/>
    <w:rsid w:val="00554051"/>
    <w:rsid w:val="00554894"/>
    <w:rsid w:val="00554D06"/>
    <w:rsid w:val="0055514B"/>
    <w:rsid w:val="005570DF"/>
    <w:rsid w:val="0055754E"/>
    <w:rsid w:val="0056117D"/>
    <w:rsid w:val="00562F67"/>
    <w:rsid w:val="00563080"/>
    <w:rsid w:val="005652FE"/>
    <w:rsid w:val="005665B5"/>
    <w:rsid w:val="00566B35"/>
    <w:rsid w:val="005718BA"/>
    <w:rsid w:val="005720D0"/>
    <w:rsid w:val="00573C05"/>
    <w:rsid w:val="005742E0"/>
    <w:rsid w:val="00575B0D"/>
    <w:rsid w:val="00576661"/>
    <w:rsid w:val="00584685"/>
    <w:rsid w:val="00584C24"/>
    <w:rsid w:val="005853E4"/>
    <w:rsid w:val="00585B78"/>
    <w:rsid w:val="00591462"/>
    <w:rsid w:val="00592031"/>
    <w:rsid w:val="00592C9E"/>
    <w:rsid w:val="005937D4"/>
    <w:rsid w:val="00593CF7"/>
    <w:rsid w:val="00593D2F"/>
    <w:rsid w:val="005954FD"/>
    <w:rsid w:val="005A0FE6"/>
    <w:rsid w:val="005A22A4"/>
    <w:rsid w:val="005A2393"/>
    <w:rsid w:val="005A3E46"/>
    <w:rsid w:val="005A3F93"/>
    <w:rsid w:val="005A44F5"/>
    <w:rsid w:val="005A530C"/>
    <w:rsid w:val="005A5EFC"/>
    <w:rsid w:val="005A7B35"/>
    <w:rsid w:val="005B0E4E"/>
    <w:rsid w:val="005B58D1"/>
    <w:rsid w:val="005B5C88"/>
    <w:rsid w:val="005C01DE"/>
    <w:rsid w:val="005C08C6"/>
    <w:rsid w:val="005C1017"/>
    <w:rsid w:val="005C13E1"/>
    <w:rsid w:val="005C152F"/>
    <w:rsid w:val="005C24B8"/>
    <w:rsid w:val="005C2C56"/>
    <w:rsid w:val="005C5995"/>
    <w:rsid w:val="005C6655"/>
    <w:rsid w:val="005C67E1"/>
    <w:rsid w:val="005C7685"/>
    <w:rsid w:val="005D144A"/>
    <w:rsid w:val="005D2376"/>
    <w:rsid w:val="005D242F"/>
    <w:rsid w:val="005D37C3"/>
    <w:rsid w:val="005D48DC"/>
    <w:rsid w:val="005D524A"/>
    <w:rsid w:val="005E019B"/>
    <w:rsid w:val="005E2376"/>
    <w:rsid w:val="005E3524"/>
    <w:rsid w:val="005E42F3"/>
    <w:rsid w:val="005E4BE2"/>
    <w:rsid w:val="005F05FD"/>
    <w:rsid w:val="005F18B1"/>
    <w:rsid w:val="005F4570"/>
    <w:rsid w:val="005F5659"/>
    <w:rsid w:val="005F5F6B"/>
    <w:rsid w:val="005F667E"/>
    <w:rsid w:val="005F7C6C"/>
    <w:rsid w:val="005F7F79"/>
    <w:rsid w:val="006017FE"/>
    <w:rsid w:val="006030BD"/>
    <w:rsid w:val="006046EA"/>
    <w:rsid w:val="0060517C"/>
    <w:rsid w:val="00605B8A"/>
    <w:rsid w:val="0061218B"/>
    <w:rsid w:val="006132B2"/>
    <w:rsid w:val="006135C4"/>
    <w:rsid w:val="006140CD"/>
    <w:rsid w:val="006140EC"/>
    <w:rsid w:val="00616D43"/>
    <w:rsid w:val="00617083"/>
    <w:rsid w:val="00617DDF"/>
    <w:rsid w:val="00620DCB"/>
    <w:rsid w:val="00622139"/>
    <w:rsid w:val="00622B73"/>
    <w:rsid w:val="006231A3"/>
    <w:rsid w:val="00623F99"/>
    <w:rsid w:val="00624CEC"/>
    <w:rsid w:val="00624ECE"/>
    <w:rsid w:val="00626B8F"/>
    <w:rsid w:val="00626E91"/>
    <w:rsid w:val="00627F9F"/>
    <w:rsid w:val="00631088"/>
    <w:rsid w:val="00633BEA"/>
    <w:rsid w:val="0063610D"/>
    <w:rsid w:val="006377FD"/>
    <w:rsid w:val="00640A46"/>
    <w:rsid w:val="00643F81"/>
    <w:rsid w:val="0064615F"/>
    <w:rsid w:val="006471D8"/>
    <w:rsid w:val="00647467"/>
    <w:rsid w:val="006477E1"/>
    <w:rsid w:val="00650D7C"/>
    <w:rsid w:val="00651095"/>
    <w:rsid w:val="006512C2"/>
    <w:rsid w:val="00653559"/>
    <w:rsid w:val="00653977"/>
    <w:rsid w:val="00655C43"/>
    <w:rsid w:val="006600A6"/>
    <w:rsid w:val="006617C2"/>
    <w:rsid w:val="00661819"/>
    <w:rsid w:val="00661992"/>
    <w:rsid w:val="00661DDB"/>
    <w:rsid w:val="00662BC7"/>
    <w:rsid w:val="00663A5C"/>
    <w:rsid w:val="006665F4"/>
    <w:rsid w:val="006679A0"/>
    <w:rsid w:val="00670657"/>
    <w:rsid w:val="00671197"/>
    <w:rsid w:val="00674742"/>
    <w:rsid w:val="0067476B"/>
    <w:rsid w:val="00674991"/>
    <w:rsid w:val="00676A1C"/>
    <w:rsid w:val="00676A30"/>
    <w:rsid w:val="00676AE9"/>
    <w:rsid w:val="006777DB"/>
    <w:rsid w:val="00682048"/>
    <w:rsid w:val="006820F5"/>
    <w:rsid w:val="0068305E"/>
    <w:rsid w:val="006851F7"/>
    <w:rsid w:val="00686531"/>
    <w:rsid w:val="00686EE7"/>
    <w:rsid w:val="006933C7"/>
    <w:rsid w:val="00694297"/>
    <w:rsid w:val="00696EE7"/>
    <w:rsid w:val="006A1719"/>
    <w:rsid w:val="006A34F6"/>
    <w:rsid w:val="006A45C3"/>
    <w:rsid w:val="006A6BAD"/>
    <w:rsid w:val="006A6DDF"/>
    <w:rsid w:val="006B004C"/>
    <w:rsid w:val="006B04F0"/>
    <w:rsid w:val="006B0C81"/>
    <w:rsid w:val="006B3727"/>
    <w:rsid w:val="006B3CA1"/>
    <w:rsid w:val="006B6C4C"/>
    <w:rsid w:val="006B794F"/>
    <w:rsid w:val="006C0843"/>
    <w:rsid w:val="006C125E"/>
    <w:rsid w:val="006C28FF"/>
    <w:rsid w:val="006C6128"/>
    <w:rsid w:val="006C76D5"/>
    <w:rsid w:val="006C784F"/>
    <w:rsid w:val="006D0B4F"/>
    <w:rsid w:val="006D0D49"/>
    <w:rsid w:val="006D1920"/>
    <w:rsid w:val="006D333D"/>
    <w:rsid w:val="006D416F"/>
    <w:rsid w:val="006D4221"/>
    <w:rsid w:val="006D5AF5"/>
    <w:rsid w:val="006D5C02"/>
    <w:rsid w:val="006D5FE6"/>
    <w:rsid w:val="006D69AF"/>
    <w:rsid w:val="006D7706"/>
    <w:rsid w:val="006E1C6E"/>
    <w:rsid w:val="006E2531"/>
    <w:rsid w:val="006E370D"/>
    <w:rsid w:val="006E61E2"/>
    <w:rsid w:val="006E79C9"/>
    <w:rsid w:val="006F0163"/>
    <w:rsid w:val="006F0FAF"/>
    <w:rsid w:val="006F21EF"/>
    <w:rsid w:val="006F3885"/>
    <w:rsid w:val="006F4B03"/>
    <w:rsid w:val="006F6866"/>
    <w:rsid w:val="006F6A39"/>
    <w:rsid w:val="006F6BAC"/>
    <w:rsid w:val="007009AA"/>
    <w:rsid w:val="00700DD7"/>
    <w:rsid w:val="00700FBE"/>
    <w:rsid w:val="00701E31"/>
    <w:rsid w:val="00703423"/>
    <w:rsid w:val="007036F1"/>
    <w:rsid w:val="0070409E"/>
    <w:rsid w:val="00705C80"/>
    <w:rsid w:val="0070631E"/>
    <w:rsid w:val="00706B1E"/>
    <w:rsid w:val="0070750E"/>
    <w:rsid w:val="00707D8D"/>
    <w:rsid w:val="007103CF"/>
    <w:rsid w:val="0071145D"/>
    <w:rsid w:val="0071153E"/>
    <w:rsid w:val="007121F6"/>
    <w:rsid w:val="00712B06"/>
    <w:rsid w:val="00714791"/>
    <w:rsid w:val="00714FBF"/>
    <w:rsid w:val="00716693"/>
    <w:rsid w:val="00720951"/>
    <w:rsid w:val="007219C0"/>
    <w:rsid w:val="007224D4"/>
    <w:rsid w:val="007233FD"/>
    <w:rsid w:val="0072351D"/>
    <w:rsid w:val="007249F7"/>
    <w:rsid w:val="00724E91"/>
    <w:rsid w:val="0072562E"/>
    <w:rsid w:val="00725D44"/>
    <w:rsid w:val="00727652"/>
    <w:rsid w:val="00730411"/>
    <w:rsid w:val="007309A2"/>
    <w:rsid w:val="00731829"/>
    <w:rsid w:val="00732FC5"/>
    <w:rsid w:val="00733C06"/>
    <w:rsid w:val="0073561D"/>
    <w:rsid w:val="00736500"/>
    <w:rsid w:val="00737B8F"/>
    <w:rsid w:val="00737C30"/>
    <w:rsid w:val="00737E22"/>
    <w:rsid w:val="007410A5"/>
    <w:rsid w:val="00741519"/>
    <w:rsid w:val="00741856"/>
    <w:rsid w:val="00741D7F"/>
    <w:rsid w:val="00741E01"/>
    <w:rsid w:val="00741F61"/>
    <w:rsid w:val="00742054"/>
    <w:rsid w:val="0074474E"/>
    <w:rsid w:val="00744FAD"/>
    <w:rsid w:val="00747C75"/>
    <w:rsid w:val="00750D3B"/>
    <w:rsid w:val="0075156A"/>
    <w:rsid w:val="00757659"/>
    <w:rsid w:val="0076160A"/>
    <w:rsid w:val="0076314E"/>
    <w:rsid w:val="0076316A"/>
    <w:rsid w:val="00763291"/>
    <w:rsid w:val="00764B07"/>
    <w:rsid w:val="00766448"/>
    <w:rsid w:val="007702FB"/>
    <w:rsid w:val="00772A7D"/>
    <w:rsid w:val="00772CEB"/>
    <w:rsid w:val="0077655F"/>
    <w:rsid w:val="00776B8B"/>
    <w:rsid w:val="00777B4F"/>
    <w:rsid w:val="007800F5"/>
    <w:rsid w:val="00780A7F"/>
    <w:rsid w:val="007823C8"/>
    <w:rsid w:val="0078371F"/>
    <w:rsid w:val="00784C27"/>
    <w:rsid w:val="00785D34"/>
    <w:rsid w:val="00790A31"/>
    <w:rsid w:val="00791B91"/>
    <w:rsid w:val="007922DA"/>
    <w:rsid w:val="007932EA"/>
    <w:rsid w:val="00793E8C"/>
    <w:rsid w:val="00795690"/>
    <w:rsid w:val="007969F7"/>
    <w:rsid w:val="007A1DD3"/>
    <w:rsid w:val="007A4567"/>
    <w:rsid w:val="007A4C44"/>
    <w:rsid w:val="007A4FDC"/>
    <w:rsid w:val="007A515B"/>
    <w:rsid w:val="007A7B6E"/>
    <w:rsid w:val="007B1280"/>
    <w:rsid w:val="007C1584"/>
    <w:rsid w:val="007C2035"/>
    <w:rsid w:val="007C27B3"/>
    <w:rsid w:val="007C2E99"/>
    <w:rsid w:val="007C5064"/>
    <w:rsid w:val="007C521F"/>
    <w:rsid w:val="007C5D9C"/>
    <w:rsid w:val="007C6007"/>
    <w:rsid w:val="007D0260"/>
    <w:rsid w:val="007D2B32"/>
    <w:rsid w:val="007D3E39"/>
    <w:rsid w:val="007D52A8"/>
    <w:rsid w:val="007D5B02"/>
    <w:rsid w:val="007D6D84"/>
    <w:rsid w:val="007E0D70"/>
    <w:rsid w:val="007E42F2"/>
    <w:rsid w:val="007E4B18"/>
    <w:rsid w:val="007E7069"/>
    <w:rsid w:val="007E7617"/>
    <w:rsid w:val="007E7F99"/>
    <w:rsid w:val="007F3884"/>
    <w:rsid w:val="007F39AF"/>
    <w:rsid w:val="007F4660"/>
    <w:rsid w:val="007F4F66"/>
    <w:rsid w:val="007F52E0"/>
    <w:rsid w:val="007F73B6"/>
    <w:rsid w:val="00806FFB"/>
    <w:rsid w:val="00807816"/>
    <w:rsid w:val="00807F78"/>
    <w:rsid w:val="0081178A"/>
    <w:rsid w:val="00811DFE"/>
    <w:rsid w:val="008143D8"/>
    <w:rsid w:val="0081477A"/>
    <w:rsid w:val="0082050C"/>
    <w:rsid w:val="008225CE"/>
    <w:rsid w:val="00824E4A"/>
    <w:rsid w:val="00825700"/>
    <w:rsid w:val="00825A03"/>
    <w:rsid w:val="00825BEF"/>
    <w:rsid w:val="0082629B"/>
    <w:rsid w:val="00826722"/>
    <w:rsid w:val="00826DF3"/>
    <w:rsid w:val="00827953"/>
    <w:rsid w:val="0083097E"/>
    <w:rsid w:val="00830EF3"/>
    <w:rsid w:val="00830F57"/>
    <w:rsid w:val="008317A9"/>
    <w:rsid w:val="00831D8C"/>
    <w:rsid w:val="0083205D"/>
    <w:rsid w:val="00832636"/>
    <w:rsid w:val="0083339E"/>
    <w:rsid w:val="0083349D"/>
    <w:rsid w:val="008338F8"/>
    <w:rsid w:val="00834566"/>
    <w:rsid w:val="0083540D"/>
    <w:rsid w:val="00835555"/>
    <w:rsid w:val="00835673"/>
    <w:rsid w:val="00835A8C"/>
    <w:rsid w:val="00835D8F"/>
    <w:rsid w:val="00836111"/>
    <w:rsid w:val="00836960"/>
    <w:rsid w:val="00840130"/>
    <w:rsid w:val="00840868"/>
    <w:rsid w:val="008439C3"/>
    <w:rsid w:val="00843CF0"/>
    <w:rsid w:val="00844205"/>
    <w:rsid w:val="0084489A"/>
    <w:rsid w:val="00845C40"/>
    <w:rsid w:val="00851087"/>
    <w:rsid w:val="00851C57"/>
    <w:rsid w:val="00851E40"/>
    <w:rsid w:val="00854364"/>
    <w:rsid w:val="0085453E"/>
    <w:rsid w:val="00854F4D"/>
    <w:rsid w:val="008556D6"/>
    <w:rsid w:val="0085628E"/>
    <w:rsid w:val="008603DA"/>
    <w:rsid w:val="00860776"/>
    <w:rsid w:val="00860795"/>
    <w:rsid w:val="00860FAE"/>
    <w:rsid w:val="00861D53"/>
    <w:rsid w:val="00862501"/>
    <w:rsid w:val="0086284A"/>
    <w:rsid w:val="00864424"/>
    <w:rsid w:val="00864ADD"/>
    <w:rsid w:val="00864DA5"/>
    <w:rsid w:val="008655BF"/>
    <w:rsid w:val="008656E5"/>
    <w:rsid w:val="00867DB8"/>
    <w:rsid w:val="008700DB"/>
    <w:rsid w:val="00870755"/>
    <w:rsid w:val="00873B58"/>
    <w:rsid w:val="008740C1"/>
    <w:rsid w:val="008744D1"/>
    <w:rsid w:val="0087595F"/>
    <w:rsid w:val="00876C56"/>
    <w:rsid w:val="00876C96"/>
    <w:rsid w:val="0088001E"/>
    <w:rsid w:val="0088049F"/>
    <w:rsid w:val="008805F8"/>
    <w:rsid w:val="00882278"/>
    <w:rsid w:val="00882941"/>
    <w:rsid w:val="00882AA2"/>
    <w:rsid w:val="00882D17"/>
    <w:rsid w:val="0088360E"/>
    <w:rsid w:val="00883AB6"/>
    <w:rsid w:val="00884E4A"/>
    <w:rsid w:val="00890FE1"/>
    <w:rsid w:val="00894778"/>
    <w:rsid w:val="008952BB"/>
    <w:rsid w:val="008970A3"/>
    <w:rsid w:val="008972AC"/>
    <w:rsid w:val="008977F7"/>
    <w:rsid w:val="008979C0"/>
    <w:rsid w:val="008A0338"/>
    <w:rsid w:val="008A0CD3"/>
    <w:rsid w:val="008A0E16"/>
    <w:rsid w:val="008A2053"/>
    <w:rsid w:val="008A2247"/>
    <w:rsid w:val="008A338C"/>
    <w:rsid w:val="008A343D"/>
    <w:rsid w:val="008A48CC"/>
    <w:rsid w:val="008A6695"/>
    <w:rsid w:val="008A67DF"/>
    <w:rsid w:val="008A7827"/>
    <w:rsid w:val="008B0F32"/>
    <w:rsid w:val="008B145C"/>
    <w:rsid w:val="008B2916"/>
    <w:rsid w:val="008B540E"/>
    <w:rsid w:val="008B5F28"/>
    <w:rsid w:val="008B6854"/>
    <w:rsid w:val="008B68E8"/>
    <w:rsid w:val="008B742B"/>
    <w:rsid w:val="008B7666"/>
    <w:rsid w:val="008C0B86"/>
    <w:rsid w:val="008C1754"/>
    <w:rsid w:val="008C1F2A"/>
    <w:rsid w:val="008C2E8B"/>
    <w:rsid w:val="008C6291"/>
    <w:rsid w:val="008C6506"/>
    <w:rsid w:val="008D0453"/>
    <w:rsid w:val="008D0D6E"/>
    <w:rsid w:val="008D141C"/>
    <w:rsid w:val="008D21F6"/>
    <w:rsid w:val="008D5DB7"/>
    <w:rsid w:val="008D61E6"/>
    <w:rsid w:val="008D6B34"/>
    <w:rsid w:val="008E0152"/>
    <w:rsid w:val="008E258C"/>
    <w:rsid w:val="008E2E05"/>
    <w:rsid w:val="008E3E50"/>
    <w:rsid w:val="008E46AA"/>
    <w:rsid w:val="008E4F5C"/>
    <w:rsid w:val="008E552F"/>
    <w:rsid w:val="008E6076"/>
    <w:rsid w:val="008F3701"/>
    <w:rsid w:val="008F44B6"/>
    <w:rsid w:val="009003A9"/>
    <w:rsid w:val="009008F3"/>
    <w:rsid w:val="00901BD0"/>
    <w:rsid w:val="0090229C"/>
    <w:rsid w:val="009022FE"/>
    <w:rsid w:val="00903527"/>
    <w:rsid w:val="0090452F"/>
    <w:rsid w:val="00905A2D"/>
    <w:rsid w:val="00907B8A"/>
    <w:rsid w:val="00910ABF"/>
    <w:rsid w:val="00911830"/>
    <w:rsid w:val="0091206E"/>
    <w:rsid w:val="009137A2"/>
    <w:rsid w:val="00914353"/>
    <w:rsid w:val="00914D58"/>
    <w:rsid w:val="00915C88"/>
    <w:rsid w:val="00916CF4"/>
    <w:rsid w:val="00916D53"/>
    <w:rsid w:val="009171B3"/>
    <w:rsid w:val="00921858"/>
    <w:rsid w:val="00921DF0"/>
    <w:rsid w:val="00923687"/>
    <w:rsid w:val="00924A3F"/>
    <w:rsid w:val="00924BD0"/>
    <w:rsid w:val="00924E9B"/>
    <w:rsid w:val="0092597D"/>
    <w:rsid w:val="009265BE"/>
    <w:rsid w:val="009270D2"/>
    <w:rsid w:val="00931450"/>
    <w:rsid w:val="0093166D"/>
    <w:rsid w:val="00932A26"/>
    <w:rsid w:val="0093362C"/>
    <w:rsid w:val="009356EF"/>
    <w:rsid w:val="0093630F"/>
    <w:rsid w:val="0093699C"/>
    <w:rsid w:val="009405A5"/>
    <w:rsid w:val="0094165D"/>
    <w:rsid w:val="009417BB"/>
    <w:rsid w:val="0094242D"/>
    <w:rsid w:val="009426B3"/>
    <w:rsid w:val="00944017"/>
    <w:rsid w:val="00945A26"/>
    <w:rsid w:val="00951058"/>
    <w:rsid w:val="0095153D"/>
    <w:rsid w:val="00952E1D"/>
    <w:rsid w:val="0095398E"/>
    <w:rsid w:val="00954918"/>
    <w:rsid w:val="00955068"/>
    <w:rsid w:val="00955DA7"/>
    <w:rsid w:val="009575E3"/>
    <w:rsid w:val="00957F56"/>
    <w:rsid w:val="0096037C"/>
    <w:rsid w:val="00960655"/>
    <w:rsid w:val="00961E72"/>
    <w:rsid w:val="009624C6"/>
    <w:rsid w:val="009626D5"/>
    <w:rsid w:val="00963159"/>
    <w:rsid w:val="00963A76"/>
    <w:rsid w:val="00964A78"/>
    <w:rsid w:val="00964D52"/>
    <w:rsid w:val="00966B78"/>
    <w:rsid w:val="00967A7B"/>
    <w:rsid w:val="009708A1"/>
    <w:rsid w:val="00970E12"/>
    <w:rsid w:val="00971956"/>
    <w:rsid w:val="00971CB7"/>
    <w:rsid w:val="00973356"/>
    <w:rsid w:val="00973786"/>
    <w:rsid w:val="00980E0B"/>
    <w:rsid w:val="009825F6"/>
    <w:rsid w:val="00982AC4"/>
    <w:rsid w:val="00982CC7"/>
    <w:rsid w:val="009840C7"/>
    <w:rsid w:val="0098492C"/>
    <w:rsid w:val="00984A43"/>
    <w:rsid w:val="00986837"/>
    <w:rsid w:val="0098764C"/>
    <w:rsid w:val="0099023E"/>
    <w:rsid w:val="0099055B"/>
    <w:rsid w:val="009918B9"/>
    <w:rsid w:val="00992D08"/>
    <w:rsid w:val="00992D22"/>
    <w:rsid w:val="00993197"/>
    <w:rsid w:val="009936F9"/>
    <w:rsid w:val="009958EB"/>
    <w:rsid w:val="009A16C8"/>
    <w:rsid w:val="009A3121"/>
    <w:rsid w:val="009A36D6"/>
    <w:rsid w:val="009A393E"/>
    <w:rsid w:val="009A711A"/>
    <w:rsid w:val="009B31C1"/>
    <w:rsid w:val="009B3A76"/>
    <w:rsid w:val="009B4D43"/>
    <w:rsid w:val="009B5582"/>
    <w:rsid w:val="009B5B44"/>
    <w:rsid w:val="009B7D7D"/>
    <w:rsid w:val="009C0C87"/>
    <w:rsid w:val="009C0FF5"/>
    <w:rsid w:val="009C3077"/>
    <w:rsid w:val="009C3661"/>
    <w:rsid w:val="009C3FFD"/>
    <w:rsid w:val="009C587C"/>
    <w:rsid w:val="009C5CD3"/>
    <w:rsid w:val="009C7E3D"/>
    <w:rsid w:val="009D0C05"/>
    <w:rsid w:val="009D16DF"/>
    <w:rsid w:val="009D19C3"/>
    <w:rsid w:val="009D29D8"/>
    <w:rsid w:val="009D304E"/>
    <w:rsid w:val="009D3518"/>
    <w:rsid w:val="009D362C"/>
    <w:rsid w:val="009D3F93"/>
    <w:rsid w:val="009D5DA6"/>
    <w:rsid w:val="009D5E76"/>
    <w:rsid w:val="009D71ED"/>
    <w:rsid w:val="009E25C7"/>
    <w:rsid w:val="009E4AC4"/>
    <w:rsid w:val="009E6C0E"/>
    <w:rsid w:val="009F2913"/>
    <w:rsid w:val="009F4904"/>
    <w:rsid w:val="009F6198"/>
    <w:rsid w:val="009F6773"/>
    <w:rsid w:val="009F7C3A"/>
    <w:rsid w:val="009F7CA1"/>
    <w:rsid w:val="00A0098C"/>
    <w:rsid w:val="00A01678"/>
    <w:rsid w:val="00A01C66"/>
    <w:rsid w:val="00A02109"/>
    <w:rsid w:val="00A0315D"/>
    <w:rsid w:val="00A049C8"/>
    <w:rsid w:val="00A062EA"/>
    <w:rsid w:val="00A13F6D"/>
    <w:rsid w:val="00A149BF"/>
    <w:rsid w:val="00A16B16"/>
    <w:rsid w:val="00A16B56"/>
    <w:rsid w:val="00A177FA"/>
    <w:rsid w:val="00A17BEB"/>
    <w:rsid w:val="00A17E95"/>
    <w:rsid w:val="00A214A2"/>
    <w:rsid w:val="00A22A6D"/>
    <w:rsid w:val="00A2596F"/>
    <w:rsid w:val="00A27B8B"/>
    <w:rsid w:val="00A34B84"/>
    <w:rsid w:val="00A35B3A"/>
    <w:rsid w:val="00A360FA"/>
    <w:rsid w:val="00A37ED8"/>
    <w:rsid w:val="00A4013A"/>
    <w:rsid w:val="00A41478"/>
    <w:rsid w:val="00A414B3"/>
    <w:rsid w:val="00A44369"/>
    <w:rsid w:val="00A52843"/>
    <w:rsid w:val="00A57DEF"/>
    <w:rsid w:val="00A60A10"/>
    <w:rsid w:val="00A62C2D"/>
    <w:rsid w:val="00A63FFA"/>
    <w:rsid w:val="00A66F30"/>
    <w:rsid w:val="00A673EA"/>
    <w:rsid w:val="00A679FD"/>
    <w:rsid w:val="00A67F8D"/>
    <w:rsid w:val="00A700E0"/>
    <w:rsid w:val="00A7048E"/>
    <w:rsid w:val="00A72D00"/>
    <w:rsid w:val="00A72E5D"/>
    <w:rsid w:val="00A72F60"/>
    <w:rsid w:val="00A7368F"/>
    <w:rsid w:val="00A74C38"/>
    <w:rsid w:val="00A753B3"/>
    <w:rsid w:val="00A75DD9"/>
    <w:rsid w:val="00A77096"/>
    <w:rsid w:val="00A77ACE"/>
    <w:rsid w:val="00A8170C"/>
    <w:rsid w:val="00A81903"/>
    <w:rsid w:val="00A824AC"/>
    <w:rsid w:val="00A838F7"/>
    <w:rsid w:val="00A85CA0"/>
    <w:rsid w:val="00A86CAC"/>
    <w:rsid w:val="00A91694"/>
    <w:rsid w:val="00A918ED"/>
    <w:rsid w:val="00A928D1"/>
    <w:rsid w:val="00A92FA8"/>
    <w:rsid w:val="00A934FC"/>
    <w:rsid w:val="00A95FA2"/>
    <w:rsid w:val="00A96138"/>
    <w:rsid w:val="00A97208"/>
    <w:rsid w:val="00AA06B9"/>
    <w:rsid w:val="00AA28B9"/>
    <w:rsid w:val="00AA2D4E"/>
    <w:rsid w:val="00AA3873"/>
    <w:rsid w:val="00AA43A8"/>
    <w:rsid w:val="00AA506A"/>
    <w:rsid w:val="00AA611B"/>
    <w:rsid w:val="00AA6396"/>
    <w:rsid w:val="00AA7601"/>
    <w:rsid w:val="00AA7CA6"/>
    <w:rsid w:val="00AB3B0B"/>
    <w:rsid w:val="00AB3EDC"/>
    <w:rsid w:val="00AB420D"/>
    <w:rsid w:val="00AB5D01"/>
    <w:rsid w:val="00AB5EAE"/>
    <w:rsid w:val="00AB6575"/>
    <w:rsid w:val="00AB6AE4"/>
    <w:rsid w:val="00AB7CD1"/>
    <w:rsid w:val="00AC10A1"/>
    <w:rsid w:val="00AC2CE1"/>
    <w:rsid w:val="00AC36D3"/>
    <w:rsid w:val="00AC4545"/>
    <w:rsid w:val="00AC4859"/>
    <w:rsid w:val="00AC62EF"/>
    <w:rsid w:val="00AC6397"/>
    <w:rsid w:val="00AC7276"/>
    <w:rsid w:val="00AC79E7"/>
    <w:rsid w:val="00AC7C7F"/>
    <w:rsid w:val="00AD0725"/>
    <w:rsid w:val="00AD0842"/>
    <w:rsid w:val="00AD4C4B"/>
    <w:rsid w:val="00AD5D27"/>
    <w:rsid w:val="00AD768D"/>
    <w:rsid w:val="00AD778A"/>
    <w:rsid w:val="00AE1776"/>
    <w:rsid w:val="00AE1C37"/>
    <w:rsid w:val="00AE2FA5"/>
    <w:rsid w:val="00AE59AE"/>
    <w:rsid w:val="00AE70F2"/>
    <w:rsid w:val="00AF1FD3"/>
    <w:rsid w:val="00AF206B"/>
    <w:rsid w:val="00AF377F"/>
    <w:rsid w:val="00AF4218"/>
    <w:rsid w:val="00AF5AF5"/>
    <w:rsid w:val="00AF7E73"/>
    <w:rsid w:val="00B01621"/>
    <w:rsid w:val="00B02B73"/>
    <w:rsid w:val="00B03309"/>
    <w:rsid w:val="00B0592F"/>
    <w:rsid w:val="00B06462"/>
    <w:rsid w:val="00B06581"/>
    <w:rsid w:val="00B06CBF"/>
    <w:rsid w:val="00B07E0B"/>
    <w:rsid w:val="00B10767"/>
    <w:rsid w:val="00B11CF3"/>
    <w:rsid w:val="00B12DC1"/>
    <w:rsid w:val="00B15646"/>
    <w:rsid w:val="00B162ED"/>
    <w:rsid w:val="00B16657"/>
    <w:rsid w:val="00B20439"/>
    <w:rsid w:val="00B20619"/>
    <w:rsid w:val="00B22E07"/>
    <w:rsid w:val="00B23A5B"/>
    <w:rsid w:val="00B24274"/>
    <w:rsid w:val="00B24B8C"/>
    <w:rsid w:val="00B26E98"/>
    <w:rsid w:val="00B31C9C"/>
    <w:rsid w:val="00B322DD"/>
    <w:rsid w:val="00B33329"/>
    <w:rsid w:val="00B33827"/>
    <w:rsid w:val="00B33ABF"/>
    <w:rsid w:val="00B36B6C"/>
    <w:rsid w:val="00B370B3"/>
    <w:rsid w:val="00B37FB7"/>
    <w:rsid w:val="00B40324"/>
    <w:rsid w:val="00B40DE9"/>
    <w:rsid w:val="00B43675"/>
    <w:rsid w:val="00B43EFC"/>
    <w:rsid w:val="00B441FB"/>
    <w:rsid w:val="00B46A0C"/>
    <w:rsid w:val="00B51908"/>
    <w:rsid w:val="00B51F96"/>
    <w:rsid w:val="00B52877"/>
    <w:rsid w:val="00B52BFB"/>
    <w:rsid w:val="00B52FC6"/>
    <w:rsid w:val="00B54285"/>
    <w:rsid w:val="00B5646D"/>
    <w:rsid w:val="00B57D7A"/>
    <w:rsid w:val="00B604D4"/>
    <w:rsid w:val="00B60729"/>
    <w:rsid w:val="00B6281A"/>
    <w:rsid w:val="00B636A5"/>
    <w:rsid w:val="00B65263"/>
    <w:rsid w:val="00B65E52"/>
    <w:rsid w:val="00B661AC"/>
    <w:rsid w:val="00B705C5"/>
    <w:rsid w:val="00B70D83"/>
    <w:rsid w:val="00B716E1"/>
    <w:rsid w:val="00B71F4E"/>
    <w:rsid w:val="00B721F8"/>
    <w:rsid w:val="00B735CE"/>
    <w:rsid w:val="00B73630"/>
    <w:rsid w:val="00B77049"/>
    <w:rsid w:val="00B80F3F"/>
    <w:rsid w:val="00B817B8"/>
    <w:rsid w:val="00B83306"/>
    <w:rsid w:val="00B86572"/>
    <w:rsid w:val="00B86B58"/>
    <w:rsid w:val="00B90E1A"/>
    <w:rsid w:val="00B923F4"/>
    <w:rsid w:val="00B92C34"/>
    <w:rsid w:val="00B938A7"/>
    <w:rsid w:val="00B9458B"/>
    <w:rsid w:val="00B94CCB"/>
    <w:rsid w:val="00B95ADE"/>
    <w:rsid w:val="00B97CF0"/>
    <w:rsid w:val="00BA1230"/>
    <w:rsid w:val="00BA2242"/>
    <w:rsid w:val="00BA3C2C"/>
    <w:rsid w:val="00BA3DCC"/>
    <w:rsid w:val="00BA41E1"/>
    <w:rsid w:val="00BA466B"/>
    <w:rsid w:val="00BA48D1"/>
    <w:rsid w:val="00BA56F3"/>
    <w:rsid w:val="00BA6851"/>
    <w:rsid w:val="00BA6F35"/>
    <w:rsid w:val="00BA77C4"/>
    <w:rsid w:val="00BA7F83"/>
    <w:rsid w:val="00BA7F9D"/>
    <w:rsid w:val="00BB019D"/>
    <w:rsid w:val="00BB0B9E"/>
    <w:rsid w:val="00BB2E69"/>
    <w:rsid w:val="00BB3BEC"/>
    <w:rsid w:val="00BC0B5A"/>
    <w:rsid w:val="00BC3E58"/>
    <w:rsid w:val="00BC4DD9"/>
    <w:rsid w:val="00BD0E87"/>
    <w:rsid w:val="00BD1BDA"/>
    <w:rsid w:val="00BD42AC"/>
    <w:rsid w:val="00BD52C7"/>
    <w:rsid w:val="00BD53B2"/>
    <w:rsid w:val="00BD6D85"/>
    <w:rsid w:val="00BD7752"/>
    <w:rsid w:val="00BD7CB1"/>
    <w:rsid w:val="00BE03B7"/>
    <w:rsid w:val="00BE08AE"/>
    <w:rsid w:val="00BE0B8B"/>
    <w:rsid w:val="00BE21FB"/>
    <w:rsid w:val="00BE42A7"/>
    <w:rsid w:val="00BE598C"/>
    <w:rsid w:val="00BE6059"/>
    <w:rsid w:val="00BE7841"/>
    <w:rsid w:val="00BE7C76"/>
    <w:rsid w:val="00BF2BC7"/>
    <w:rsid w:val="00BF5A90"/>
    <w:rsid w:val="00BF65B7"/>
    <w:rsid w:val="00C006FF"/>
    <w:rsid w:val="00C010E4"/>
    <w:rsid w:val="00C01C62"/>
    <w:rsid w:val="00C02C48"/>
    <w:rsid w:val="00C05789"/>
    <w:rsid w:val="00C059EF"/>
    <w:rsid w:val="00C06E0D"/>
    <w:rsid w:val="00C073BA"/>
    <w:rsid w:val="00C07823"/>
    <w:rsid w:val="00C10076"/>
    <w:rsid w:val="00C10DCB"/>
    <w:rsid w:val="00C113A8"/>
    <w:rsid w:val="00C1286A"/>
    <w:rsid w:val="00C13011"/>
    <w:rsid w:val="00C13CB9"/>
    <w:rsid w:val="00C145DD"/>
    <w:rsid w:val="00C14A58"/>
    <w:rsid w:val="00C15D49"/>
    <w:rsid w:val="00C17B60"/>
    <w:rsid w:val="00C2069A"/>
    <w:rsid w:val="00C21DE0"/>
    <w:rsid w:val="00C22CD1"/>
    <w:rsid w:val="00C24D40"/>
    <w:rsid w:val="00C25BAF"/>
    <w:rsid w:val="00C25D58"/>
    <w:rsid w:val="00C30F67"/>
    <w:rsid w:val="00C321D6"/>
    <w:rsid w:val="00C33160"/>
    <w:rsid w:val="00C348CF"/>
    <w:rsid w:val="00C41FD0"/>
    <w:rsid w:val="00C42B83"/>
    <w:rsid w:val="00C42ED7"/>
    <w:rsid w:val="00C4388A"/>
    <w:rsid w:val="00C4736B"/>
    <w:rsid w:val="00C47D67"/>
    <w:rsid w:val="00C5191F"/>
    <w:rsid w:val="00C529EB"/>
    <w:rsid w:val="00C53031"/>
    <w:rsid w:val="00C555FA"/>
    <w:rsid w:val="00C55938"/>
    <w:rsid w:val="00C55BBF"/>
    <w:rsid w:val="00C5757F"/>
    <w:rsid w:val="00C57E63"/>
    <w:rsid w:val="00C60DAF"/>
    <w:rsid w:val="00C63A4E"/>
    <w:rsid w:val="00C653EF"/>
    <w:rsid w:val="00C65818"/>
    <w:rsid w:val="00C65A55"/>
    <w:rsid w:val="00C66F77"/>
    <w:rsid w:val="00C67329"/>
    <w:rsid w:val="00C70F9B"/>
    <w:rsid w:val="00C73143"/>
    <w:rsid w:val="00C7400B"/>
    <w:rsid w:val="00C771BA"/>
    <w:rsid w:val="00C808B2"/>
    <w:rsid w:val="00C83E94"/>
    <w:rsid w:val="00C84109"/>
    <w:rsid w:val="00C8451A"/>
    <w:rsid w:val="00C85CDE"/>
    <w:rsid w:val="00C86ED4"/>
    <w:rsid w:val="00C906ED"/>
    <w:rsid w:val="00C91B7B"/>
    <w:rsid w:val="00C92A86"/>
    <w:rsid w:val="00C92BED"/>
    <w:rsid w:val="00C9458F"/>
    <w:rsid w:val="00C97201"/>
    <w:rsid w:val="00CA135E"/>
    <w:rsid w:val="00CA3F22"/>
    <w:rsid w:val="00CA48B0"/>
    <w:rsid w:val="00CA5747"/>
    <w:rsid w:val="00CA5EEB"/>
    <w:rsid w:val="00CA6D6D"/>
    <w:rsid w:val="00CA70E5"/>
    <w:rsid w:val="00CA7683"/>
    <w:rsid w:val="00CB0D1E"/>
    <w:rsid w:val="00CB2D04"/>
    <w:rsid w:val="00CB354D"/>
    <w:rsid w:val="00CB4B5B"/>
    <w:rsid w:val="00CB5AFF"/>
    <w:rsid w:val="00CB652E"/>
    <w:rsid w:val="00CB7357"/>
    <w:rsid w:val="00CB7469"/>
    <w:rsid w:val="00CC4D26"/>
    <w:rsid w:val="00CC570A"/>
    <w:rsid w:val="00CC5D6C"/>
    <w:rsid w:val="00CC6C08"/>
    <w:rsid w:val="00CD148A"/>
    <w:rsid w:val="00CD1932"/>
    <w:rsid w:val="00CD68E2"/>
    <w:rsid w:val="00CD71BB"/>
    <w:rsid w:val="00CE12E5"/>
    <w:rsid w:val="00CE16B3"/>
    <w:rsid w:val="00CE3BE7"/>
    <w:rsid w:val="00CE4EB1"/>
    <w:rsid w:val="00CE555B"/>
    <w:rsid w:val="00CE7344"/>
    <w:rsid w:val="00CF0A13"/>
    <w:rsid w:val="00CF1688"/>
    <w:rsid w:val="00CF3AD6"/>
    <w:rsid w:val="00CF3C31"/>
    <w:rsid w:val="00CF3F1B"/>
    <w:rsid w:val="00CF411C"/>
    <w:rsid w:val="00CF4157"/>
    <w:rsid w:val="00CF4AEC"/>
    <w:rsid w:val="00CF64A7"/>
    <w:rsid w:val="00D0009A"/>
    <w:rsid w:val="00D018A3"/>
    <w:rsid w:val="00D02BB5"/>
    <w:rsid w:val="00D0417B"/>
    <w:rsid w:val="00D04786"/>
    <w:rsid w:val="00D07619"/>
    <w:rsid w:val="00D10F1D"/>
    <w:rsid w:val="00D11F41"/>
    <w:rsid w:val="00D1238A"/>
    <w:rsid w:val="00D13E32"/>
    <w:rsid w:val="00D13F8B"/>
    <w:rsid w:val="00D15548"/>
    <w:rsid w:val="00D1570E"/>
    <w:rsid w:val="00D16918"/>
    <w:rsid w:val="00D16F82"/>
    <w:rsid w:val="00D203BB"/>
    <w:rsid w:val="00D20B2B"/>
    <w:rsid w:val="00D2449C"/>
    <w:rsid w:val="00D255EB"/>
    <w:rsid w:val="00D32DC3"/>
    <w:rsid w:val="00D3308C"/>
    <w:rsid w:val="00D331E0"/>
    <w:rsid w:val="00D33F0F"/>
    <w:rsid w:val="00D362DD"/>
    <w:rsid w:val="00D400DE"/>
    <w:rsid w:val="00D417C0"/>
    <w:rsid w:val="00D45F98"/>
    <w:rsid w:val="00D4663A"/>
    <w:rsid w:val="00D476E2"/>
    <w:rsid w:val="00D50AFD"/>
    <w:rsid w:val="00D523EF"/>
    <w:rsid w:val="00D5372C"/>
    <w:rsid w:val="00D53BDC"/>
    <w:rsid w:val="00D54610"/>
    <w:rsid w:val="00D54B3B"/>
    <w:rsid w:val="00D54C10"/>
    <w:rsid w:val="00D61060"/>
    <w:rsid w:val="00D613D6"/>
    <w:rsid w:val="00D61B37"/>
    <w:rsid w:val="00D62D82"/>
    <w:rsid w:val="00D63B43"/>
    <w:rsid w:val="00D64943"/>
    <w:rsid w:val="00D663DC"/>
    <w:rsid w:val="00D7083F"/>
    <w:rsid w:val="00D70C27"/>
    <w:rsid w:val="00D7197A"/>
    <w:rsid w:val="00D719F8"/>
    <w:rsid w:val="00D72BA9"/>
    <w:rsid w:val="00D7399F"/>
    <w:rsid w:val="00D73DDD"/>
    <w:rsid w:val="00D7435E"/>
    <w:rsid w:val="00D76988"/>
    <w:rsid w:val="00D779EA"/>
    <w:rsid w:val="00D77C59"/>
    <w:rsid w:val="00D82B75"/>
    <w:rsid w:val="00D84F84"/>
    <w:rsid w:val="00D90D2C"/>
    <w:rsid w:val="00D97A30"/>
    <w:rsid w:val="00D97DDE"/>
    <w:rsid w:val="00DA085A"/>
    <w:rsid w:val="00DA24F8"/>
    <w:rsid w:val="00DA2ACF"/>
    <w:rsid w:val="00DA4AF1"/>
    <w:rsid w:val="00DA78CC"/>
    <w:rsid w:val="00DB1679"/>
    <w:rsid w:val="00DB6C4C"/>
    <w:rsid w:val="00DC0A2B"/>
    <w:rsid w:val="00DC0E3F"/>
    <w:rsid w:val="00DC197C"/>
    <w:rsid w:val="00DC282A"/>
    <w:rsid w:val="00DC49E3"/>
    <w:rsid w:val="00DC6BB8"/>
    <w:rsid w:val="00DD3FA7"/>
    <w:rsid w:val="00DD539E"/>
    <w:rsid w:val="00DD5825"/>
    <w:rsid w:val="00DD5947"/>
    <w:rsid w:val="00DD6D12"/>
    <w:rsid w:val="00DD7DD9"/>
    <w:rsid w:val="00DE2300"/>
    <w:rsid w:val="00DE2ABF"/>
    <w:rsid w:val="00DE3F64"/>
    <w:rsid w:val="00DE63FA"/>
    <w:rsid w:val="00DF0FB7"/>
    <w:rsid w:val="00DF2102"/>
    <w:rsid w:val="00DF33B8"/>
    <w:rsid w:val="00DF3A37"/>
    <w:rsid w:val="00DF3B42"/>
    <w:rsid w:val="00DF52A1"/>
    <w:rsid w:val="00DF69D0"/>
    <w:rsid w:val="00DF7C29"/>
    <w:rsid w:val="00DF7D2C"/>
    <w:rsid w:val="00E00372"/>
    <w:rsid w:val="00E01D37"/>
    <w:rsid w:val="00E01DB4"/>
    <w:rsid w:val="00E01F96"/>
    <w:rsid w:val="00E0257A"/>
    <w:rsid w:val="00E0369D"/>
    <w:rsid w:val="00E067EE"/>
    <w:rsid w:val="00E078D3"/>
    <w:rsid w:val="00E10B89"/>
    <w:rsid w:val="00E11A80"/>
    <w:rsid w:val="00E11DE5"/>
    <w:rsid w:val="00E12879"/>
    <w:rsid w:val="00E130BC"/>
    <w:rsid w:val="00E15758"/>
    <w:rsid w:val="00E15FDA"/>
    <w:rsid w:val="00E223AE"/>
    <w:rsid w:val="00E234F8"/>
    <w:rsid w:val="00E2404D"/>
    <w:rsid w:val="00E25338"/>
    <w:rsid w:val="00E27B44"/>
    <w:rsid w:val="00E346E2"/>
    <w:rsid w:val="00E34BAF"/>
    <w:rsid w:val="00E3520F"/>
    <w:rsid w:val="00E3759E"/>
    <w:rsid w:val="00E40AC1"/>
    <w:rsid w:val="00E41264"/>
    <w:rsid w:val="00E42836"/>
    <w:rsid w:val="00E42AFB"/>
    <w:rsid w:val="00E44DD9"/>
    <w:rsid w:val="00E458BC"/>
    <w:rsid w:val="00E46374"/>
    <w:rsid w:val="00E46A43"/>
    <w:rsid w:val="00E50447"/>
    <w:rsid w:val="00E54404"/>
    <w:rsid w:val="00E56256"/>
    <w:rsid w:val="00E60137"/>
    <w:rsid w:val="00E60788"/>
    <w:rsid w:val="00E60A18"/>
    <w:rsid w:val="00E6123F"/>
    <w:rsid w:val="00E61AB2"/>
    <w:rsid w:val="00E62DDA"/>
    <w:rsid w:val="00E6330B"/>
    <w:rsid w:val="00E63FB3"/>
    <w:rsid w:val="00E6559D"/>
    <w:rsid w:val="00E65D29"/>
    <w:rsid w:val="00E65DBE"/>
    <w:rsid w:val="00E660C7"/>
    <w:rsid w:val="00E665E4"/>
    <w:rsid w:val="00E70676"/>
    <w:rsid w:val="00E71BAD"/>
    <w:rsid w:val="00E72323"/>
    <w:rsid w:val="00E7373D"/>
    <w:rsid w:val="00E744BB"/>
    <w:rsid w:val="00E758BF"/>
    <w:rsid w:val="00E75955"/>
    <w:rsid w:val="00E761A6"/>
    <w:rsid w:val="00E76D2A"/>
    <w:rsid w:val="00E76F44"/>
    <w:rsid w:val="00E770FD"/>
    <w:rsid w:val="00E77332"/>
    <w:rsid w:val="00E77FB7"/>
    <w:rsid w:val="00E82A3F"/>
    <w:rsid w:val="00E831FF"/>
    <w:rsid w:val="00E83925"/>
    <w:rsid w:val="00E8398A"/>
    <w:rsid w:val="00E83AF9"/>
    <w:rsid w:val="00E84701"/>
    <w:rsid w:val="00E847A8"/>
    <w:rsid w:val="00E856FC"/>
    <w:rsid w:val="00E86F43"/>
    <w:rsid w:val="00E87084"/>
    <w:rsid w:val="00E904EF"/>
    <w:rsid w:val="00E913E2"/>
    <w:rsid w:val="00E91926"/>
    <w:rsid w:val="00E92E04"/>
    <w:rsid w:val="00E94D8C"/>
    <w:rsid w:val="00EA01F0"/>
    <w:rsid w:val="00EA2C8B"/>
    <w:rsid w:val="00EA2E2C"/>
    <w:rsid w:val="00EA4A0E"/>
    <w:rsid w:val="00EA4F7F"/>
    <w:rsid w:val="00EA5030"/>
    <w:rsid w:val="00EA5096"/>
    <w:rsid w:val="00EA6660"/>
    <w:rsid w:val="00EA6B67"/>
    <w:rsid w:val="00EA79FB"/>
    <w:rsid w:val="00EB149E"/>
    <w:rsid w:val="00EB4A12"/>
    <w:rsid w:val="00EB523A"/>
    <w:rsid w:val="00EB711A"/>
    <w:rsid w:val="00EC098B"/>
    <w:rsid w:val="00EC1B7D"/>
    <w:rsid w:val="00EC3CE3"/>
    <w:rsid w:val="00EC4B82"/>
    <w:rsid w:val="00EC669A"/>
    <w:rsid w:val="00EC6DAC"/>
    <w:rsid w:val="00ED115F"/>
    <w:rsid w:val="00ED22FA"/>
    <w:rsid w:val="00ED3DBA"/>
    <w:rsid w:val="00ED414F"/>
    <w:rsid w:val="00ED47DB"/>
    <w:rsid w:val="00ED5607"/>
    <w:rsid w:val="00ED6D65"/>
    <w:rsid w:val="00ED78E4"/>
    <w:rsid w:val="00ED7B52"/>
    <w:rsid w:val="00EE0F68"/>
    <w:rsid w:val="00EE12D9"/>
    <w:rsid w:val="00EE222A"/>
    <w:rsid w:val="00EE2AAD"/>
    <w:rsid w:val="00EE34D6"/>
    <w:rsid w:val="00EE4200"/>
    <w:rsid w:val="00EE436D"/>
    <w:rsid w:val="00EE58FC"/>
    <w:rsid w:val="00EE612B"/>
    <w:rsid w:val="00EE6E63"/>
    <w:rsid w:val="00EE7860"/>
    <w:rsid w:val="00EF2468"/>
    <w:rsid w:val="00EF43E7"/>
    <w:rsid w:val="00EF4CF9"/>
    <w:rsid w:val="00EF6EA2"/>
    <w:rsid w:val="00EF6EED"/>
    <w:rsid w:val="00EF743D"/>
    <w:rsid w:val="00EF755D"/>
    <w:rsid w:val="00EF7AB7"/>
    <w:rsid w:val="00F01D35"/>
    <w:rsid w:val="00F028B9"/>
    <w:rsid w:val="00F04E71"/>
    <w:rsid w:val="00F07D2F"/>
    <w:rsid w:val="00F10391"/>
    <w:rsid w:val="00F106C6"/>
    <w:rsid w:val="00F13667"/>
    <w:rsid w:val="00F13C9E"/>
    <w:rsid w:val="00F13F32"/>
    <w:rsid w:val="00F16CD2"/>
    <w:rsid w:val="00F212C4"/>
    <w:rsid w:val="00F223BA"/>
    <w:rsid w:val="00F22816"/>
    <w:rsid w:val="00F22C83"/>
    <w:rsid w:val="00F22DC0"/>
    <w:rsid w:val="00F24104"/>
    <w:rsid w:val="00F24266"/>
    <w:rsid w:val="00F24BA5"/>
    <w:rsid w:val="00F25416"/>
    <w:rsid w:val="00F269CB"/>
    <w:rsid w:val="00F27874"/>
    <w:rsid w:val="00F27F01"/>
    <w:rsid w:val="00F34AF6"/>
    <w:rsid w:val="00F37861"/>
    <w:rsid w:val="00F400EC"/>
    <w:rsid w:val="00F416E6"/>
    <w:rsid w:val="00F418DE"/>
    <w:rsid w:val="00F41B98"/>
    <w:rsid w:val="00F42580"/>
    <w:rsid w:val="00F428E5"/>
    <w:rsid w:val="00F44488"/>
    <w:rsid w:val="00F44630"/>
    <w:rsid w:val="00F45BA3"/>
    <w:rsid w:val="00F51492"/>
    <w:rsid w:val="00F525D8"/>
    <w:rsid w:val="00F538C3"/>
    <w:rsid w:val="00F54853"/>
    <w:rsid w:val="00F54A2B"/>
    <w:rsid w:val="00F55461"/>
    <w:rsid w:val="00F6178D"/>
    <w:rsid w:val="00F62523"/>
    <w:rsid w:val="00F633DF"/>
    <w:rsid w:val="00F63ABE"/>
    <w:rsid w:val="00F6400E"/>
    <w:rsid w:val="00F650D9"/>
    <w:rsid w:val="00F6520E"/>
    <w:rsid w:val="00F659E3"/>
    <w:rsid w:val="00F667EA"/>
    <w:rsid w:val="00F713BC"/>
    <w:rsid w:val="00F71AA0"/>
    <w:rsid w:val="00F72C25"/>
    <w:rsid w:val="00F73DC6"/>
    <w:rsid w:val="00F77808"/>
    <w:rsid w:val="00F80622"/>
    <w:rsid w:val="00F813B3"/>
    <w:rsid w:val="00F8174F"/>
    <w:rsid w:val="00F83F55"/>
    <w:rsid w:val="00F84214"/>
    <w:rsid w:val="00F846F8"/>
    <w:rsid w:val="00F8670A"/>
    <w:rsid w:val="00F873F1"/>
    <w:rsid w:val="00F87CD0"/>
    <w:rsid w:val="00F90001"/>
    <w:rsid w:val="00F91195"/>
    <w:rsid w:val="00F915CF"/>
    <w:rsid w:val="00F91BE7"/>
    <w:rsid w:val="00F9375C"/>
    <w:rsid w:val="00F948E5"/>
    <w:rsid w:val="00F95175"/>
    <w:rsid w:val="00F95237"/>
    <w:rsid w:val="00F963A2"/>
    <w:rsid w:val="00F96EFD"/>
    <w:rsid w:val="00FA0648"/>
    <w:rsid w:val="00FA0A97"/>
    <w:rsid w:val="00FA223C"/>
    <w:rsid w:val="00FA224D"/>
    <w:rsid w:val="00FA31F0"/>
    <w:rsid w:val="00FA3854"/>
    <w:rsid w:val="00FA43DD"/>
    <w:rsid w:val="00FA4477"/>
    <w:rsid w:val="00FA48CB"/>
    <w:rsid w:val="00FB0F46"/>
    <w:rsid w:val="00FB3D64"/>
    <w:rsid w:val="00FB4DF3"/>
    <w:rsid w:val="00FB66FF"/>
    <w:rsid w:val="00FB7196"/>
    <w:rsid w:val="00FC3D05"/>
    <w:rsid w:val="00FC4198"/>
    <w:rsid w:val="00FC4A54"/>
    <w:rsid w:val="00FC55F9"/>
    <w:rsid w:val="00FC6D4B"/>
    <w:rsid w:val="00FD2C75"/>
    <w:rsid w:val="00FD4946"/>
    <w:rsid w:val="00FD594D"/>
    <w:rsid w:val="00FD5AC1"/>
    <w:rsid w:val="00FE13EF"/>
    <w:rsid w:val="00FE144B"/>
    <w:rsid w:val="00FE201F"/>
    <w:rsid w:val="00FE2747"/>
    <w:rsid w:val="00FE41EF"/>
    <w:rsid w:val="00FE48DC"/>
    <w:rsid w:val="00FE56E9"/>
    <w:rsid w:val="00FF01FD"/>
    <w:rsid w:val="00FF0AD9"/>
    <w:rsid w:val="00FF6D42"/>
    <w:rsid w:val="00FF78F8"/>
  </w:rsids>
  <m:mathPr>
    <m:mathFont m:val="Cambria Math"/>
    <m:brkBin m:val="before"/>
    <m:brkBinSub m:val="--"/>
    <m:smallFrac m:val="0"/>
    <m:dispDef/>
    <m:lMargin m:val="0"/>
    <m:rMargin m:val="0"/>
    <m:defJc m:val="centerGroup"/>
    <m:wrapIndent m:val="1440"/>
    <m:intLim m:val="subSup"/>
    <m:naryLim m:val="undOvr"/>
  </m:mathPr>
  <w:themeFontLang w:val="en-GB" w:eastAsia="ja-JP" w:bidi="x-none"/>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66F1D09C"/>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SimSun" w:hAnsi="Times New Roman" w:cs="Times New Roman"/>
        <w:lang w:val="en-GB" w:eastAsia="en-GB" w:bidi="ar-SA"/>
      </w:rPr>
    </w:rPrDefault>
    <w:pPrDefault/>
  </w:docDefaults>
  <w:latentStyles w:defLockedState="0" w:defUIPriority="0" w:defSemiHidden="0" w:defUnhideWhenUsed="0" w:defQFormat="0" w:count="382">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iPriority="99"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atentStyles>
  <w:style w:type="paragraph" w:default="1" w:styleId="Normal">
    <w:name w:val="Normal"/>
    <w:qFormat/>
    <w:pPr>
      <w:jc w:val="both"/>
    </w:pPr>
    <w:rPr>
      <w:rFonts w:ascii="Arial" w:eastAsia="MS Mincho" w:hAnsi="Arial"/>
      <w:kern w:val="18"/>
      <w:sz w:val="22"/>
      <w:lang w:eastAsia="en-US"/>
    </w:rPr>
  </w:style>
  <w:style w:type="paragraph" w:styleId="Heading1">
    <w:name w:val="heading 1"/>
    <w:basedOn w:val="Normal"/>
    <w:next w:val="Normal"/>
    <w:qFormat/>
    <w:rsid w:val="001D4C0F"/>
    <w:pPr>
      <w:keepNext/>
      <w:tabs>
        <w:tab w:val="left" w:pos="540"/>
      </w:tabs>
      <w:jc w:val="left"/>
      <w:outlineLvl w:val="0"/>
    </w:pPr>
    <w:rPr>
      <w:rFonts w:ascii="Trebuchet MS" w:eastAsia="Times New Roman" w:hAnsi="Trebuchet MS"/>
      <w:b/>
      <w:bCs/>
      <w:kern w:val="0"/>
      <w:sz w:val="20"/>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Salutation">
    <w:name w:val="Salutation"/>
    <w:basedOn w:val="Normal"/>
    <w:next w:val="Normal"/>
    <w:pPr>
      <w:spacing w:before="240" w:after="240" w:line="240" w:lineRule="atLeast"/>
      <w:jc w:val="left"/>
    </w:pPr>
  </w:style>
  <w:style w:type="paragraph" w:styleId="BodyText">
    <w:name w:val="Body Text"/>
    <w:basedOn w:val="Normal"/>
    <w:pPr>
      <w:spacing w:after="240" w:line="240" w:lineRule="atLeast"/>
    </w:pPr>
  </w:style>
  <w:style w:type="paragraph" w:styleId="Closing">
    <w:name w:val="Closing"/>
    <w:basedOn w:val="Normal"/>
    <w:next w:val="Signature"/>
    <w:pPr>
      <w:keepNext/>
      <w:spacing w:after="120" w:line="240" w:lineRule="atLeast"/>
    </w:pPr>
  </w:style>
  <w:style w:type="paragraph" w:styleId="Signature">
    <w:name w:val="Signature"/>
    <w:basedOn w:val="Normal"/>
    <w:next w:val="Normal"/>
    <w:pPr>
      <w:keepNext/>
      <w:spacing w:before="880" w:line="240" w:lineRule="atLeast"/>
      <w:jc w:val="left"/>
    </w:pPr>
  </w:style>
  <w:style w:type="paragraph" w:styleId="Date">
    <w:name w:val="Date"/>
    <w:basedOn w:val="Normal"/>
    <w:next w:val="InsideAddressName"/>
    <w:pPr>
      <w:spacing w:after="220"/>
    </w:pPr>
  </w:style>
  <w:style w:type="paragraph" w:customStyle="1" w:styleId="InsideAddress">
    <w:name w:val="Inside Address"/>
    <w:basedOn w:val="Normal"/>
    <w:pPr>
      <w:spacing w:line="240" w:lineRule="atLeast"/>
    </w:pPr>
  </w:style>
  <w:style w:type="paragraph" w:customStyle="1" w:styleId="InsideAddressName">
    <w:name w:val="Inside Address Name"/>
    <w:basedOn w:val="InsideAddress"/>
    <w:next w:val="InsideAddress"/>
    <w:pPr>
      <w:spacing w:before="220"/>
    </w:pPr>
  </w:style>
  <w:style w:type="paragraph" w:styleId="Header">
    <w:name w:val="header"/>
    <w:basedOn w:val="Normal"/>
    <w:pPr>
      <w:tabs>
        <w:tab w:val="center" w:pos="4320"/>
        <w:tab w:val="right" w:pos="8640"/>
      </w:tabs>
    </w:pPr>
    <w:rPr>
      <w:sz w:val="16"/>
    </w:rPr>
  </w:style>
  <w:style w:type="character" w:styleId="Hyperlink">
    <w:name w:val="Hyperlink"/>
    <w:rPr>
      <w:color w:val="0000FF"/>
      <w:u w:val="single"/>
    </w:rPr>
  </w:style>
  <w:style w:type="paragraph" w:styleId="Footer">
    <w:name w:val="footer"/>
    <w:basedOn w:val="Normal"/>
    <w:link w:val="FooterChar"/>
    <w:uiPriority w:val="99"/>
    <w:pPr>
      <w:tabs>
        <w:tab w:val="center" w:pos="4153"/>
        <w:tab w:val="right" w:pos="8306"/>
      </w:tabs>
    </w:pPr>
    <w:rPr>
      <w:sz w:val="16"/>
    </w:rPr>
  </w:style>
  <w:style w:type="paragraph" w:styleId="BalloonText">
    <w:name w:val="Balloon Text"/>
    <w:basedOn w:val="Normal"/>
    <w:semiHidden/>
    <w:rPr>
      <w:rFonts w:ascii="Tahoma" w:hAnsi="Tahoma" w:cs="Tahoma"/>
      <w:sz w:val="16"/>
      <w:szCs w:val="16"/>
    </w:rPr>
  </w:style>
  <w:style w:type="character" w:customStyle="1" w:styleId="HeaderChar">
    <w:name w:val="Header Char"/>
    <w:rPr>
      <w:rFonts w:ascii="Arial" w:eastAsia="MS Mincho" w:hAnsi="Arial"/>
      <w:kern w:val="18"/>
      <w:sz w:val="16"/>
      <w:lang w:val="en-GB" w:eastAsia="en-US" w:bidi="ar-SA"/>
    </w:rPr>
  </w:style>
  <w:style w:type="character" w:customStyle="1" w:styleId="jaw32">
    <w:name w:val="jaw32"/>
    <w:semiHidden/>
    <w:rsid w:val="00243287"/>
    <w:rPr>
      <w:rFonts w:ascii="Calibri" w:hAnsi="Calibri"/>
      <w:b w:val="0"/>
      <w:bCs w:val="0"/>
      <w:i w:val="0"/>
      <w:iCs w:val="0"/>
      <w:strike w:val="0"/>
      <w:color w:val="0000FF"/>
      <w:sz w:val="24"/>
      <w:szCs w:val="24"/>
      <w:u w:val="none"/>
    </w:rPr>
  </w:style>
  <w:style w:type="character" w:customStyle="1" w:styleId="apple-style-span">
    <w:name w:val="apple-style-span"/>
    <w:basedOn w:val="DefaultParagraphFont"/>
    <w:rsid w:val="001D4C0F"/>
  </w:style>
  <w:style w:type="character" w:customStyle="1" w:styleId="FooterChar">
    <w:name w:val="Footer Char"/>
    <w:link w:val="Footer"/>
    <w:uiPriority w:val="99"/>
    <w:rsid w:val="003A2C08"/>
    <w:rPr>
      <w:rFonts w:ascii="Arial" w:eastAsia="MS Mincho" w:hAnsi="Arial"/>
      <w:kern w:val="18"/>
      <w:sz w:val="16"/>
      <w:lang w:eastAsia="en-US"/>
    </w:rPr>
  </w:style>
  <w:style w:type="character" w:styleId="CommentReference">
    <w:name w:val="annotation reference"/>
    <w:rsid w:val="00534C38"/>
    <w:rPr>
      <w:sz w:val="16"/>
      <w:szCs w:val="16"/>
    </w:rPr>
  </w:style>
  <w:style w:type="paragraph" w:styleId="CommentText">
    <w:name w:val="annotation text"/>
    <w:basedOn w:val="Normal"/>
    <w:link w:val="CommentTextChar"/>
    <w:rsid w:val="00534C38"/>
    <w:rPr>
      <w:sz w:val="20"/>
    </w:rPr>
  </w:style>
  <w:style w:type="character" w:customStyle="1" w:styleId="CommentTextChar">
    <w:name w:val="Comment Text Char"/>
    <w:link w:val="CommentText"/>
    <w:rsid w:val="00534C38"/>
    <w:rPr>
      <w:rFonts w:ascii="Arial" w:eastAsia="MS Mincho" w:hAnsi="Arial"/>
      <w:kern w:val="18"/>
      <w:lang w:eastAsia="en-US"/>
    </w:rPr>
  </w:style>
  <w:style w:type="paragraph" w:styleId="CommentSubject">
    <w:name w:val="annotation subject"/>
    <w:basedOn w:val="CommentText"/>
    <w:next w:val="CommentText"/>
    <w:link w:val="CommentSubjectChar"/>
    <w:rsid w:val="00534C38"/>
    <w:rPr>
      <w:b/>
      <w:bCs/>
    </w:rPr>
  </w:style>
  <w:style w:type="character" w:customStyle="1" w:styleId="CommentSubjectChar">
    <w:name w:val="Comment Subject Char"/>
    <w:link w:val="CommentSubject"/>
    <w:rsid w:val="00534C38"/>
    <w:rPr>
      <w:rFonts w:ascii="Arial" w:eastAsia="MS Mincho" w:hAnsi="Arial"/>
      <w:b/>
      <w:bCs/>
      <w:kern w:val="18"/>
      <w:lang w:eastAsia="en-US"/>
    </w:rPr>
  </w:style>
  <w:style w:type="table" w:styleId="TableGrid">
    <w:name w:val="Table Grid"/>
    <w:basedOn w:val="TableNormal"/>
    <w:rsid w:val="005406C6"/>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Default">
    <w:name w:val="Default"/>
    <w:rsid w:val="00F04E71"/>
    <w:pPr>
      <w:autoSpaceDE w:val="0"/>
      <w:autoSpaceDN w:val="0"/>
      <w:adjustRightInd w:val="0"/>
    </w:pPr>
    <w:rPr>
      <w:rFonts w:ascii="Shaker 2 Lancet Regular" w:hAnsi="Shaker 2 Lancet Regular" w:cs="Shaker 2 Lancet Regular"/>
      <w:color w:val="000000"/>
      <w:sz w:val="24"/>
      <w:szCs w:val="24"/>
    </w:rPr>
  </w:style>
  <w:style w:type="paragraph" w:styleId="PlainText">
    <w:name w:val="Plain Text"/>
    <w:basedOn w:val="Normal"/>
    <w:link w:val="PlainTextChar"/>
    <w:uiPriority w:val="99"/>
    <w:unhideWhenUsed/>
    <w:rsid w:val="001A65E3"/>
    <w:pPr>
      <w:jc w:val="left"/>
    </w:pPr>
    <w:rPr>
      <w:rFonts w:ascii="Calibri" w:eastAsiaTheme="minorHAnsi" w:hAnsi="Calibri"/>
      <w:kern w:val="0"/>
      <w:szCs w:val="22"/>
    </w:rPr>
  </w:style>
  <w:style w:type="character" w:customStyle="1" w:styleId="PlainTextChar">
    <w:name w:val="Plain Text Char"/>
    <w:basedOn w:val="DefaultParagraphFont"/>
    <w:link w:val="PlainText"/>
    <w:uiPriority w:val="99"/>
    <w:rsid w:val="001A65E3"/>
    <w:rPr>
      <w:rFonts w:ascii="Calibri" w:eastAsiaTheme="minorHAnsi" w:hAnsi="Calibri"/>
      <w:sz w:val="22"/>
      <w:szCs w:val="22"/>
      <w:lang w:eastAsia="en-US"/>
    </w:rPr>
  </w:style>
  <w:style w:type="paragraph" w:styleId="ListParagraph">
    <w:name w:val="List Paragraph"/>
    <w:basedOn w:val="Normal"/>
    <w:uiPriority w:val="34"/>
    <w:qFormat/>
    <w:rsid w:val="0064615F"/>
    <w:pPr>
      <w:ind w:left="720"/>
      <w:contextualSpacing/>
    </w:pPr>
  </w:style>
  <w:style w:type="paragraph" w:styleId="NormalWeb">
    <w:name w:val="Normal (Web)"/>
    <w:basedOn w:val="Normal"/>
    <w:uiPriority w:val="99"/>
    <w:unhideWhenUsed/>
    <w:rsid w:val="000A59D7"/>
    <w:pPr>
      <w:spacing w:before="100" w:beforeAutospacing="1" w:after="100" w:afterAutospacing="1"/>
      <w:jc w:val="left"/>
    </w:pPr>
    <w:rPr>
      <w:rFonts w:ascii="Calibri" w:eastAsiaTheme="minorHAnsi" w:hAnsi="Calibri"/>
      <w:kern w:val="0"/>
      <w:szCs w:val="22"/>
    </w:rPr>
  </w:style>
  <w:style w:type="paragraph" w:customStyle="1" w:styleId="EndNoteBibliographyTitle">
    <w:name w:val="EndNote Bibliography Title"/>
    <w:basedOn w:val="Normal"/>
    <w:link w:val="EndNoteBibliographyTitleChar"/>
    <w:rsid w:val="008C6506"/>
    <w:pPr>
      <w:jc w:val="center"/>
    </w:pPr>
    <w:rPr>
      <w:rFonts w:cs="Arial"/>
      <w:noProof/>
      <w:lang w:val="en-US"/>
    </w:rPr>
  </w:style>
  <w:style w:type="character" w:customStyle="1" w:styleId="EndNoteBibliographyTitleChar">
    <w:name w:val="EndNote Bibliography Title Char"/>
    <w:basedOn w:val="DefaultParagraphFont"/>
    <w:link w:val="EndNoteBibliographyTitle"/>
    <w:rsid w:val="008C6506"/>
    <w:rPr>
      <w:rFonts w:ascii="Arial" w:eastAsia="MS Mincho" w:hAnsi="Arial" w:cs="Arial"/>
      <w:noProof/>
      <w:kern w:val="18"/>
      <w:sz w:val="22"/>
      <w:lang w:val="en-US" w:eastAsia="en-US"/>
    </w:rPr>
  </w:style>
  <w:style w:type="paragraph" w:customStyle="1" w:styleId="EndNoteBibliography">
    <w:name w:val="EndNote Bibliography"/>
    <w:basedOn w:val="Normal"/>
    <w:link w:val="EndNoteBibliographyChar"/>
    <w:rsid w:val="008C6506"/>
    <w:rPr>
      <w:rFonts w:cs="Arial"/>
      <w:noProof/>
      <w:lang w:val="en-US"/>
    </w:rPr>
  </w:style>
  <w:style w:type="character" w:customStyle="1" w:styleId="EndNoteBibliographyChar">
    <w:name w:val="EndNote Bibliography Char"/>
    <w:basedOn w:val="DefaultParagraphFont"/>
    <w:link w:val="EndNoteBibliography"/>
    <w:rsid w:val="008C6506"/>
    <w:rPr>
      <w:rFonts w:ascii="Arial" w:eastAsia="MS Mincho" w:hAnsi="Arial" w:cs="Arial"/>
      <w:noProof/>
      <w:kern w:val="18"/>
      <w:sz w:val="22"/>
      <w:lang w:val="en-US" w:eastAsia="en-US"/>
    </w:rPr>
  </w:style>
  <w:style w:type="character" w:styleId="FollowedHyperlink">
    <w:name w:val="FollowedHyperlink"/>
    <w:basedOn w:val="DefaultParagraphFont"/>
    <w:rsid w:val="00D7197A"/>
    <w:rPr>
      <w:color w:val="800080" w:themeColor="followedHyperlink"/>
      <w:u w:val="single"/>
    </w:rPr>
  </w:style>
  <w:style w:type="paragraph" w:styleId="Revision">
    <w:name w:val="Revision"/>
    <w:hidden/>
    <w:uiPriority w:val="99"/>
    <w:semiHidden/>
    <w:rsid w:val="00826DF3"/>
    <w:rPr>
      <w:rFonts w:ascii="Arial" w:eastAsia="MS Mincho" w:hAnsi="Arial"/>
      <w:kern w:val="18"/>
      <w:sz w:val="22"/>
      <w:lang w:eastAsia="en-US"/>
    </w:rPr>
  </w:style>
  <w:style w:type="paragraph" w:styleId="DocumentMap">
    <w:name w:val="Document Map"/>
    <w:basedOn w:val="Normal"/>
    <w:link w:val="DocumentMapChar"/>
    <w:semiHidden/>
    <w:unhideWhenUsed/>
    <w:rsid w:val="00C13011"/>
    <w:rPr>
      <w:rFonts w:ascii="Times New Roman" w:hAnsi="Times New Roman"/>
      <w:sz w:val="24"/>
      <w:szCs w:val="24"/>
    </w:rPr>
  </w:style>
  <w:style w:type="character" w:customStyle="1" w:styleId="DocumentMapChar">
    <w:name w:val="Document Map Char"/>
    <w:basedOn w:val="DefaultParagraphFont"/>
    <w:link w:val="DocumentMap"/>
    <w:semiHidden/>
    <w:rsid w:val="00C13011"/>
    <w:rPr>
      <w:rFonts w:eastAsia="MS Mincho"/>
      <w:kern w:val="18"/>
      <w:sz w:val="24"/>
      <w:szCs w:val="24"/>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07690564">
      <w:bodyDiv w:val="1"/>
      <w:marLeft w:val="0"/>
      <w:marRight w:val="0"/>
      <w:marTop w:val="0"/>
      <w:marBottom w:val="0"/>
      <w:divBdr>
        <w:top w:val="none" w:sz="0" w:space="0" w:color="auto"/>
        <w:left w:val="none" w:sz="0" w:space="0" w:color="auto"/>
        <w:bottom w:val="none" w:sz="0" w:space="0" w:color="auto"/>
        <w:right w:val="none" w:sz="0" w:space="0" w:color="auto"/>
      </w:divBdr>
    </w:div>
    <w:div w:id="471140505">
      <w:bodyDiv w:val="1"/>
      <w:marLeft w:val="0"/>
      <w:marRight w:val="0"/>
      <w:marTop w:val="0"/>
      <w:marBottom w:val="0"/>
      <w:divBdr>
        <w:top w:val="none" w:sz="0" w:space="0" w:color="auto"/>
        <w:left w:val="none" w:sz="0" w:space="0" w:color="auto"/>
        <w:bottom w:val="none" w:sz="0" w:space="0" w:color="auto"/>
        <w:right w:val="none" w:sz="0" w:space="0" w:color="auto"/>
      </w:divBdr>
    </w:div>
    <w:div w:id="938367473">
      <w:bodyDiv w:val="1"/>
      <w:marLeft w:val="0"/>
      <w:marRight w:val="0"/>
      <w:marTop w:val="0"/>
      <w:marBottom w:val="0"/>
      <w:divBdr>
        <w:top w:val="none" w:sz="0" w:space="0" w:color="auto"/>
        <w:left w:val="none" w:sz="0" w:space="0" w:color="auto"/>
        <w:bottom w:val="none" w:sz="0" w:space="0" w:color="auto"/>
        <w:right w:val="none" w:sz="0" w:space="0" w:color="auto"/>
      </w:divBdr>
    </w:div>
    <w:div w:id="1104685835">
      <w:bodyDiv w:val="1"/>
      <w:marLeft w:val="0"/>
      <w:marRight w:val="0"/>
      <w:marTop w:val="0"/>
      <w:marBottom w:val="0"/>
      <w:divBdr>
        <w:top w:val="none" w:sz="0" w:space="0" w:color="auto"/>
        <w:left w:val="none" w:sz="0" w:space="0" w:color="auto"/>
        <w:bottom w:val="none" w:sz="0" w:space="0" w:color="auto"/>
        <w:right w:val="none" w:sz="0" w:space="0" w:color="auto"/>
      </w:divBdr>
    </w:div>
    <w:div w:id="1145656750">
      <w:bodyDiv w:val="1"/>
      <w:marLeft w:val="0"/>
      <w:marRight w:val="0"/>
      <w:marTop w:val="0"/>
      <w:marBottom w:val="0"/>
      <w:divBdr>
        <w:top w:val="none" w:sz="0" w:space="0" w:color="auto"/>
        <w:left w:val="none" w:sz="0" w:space="0" w:color="auto"/>
        <w:bottom w:val="none" w:sz="0" w:space="0" w:color="auto"/>
        <w:right w:val="none" w:sz="0" w:space="0" w:color="auto"/>
      </w:divBdr>
    </w:div>
    <w:div w:id="1327512127">
      <w:bodyDiv w:val="1"/>
      <w:marLeft w:val="0"/>
      <w:marRight w:val="0"/>
      <w:marTop w:val="0"/>
      <w:marBottom w:val="0"/>
      <w:divBdr>
        <w:top w:val="none" w:sz="0" w:space="0" w:color="auto"/>
        <w:left w:val="none" w:sz="0" w:space="0" w:color="auto"/>
        <w:bottom w:val="none" w:sz="0" w:space="0" w:color="auto"/>
        <w:right w:val="none" w:sz="0" w:space="0" w:color="auto"/>
      </w:divBdr>
    </w:div>
    <w:div w:id="1790852741">
      <w:bodyDiv w:val="1"/>
      <w:marLeft w:val="0"/>
      <w:marRight w:val="0"/>
      <w:marTop w:val="0"/>
      <w:marBottom w:val="0"/>
      <w:divBdr>
        <w:top w:val="none" w:sz="0" w:space="0" w:color="auto"/>
        <w:left w:val="none" w:sz="0" w:space="0" w:color="auto"/>
        <w:bottom w:val="none" w:sz="0" w:space="0" w:color="auto"/>
        <w:right w:val="none" w:sz="0" w:space="0" w:color="auto"/>
      </w:divBdr>
    </w:div>
    <w:div w:id="1943687799">
      <w:bodyDiv w:val="1"/>
      <w:marLeft w:val="0"/>
      <w:marRight w:val="0"/>
      <w:marTop w:val="0"/>
      <w:marBottom w:val="0"/>
      <w:divBdr>
        <w:top w:val="none" w:sz="0" w:space="0" w:color="auto"/>
        <w:left w:val="none" w:sz="0" w:space="0" w:color="auto"/>
        <w:bottom w:val="none" w:sz="0" w:space="0" w:color="auto"/>
        <w:right w:val="none" w:sz="0" w:space="0" w:color="auto"/>
      </w:divBdr>
    </w:div>
    <w:div w:id="21359025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doNotSaveAsSingleFile/>
</w:webSettings>
</file>

<file path=word/_rels/document.xml.rels><?xml version="1.0" encoding="UTF-8" standalone="yes"?>
<Relationships xmlns="http://schemas.openxmlformats.org/package/2006/relationships"><Relationship Id="rId11" Type="http://schemas.openxmlformats.org/officeDocument/2006/relationships/header" Target="header1.xml"/><Relationship Id="rId12" Type="http://schemas.openxmlformats.org/officeDocument/2006/relationships/footer" Target="footer1.xml"/><Relationship Id="rId13" Type="http://schemas.openxmlformats.org/officeDocument/2006/relationships/footer" Target="footer2.xml"/><Relationship Id="rId14" Type="http://schemas.openxmlformats.org/officeDocument/2006/relationships/fontTable" Target="fontTable.xml"/><Relationship Id="rId15" Type="http://schemas.microsoft.com/office/2011/relationships/people" Target="people.xml"/><Relationship Id="rId16"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3" Type="http://schemas.openxmlformats.org/officeDocument/2006/relationships/styles" Target="style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comments" Target="comments.xml"/><Relationship Id="rId9" Type="http://schemas.microsoft.com/office/2011/relationships/commentsExtended" Target="commentsExtended.xml"/><Relationship Id="rId10" Type="http://schemas.openxmlformats.org/officeDocument/2006/relationships/image" Target="media/image1.emf"/></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1\pen30\LOCALS~1\Temp\Letterhead.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DD490BB-29CA-6F45-A6C0-CE0E6F89736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C:\DOCUME~1\pen30\LOCALS~1\Temp\Letterhead.dot</Template>
  <TotalTime>0</TotalTime>
  <Pages>8</Pages>
  <Words>9404</Words>
  <Characters>53603</Characters>
  <Application>Microsoft Macintosh Word</Application>
  <DocSecurity>0</DocSecurity>
  <Lines>446</Lines>
  <Paragraphs>125</Paragraphs>
  <ScaleCrop>false</ScaleCrop>
  <HeadingPairs>
    <vt:vector size="2" baseType="variant">
      <vt:variant>
        <vt:lpstr>Title</vt:lpstr>
      </vt:variant>
      <vt:variant>
        <vt:i4>1</vt:i4>
      </vt:variant>
    </vt:vector>
  </HeadingPairs>
  <TitlesOfParts>
    <vt:vector size="1" baseType="lpstr">
      <vt:lpstr>16 December 2002</vt:lpstr>
    </vt:vector>
  </TitlesOfParts>
  <Company>Imperial College</Company>
  <LinksUpToDate>false</LinksUpToDate>
  <CharactersWithSpaces>62882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16 December 2002</dc:title>
  <dc:creator>pen30</dc:creator>
  <cp:lastModifiedBy>Parks, Robbie M</cp:lastModifiedBy>
  <cp:revision>2</cp:revision>
  <cp:lastPrinted>2016-09-20T09:06:00Z</cp:lastPrinted>
  <dcterms:created xsi:type="dcterms:W3CDTF">2018-07-24T14:12:00Z</dcterms:created>
  <dcterms:modified xsi:type="dcterms:W3CDTF">2018-07-24T14:12:00Z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Mendeley Document_1">
    <vt:lpwstr>True</vt:lpwstr>
  </property>
  <property fmtid="{D5CDD505-2E9C-101B-9397-08002B2CF9AE}" pid="4" name="Mendeley Unique User Id_1">
    <vt:lpwstr>7f47c4ec-e20f-36f7-ae86-130308784d82</vt:lpwstr>
  </property>
  <property fmtid="{D5CDD505-2E9C-101B-9397-08002B2CF9AE}" pid="5" name="Mendeley Citation Style_1">
    <vt:lpwstr>http://www.zotero.org/styles/apa</vt:lpwstr>
  </property>
  <property fmtid="{D5CDD505-2E9C-101B-9397-08002B2CF9AE}" pid="6" name="Mendeley Recent Style Id 0_1">
    <vt:lpwstr>http://www.zotero.org/styles/american-political-science-association</vt:lpwstr>
  </property>
  <property fmtid="{D5CDD505-2E9C-101B-9397-08002B2CF9AE}" pid="7" name="Mendeley Recent Style Name 0_1">
    <vt:lpwstr>American Political Science Association</vt:lpwstr>
  </property>
  <property fmtid="{D5CDD505-2E9C-101B-9397-08002B2CF9AE}" pid="8" name="Mendeley Recent Style Id 1_1">
    <vt:lpwstr>http://www.zotero.org/styles/apa</vt:lpwstr>
  </property>
  <property fmtid="{D5CDD505-2E9C-101B-9397-08002B2CF9AE}" pid="9" name="Mendeley Recent Style Name 1_1">
    <vt:lpwstr>American Psychological Association 6th edition</vt:lpwstr>
  </property>
  <property fmtid="{D5CDD505-2E9C-101B-9397-08002B2CF9AE}" pid="10" name="Mendeley Recent Style Id 2_1">
    <vt:lpwstr>http://www.zotero.org/styles/chicago-author-date</vt:lpwstr>
  </property>
  <property fmtid="{D5CDD505-2E9C-101B-9397-08002B2CF9AE}" pid="11" name="Mendeley Recent Style Name 2_1">
    <vt:lpwstr>Chicago Manual of Style 16th edition (author-date)</vt:lpwstr>
  </property>
  <property fmtid="{D5CDD505-2E9C-101B-9397-08002B2CF9AE}" pid="12" name="Mendeley Recent Style Id 3_1">
    <vt:lpwstr>http://www.zotero.org/styles/harvard-cite-them-right</vt:lpwstr>
  </property>
  <property fmtid="{D5CDD505-2E9C-101B-9397-08002B2CF9AE}" pid="13" name="Mendeley Recent Style Name 3_1">
    <vt:lpwstr>Cite Them Right 10th edition - Harvard</vt:lpwstr>
  </property>
  <property fmtid="{D5CDD505-2E9C-101B-9397-08002B2CF9AE}" pid="14" name="Mendeley Recent Style Id 4_1">
    <vt:lpwstr>http://www.zotero.org/styles/harvard1</vt:lpwstr>
  </property>
  <property fmtid="{D5CDD505-2E9C-101B-9397-08002B2CF9AE}" pid="15" name="Mendeley Recent Style Name 4_1">
    <vt:lpwstr>Harvard reference format 1 (deprecated)</vt:lpwstr>
  </property>
  <property fmtid="{D5CDD505-2E9C-101B-9397-08002B2CF9AE}" pid="16" name="Mendeley Recent Style Id 5_1">
    <vt:lpwstr>http://www.zotero.org/styles/ieee</vt:lpwstr>
  </property>
  <property fmtid="{D5CDD505-2E9C-101B-9397-08002B2CF9AE}" pid="17" name="Mendeley Recent Style Name 5_1">
    <vt:lpwstr>IEEE</vt:lpwstr>
  </property>
  <property fmtid="{D5CDD505-2E9C-101B-9397-08002B2CF9AE}" pid="18" name="Mendeley Recent Style Id 6_1">
    <vt:lpwstr>http://www.zotero.org/styles/modern-humanities-research-association</vt:lpwstr>
  </property>
  <property fmtid="{D5CDD505-2E9C-101B-9397-08002B2CF9AE}" pid="19" name="Mendeley Recent Style Name 6_1">
    <vt:lpwstr>Modern Humanities Research Association 3rd edition (note with bibliography)</vt:lpwstr>
  </property>
  <property fmtid="{D5CDD505-2E9C-101B-9397-08002B2CF9AE}" pid="20" name="Mendeley Recent Style Id 7_1">
    <vt:lpwstr>http://www.zotero.org/styles/modern-language-association</vt:lpwstr>
  </property>
  <property fmtid="{D5CDD505-2E9C-101B-9397-08002B2CF9AE}" pid="21" name="Mendeley Recent Style Name 7_1">
    <vt:lpwstr>Modern Language Association 7th edition</vt:lpwstr>
  </property>
  <property fmtid="{D5CDD505-2E9C-101B-9397-08002B2CF9AE}" pid="22" name="Mendeley Recent Style Id 8_1">
    <vt:lpwstr>http://www.zotero.org/styles/nature</vt:lpwstr>
  </property>
  <property fmtid="{D5CDD505-2E9C-101B-9397-08002B2CF9AE}" pid="23" name="Mendeley Recent Style Name 8_1">
    <vt:lpwstr>Nature</vt:lpwstr>
  </property>
  <property fmtid="{D5CDD505-2E9C-101B-9397-08002B2CF9AE}" pid="24" name="Mendeley Recent Style Id 9_1">
    <vt:lpwstr>http://www.zotero.org/styles/the-lancet</vt:lpwstr>
  </property>
  <property fmtid="{D5CDD505-2E9C-101B-9397-08002B2CF9AE}" pid="25" name="Mendeley Recent Style Name 9_1">
    <vt:lpwstr>The Lancet</vt:lpwstr>
  </property>
</Properties>
</file>