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6B0188" w14:textId="77777777" w:rsidR="00F81194" w:rsidRPr="00AF1062" w:rsidRDefault="00F81194">
      <w:pPr>
        <w:rPr>
          <w:rFonts w:ascii="Arial" w:hAnsi="Arial" w:cs="Arial"/>
          <w:b/>
          <w:sz w:val="22"/>
          <w:szCs w:val="22"/>
        </w:rPr>
      </w:pPr>
      <w:r w:rsidRPr="00AF1062">
        <w:rPr>
          <w:rFonts w:ascii="Arial" w:hAnsi="Arial" w:cs="Arial"/>
          <w:b/>
          <w:sz w:val="22"/>
          <w:szCs w:val="22"/>
        </w:rPr>
        <w:t>Notes on</w:t>
      </w:r>
      <w:r w:rsidRPr="00AF1062">
        <w:rPr>
          <w:rFonts w:ascii="Arial" w:hAnsi="Arial" w:cs="Arial"/>
          <w:sz w:val="22"/>
          <w:szCs w:val="22"/>
        </w:rPr>
        <w:t xml:space="preserve"> </w:t>
      </w:r>
      <w:r w:rsidRPr="00AF1062">
        <w:rPr>
          <w:rFonts w:ascii="Arial" w:hAnsi="Arial" w:cs="Arial"/>
          <w:b/>
          <w:sz w:val="22"/>
          <w:szCs w:val="22"/>
        </w:rPr>
        <w:t>temperature change due to climate change and mortality</w:t>
      </w:r>
    </w:p>
    <w:p w14:paraId="59267E78" w14:textId="77777777" w:rsidR="00F81194" w:rsidRPr="00AF1062" w:rsidRDefault="00F81194">
      <w:pPr>
        <w:rPr>
          <w:rFonts w:ascii="Arial" w:hAnsi="Arial" w:cs="Arial"/>
          <w:b/>
          <w:sz w:val="22"/>
          <w:szCs w:val="22"/>
        </w:rPr>
      </w:pPr>
    </w:p>
    <w:p w14:paraId="34CEA70C" w14:textId="77777777" w:rsidR="00D64305" w:rsidRPr="00AF1062" w:rsidRDefault="00D64305">
      <w:pPr>
        <w:rPr>
          <w:rFonts w:ascii="Arial" w:hAnsi="Arial" w:cs="Arial"/>
          <w:b/>
          <w:sz w:val="22"/>
          <w:szCs w:val="22"/>
        </w:rPr>
      </w:pPr>
      <w:r w:rsidRPr="00AF1062">
        <w:rPr>
          <w:rFonts w:ascii="Arial" w:hAnsi="Arial" w:cs="Arial"/>
          <w:b/>
          <w:sz w:val="22"/>
          <w:szCs w:val="22"/>
        </w:rPr>
        <w:t>GHHIN Concept notes:</w:t>
      </w:r>
    </w:p>
    <w:p w14:paraId="76EB4EF3" w14:textId="77777777" w:rsidR="00D64305" w:rsidRPr="00AF1062" w:rsidRDefault="00D64305">
      <w:pPr>
        <w:rPr>
          <w:rFonts w:ascii="Arial" w:hAnsi="Arial" w:cs="Arial"/>
          <w:b/>
          <w:sz w:val="22"/>
          <w:szCs w:val="22"/>
        </w:rPr>
      </w:pPr>
    </w:p>
    <w:p w14:paraId="3C40A714" w14:textId="77777777" w:rsidR="00D64305" w:rsidRPr="00AF1062" w:rsidRDefault="00D64305" w:rsidP="00D64305">
      <w:pPr>
        <w:pStyle w:val="p1"/>
        <w:rPr>
          <w:rFonts w:ascii="Arial" w:hAnsi="Arial" w:cs="Arial"/>
          <w:sz w:val="22"/>
          <w:szCs w:val="22"/>
        </w:rPr>
      </w:pPr>
      <w:r w:rsidRPr="00AF1062">
        <w:rPr>
          <w:rFonts w:ascii="Arial" w:hAnsi="Arial" w:cs="Arial"/>
          <w:sz w:val="22"/>
          <w:szCs w:val="22"/>
        </w:rPr>
        <w:t>‘</w:t>
      </w:r>
      <w:r w:rsidRPr="00AF1062">
        <w:rPr>
          <w:rFonts w:ascii="Arial" w:hAnsi="Arial" w:cs="Arial"/>
          <w:sz w:val="22"/>
          <w:szCs w:val="22"/>
        </w:rPr>
        <w:t>The Intergovernmental Panel on Climate Change projects the observed trends of heat</w:t>
      </w:r>
    </w:p>
    <w:p w14:paraId="51526D29" w14:textId="38412D65" w:rsidR="000F63E5" w:rsidRPr="00AF1062" w:rsidRDefault="00D64305" w:rsidP="00D64305">
      <w:pPr>
        <w:pStyle w:val="p1"/>
        <w:rPr>
          <w:rFonts w:ascii="Arial" w:hAnsi="Arial" w:cs="Arial"/>
          <w:sz w:val="22"/>
          <w:szCs w:val="22"/>
        </w:rPr>
      </w:pPr>
      <w:r w:rsidRPr="00AF1062">
        <w:rPr>
          <w:rFonts w:ascii="Arial" w:hAnsi="Arial" w:cs="Arial"/>
          <w:sz w:val="22"/>
          <w:szCs w:val="22"/>
        </w:rPr>
        <w:t>waves lasting longer, occurring more frequently, occurr</w:t>
      </w:r>
      <w:r w:rsidR="000F63E5" w:rsidRPr="00AF1062">
        <w:rPr>
          <w:rFonts w:ascii="Arial" w:hAnsi="Arial" w:cs="Arial"/>
          <w:sz w:val="22"/>
          <w:szCs w:val="22"/>
        </w:rPr>
        <w:t xml:space="preserve">ing earlier in the year, and at </w:t>
      </w:r>
      <w:r w:rsidRPr="00AF1062">
        <w:rPr>
          <w:rFonts w:ascii="Arial" w:hAnsi="Arial" w:cs="Arial"/>
          <w:sz w:val="22"/>
          <w:szCs w:val="22"/>
        </w:rPr>
        <w:t>increasingly higher</w:t>
      </w:r>
      <w:r w:rsidRPr="00AF1062">
        <w:rPr>
          <w:rFonts w:ascii="Arial" w:hAnsi="Arial" w:cs="Arial"/>
          <w:sz w:val="22"/>
          <w:szCs w:val="22"/>
        </w:rPr>
        <w:t xml:space="preserve"> </w:t>
      </w:r>
      <w:r w:rsidRPr="00AF1062">
        <w:rPr>
          <w:rFonts w:ascii="Arial" w:hAnsi="Arial" w:cs="Arial"/>
          <w:sz w:val="22"/>
          <w:szCs w:val="22"/>
        </w:rPr>
        <w:t xml:space="preserve">than normal temperatures in many parts </w:t>
      </w:r>
      <w:r w:rsidR="000F63E5" w:rsidRPr="00AF1062">
        <w:rPr>
          <w:rFonts w:ascii="Arial" w:hAnsi="Arial" w:cs="Arial"/>
          <w:sz w:val="22"/>
          <w:szCs w:val="22"/>
        </w:rPr>
        <w:t xml:space="preserve">of the world will continue with </w:t>
      </w:r>
      <w:r w:rsidRPr="00AF1062">
        <w:rPr>
          <w:rFonts w:ascii="Arial" w:hAnsi="Arial" w:cs="Arial"/>
          <w:sz w:val="22"/>
          <w:szCs w:val="22"/>
        </w:rPr>
        <w:t>high confidence into the future.</w:t>
      </w:r>
      <w:r w:rsidRPr="00AF1062">
        <w:rPr>
          <w:rFonts w:ascii="Arial" w:hAnsi="Arial" w:cs="Arial"/>
          <w:sz w:val="22"/>
          <w:szCs w:val="22"/>
        </w:rPr>
        <w:t>’</w:t>
      </w:r>
    </w:p>
    <w:p w14:paraId="4AE82DFA" w14:textId="77777777" w:rsidR="000F63E5" w:rsidRPr="00AF1062" w:rsidRDefault="000F63E5" w:rsidP="00D64305">
      <w:pPr>
        <w:pStyle w:val="p1"/>
        <w:rPr>
          <w:rFonts w:ascii="Arial" w:hAnsi="Arial" w:cs="Arial"/>
          <w:sz w:val="22"/>
          <w:szCs w:val="22"/>
        </w:rPr>
      </w:pPr>
    </w:p>
    <w:p w14:paraId="4F96558C" w14:textId="77777777" w:rsidR="000F63E5" w:rsidRPr="00AF1062" w:rsidRDefault="000F63E5" w:rsidP="00D64305">
      <w:pPr>
        <w:pStyle w:val="p1"/>
        <w:rPr>
          <w:rFonts w:ascii="Arial" w:hAnsi="Arial" w:cs="Arial"/>
          <w:b/>
          <w:sz w:val="22"/>
          <w:szCs w:val="22"/>
        </w:rPr>
      </w:pPr>
      <w:r w:rsidRPr="00AF1062">
        <w:rPr>
          <w:rFonts w:ascii="Arial" w:hAnsi="Arial" w:cs="Arial"/>
          <w:b/>
          <w:sz w:val="22"/>
          <w:szCs w:val="22"/>
        </w:rPr>
        <w:t>Ahmedabad heat action plan 2016:</w:t>
      </w:r>
    </w:p>
    <w:p w14:paraId="609C66BB" w14:textId="77777777" w:rsidR="000F63E5" w:rsidRPr="00AF1062" w:rsidRDefault="000F63E5" w:rsidP="00D64305">
      <w:pPr>
        <w:pStyle w:val="p1"/>
        <w:rPr>
          <w:rFonts w:ascii="Arial" w:hAnsi="Arial" w:cs="Arial"/>
          <w:b/>
          <w:sz w:val="22"/>
          <w:szCs w:val="22"/>
        </w:rPr>
      </w:pPr>
    </w:p>
    <w:p w14:paraId="29E3E966" w14:textId="53880646" w:rsidR="00C76EC8" w:rsidRPr="00AF1062" w:rsidRDefault="00076B89" w:rsidP="000F63E5">
      <w:pPr>
        <w:rPr>
          <w:rFonts w:ascii="Arial" w:hAnsi="Arial" w:cs="Arial"/>
          <w:sz w:val="22"/>
          <w:szCs w:val="22"/>
          <w:lang w:eastAsia="en-GB"/>
        </w:rPr>
      </w:pPr>
      <w:r w:rsidRPr="00AF1062">
        <w:rPr>
          <w:rFonts w:ascii="Arial" w:hAnsi="Arial" w:cs="Arial"/>
          <w:sz w:val="22"/>
          <w:szCs w:val="22"/>
          <w:lang w:eastAsia="en-GB"/>
        </w:rPr>
        <w:t>‘</w:t>
      </w:r>
      <w:r w:rsidR="000F63E5" w:rsidRPr="000F63E5">
        <w:rPr>
          <w:rFonts w:ascii="Arial" w:hAnsi="Arial" w:cs="Arial"/>
          <w:sz w:val="22"/>
          <w:szCs w:val="22"/>
          <w:lang w:eastAsia="en-GB"/>
        </w:rPr>
        <w:t>Climate change is leading to an increase in ave</w:t>
      </w:r>
      <w:r w:rsidR="000F63E5" w:rsidRPr="00AF1062">
        <w:rPr>
          <w:rFonts w:ascii="Arial" w:hAnsi="Arial" w:cs="Arial"/>
          <w:sz w:val="22"/>
          <w:szCs w:val="22"/>
          <w:lang w:eastAsia="en-GB"/>
        </w:rPr>
        <w:t xml:space="preserve">rage temperatures and increased </w:t>
      </w:r>
      <w:r w:rsidR="000F63E5" w:rsidRPr="000F63E5">
        <w:rPr>
          <w:rFonts w:ascii="Arial" w:hAnsi="Arial" w:cs="Arial"/>
          <w:sz w:val="22"/>
          <w:szCs w:val="22"/>
          <w:lang w:eastAsia="en-GB"/>
        </w:rPr>
        <w:t>possibilities of severe</w:t>
      </w:r>
      <w:r w:rsidR="000F63E5" w:rsidRPr="00AF1062">
        <w:rPr>
          <w:rFonts w:ascii="Arial" w:hAnsi="Arial" w:cs="Arial"/>
          <w:sz w:val="22"/>
          <w:szCs w:val="22"/>
          <w:lang w:eastAsia="en-GB"/>
        </w:rPr>
        <w:t xml:space="preserve"> </w:t>
      </w:r>
      <w:r w:rsidR="000F63E5" w:rsidRPr="000F63E5">
        <w:rPr>
          <w:rFonts w:ascii="Arial" w:hAnsi="Arial" w:cs="Arial"/>
          <w:sz w:val="22"/>
          <w:szCs w:val="22"/>
          <w:lang w:eastAsia="en-GB"/>
        </w:rPr>
        <w:t xml:space="preserve">heat waves. Extreme heat can lead to dangerous, </w:t>
      </w:r>
      <w:r w:rsidR="000F63E5" w:rsidRPr="00AF1062">
        <w:rPr>
          <w:rFonts w:ascii="Arial" w:hAnsi="Arial" w:cs="Arial"/>
          <w:sz w:val="22"/>
          <w:szCs w:val="22"/>
          <w:lang w:eastAsia="en-GB"/>
        </w:rPr>
        <w:t xml:space="preserve">even deadly, health </w:t>
      </w:r>
      <w:r w:rsidR="000F63E5" w:rsidRPr="000F63E5">
        <w:rPr>
          <w:rFonts w:ascii="Arial" w:hAnsi="Arial" w:cs="Arial"/>
          <w:sz w:val="22"/>
          <w:szCs w:val="22"/>
          <w:lang w:eastAsia="en-GB"/>
        </w:rPr>
        <w:t>consequences, including heat</w:t>
      </w:r>
      <w:r w:rsidR="000F63E5" w:rsidRPr="00AF1062">
        <w:rPr>
          <w:rFonts w:ascii="Arial" w:hAnsi="Arial" w:cs="Arial"/>
          <w:sz w:val="22"/>
          <w:szCs w:val="22"/>
          <w:lang w:eastAsia="en-GB"/>
        </w:rPr>
        <w:t xml:space="preserve"> </w:t>
      </w:r>
      <w:r w:rsidR="000F63E5" w:rsidRPr="000F63E5">
        <w:rPr>
          <w:rFonts w:ascii="Arial" w:hAnsi="Arial" w:cs="Arial"/>
          <w:sz w:val="22"/>
          <w:szCs w:val="22"/>
          <w:lang w:eastAsia="en-GB"/>
        </w:rPr>
        <w:t>stress and heatstroke</w:t>
      </w:r>
      <w:r w:rsidRPr="00AF1062">
        <w:rPr>
          <w:rFonts w:ascii="Arial" w:hAnsi="Arial" w:cs="Arial"/>
          <w:sz w:val="22"/>
          <w:szCs w:val="22"/>
          <w:lang w:eastAsia="en-GB"/>
        </w:rPr>
        <w:t>’</w:t>
      </w:r>
    </w:p>
    <w:p w14:paraId="2465807A" w14:textId="77777777" w:rsidR="00C76EC8" w:rsidRPr="00AF1062" w:rsidRDefault="00C76EC8" w:rsidP="000F63E5">
      <w:pPr>
        <w:rPr>
          <w:rFonts w:ascii="Arial" w:hAnsi="Arial" w:cs="Arial"/>
          <w:sz w:val="22"/>
          <w:szCs w:val="22"/>
          <w:lang w:eastAsia="en-GB"/>
        </w:rPr>
      </w:pPr>
    </w:p>
    <w:p w14:paraId="001E2B13" w14:textId="77777777" w:rsidR="00AF31AB" w:rsidRPr="00AF1062" w:rsidRDefault="00BE1D8C" w:rsidP="00944EE8">
      <w:pPr>
        <w:rPr>
          <w:rFonts w:ascii="Arial" w:hAnsi="Arial" w:cs="Arial"/>
          <w:sz w:val="22"/>
          <w:szCs w:val="22"/>
        </w:rPr>
      </w:pPr>
      <w:r w:rsidRPr="00AF1062">
        <w:rPr>
          <w:rFonts w:ascii="Arial" w:hAnsi="Arial" w:cs="Arial"/>
          <w:b/>
          <w:sz w:val="22"/>
          <w:szCs w:val="22"/>
          <w:lang w:eastAsia="en-GB"/>
        </w:rPr>
        <w:t>IPCC</w:t>
      </w:r>
      <w:r w:rsidR="00944EE8" w:rsidRPr="00AF1062">
        <w:rPr>
          <w:rFonts w:ascii="Arial" w:hAnsi="Arial" w:cs="Arial"/>
          <w:b/>
          <w:sz w:val="22"/>
          <w:szCs w:val="22"/>
          <w:lang w:eastAsia="en-GB"/>
        </w:rPr>
        <w:t>: impacts, adaptation and vulnerability</w:t>
      </w:r>
      <w:r w:rsidR="00F81194" w:rsidRPr="00AF1062">
        <w:rPr>
          <w:rFonts w:ascii="Arial" w:hAnsi="Arial" w:cs="Arial"/>
          <w:sz w:val="22"/>
          <w:szCs w:val="22"/>
        </w:rPr>
        <w:t xml:space="preserve"> </w:t>
      </w:r>
    </w:p>
    <w:p w14:paraId="2FFDE52A" w14:textId="77777777" w:rsidR="00AF31AB" w:rsidRPr="00AF1062" w:rsidRDefault="00AF31AB" w:rsidP="00944EE8">
      <w:pPr>
        <w:rPr>
          <w:rFonts w:ascii="Arial" w:hAnsi="Arial" w:cs="Arial"/>
          <w:sz w:val="22"/>
          <w:szCs w:val="22"/>
        </w:rPr>
      </w:pPr>
    </w:p>
    <w:p w14:paraId="0DBCD39A" w14:textId="0445BF7E" w:rsidR="00F17ACE" w:rsidRPr="00AF1062" w:rsidRDefault="00AF31AB" w:rsidP="00944EE8">
      <w:pPr>
        <w:rPr>
          <w:rFonts w:ascii="Arial" w:hAnsi="Arial" w:cs="Arial"/>
          <w:sz w:val="22"/>
          <w:szCs w:val="22"/>
        </w:rPr>
      </w:pPr>
      <w:r w:rsidRPr="00AF1062">
        <w:rPr>
          <w:rFonts w:ascii="Arial" w:hAnsi="Arial" w:cs="Arial"/>
          <w:sz w:val="22"/>
          <w:szCs w:val="22"/>
        </w:rPr>
        <w:t>(pg.</w:t>
      </w:r>
      <w:r w:rsidR="00A47F3E" w:rsidRPr="00AF1062">
        <w:rPr>
          <w:rFonts w:ascii="Arial" w:hAnsi="Arial" w:cs="Arial"/>
          <w:sz w:val="22"/>
          <w:szCs w:val="22"/>
        </w:rPr>
        <w:t xml:space="preserve"> 13</w:t>
      </w:r>
      <w:r w:rsidRPr="00AF1062">
        <w:rPr>
          <w:rFonts w:ascii="Arial" w:hAnsi="Arial" w:cs="Arial"/>
          <w:sz w:val="22"/>
          <w:szCs w:val="22"/>
        </w:rPr>
        <w:t>)</w:t>
      </w:r>
    </w:p>
    <w:p w14:paraId="58657A35" w14:textId="47D95CA1" w:rsidR="00F17ACE" w:rsidRPr="00AF1062" w:rsidRDefault="00F17ACE" w:rsidP="00F17ACE">
      <w:pPr>
        <w:rPr>
          <w:rFonts w:ascii="Arial" w:hAnsi="Arial" w:cs="Arial"/>
          <w:sz w:val="22"/>
          <w:szCs w:val="22"/>
          <w:lang w:eastAsia="en-GB"/>
        </w:rPr>
      </w:pPr>
      <w:r w:rsidRPr="00AF1062">
        <w:rPr>
          <w:rFonts w:ascii="Arial" w:hAnsi="Arial" w:cs="Arial"/>
          <w:sz w:val="22"/>
          <w:szCs w:val="22"/>
          <w:lang w:eastAsia="en-GB"/>
        </w:rPr>
        <w:t>‘</w:t>
      </w:r>
      <w:r w:rsidRPr="00F17ACE">
        <w:rPr>
          <w:rFonts w:ascii="Arial" w:hAnsi="Arial" w:cs="Arial"/>
          <w:sz w:val="22"/>
          <w:szCs w:val="22"/>
          <w:lang w:eastAsia="en-GB"/>
        </w:rPr>
        <w:t xml:space="preserve">The key risks that follow, all of which are identified with </w:t>
      </w:r>
      <w:r w:rsidRPr="00AF1062">
        <w:rPr>
          <w:rFonts w:ascii="Arial" w:hAnsi="Arial" w:cs="Arial"/>
          <w:sz w:val="22"/>
          <w:szCs w:val="22"/>
          <w:lang w:eastAsia="en-GB"/>
        </w:rPr>
        <w:t>high confidence</w:t>
      </w:r>
      <w:r w:rsidRPr="00F17ACE">
        <w:rPr>
          <w:rFonts w:ascii="Arial" w:hAnsi="Arial" w:cs="Arial"/>
          <w:sz w:val="22"/>
          <w:szCs w:val="22"/>
          <w:lang w:eastAsia="en-GB"/>
        </w:rPr>
        <w:t>, span sectors and regions. Each of these key risks</w:t>
      </w:r>
      <w:r w:rsidRPr="00AF1062">
        <w:rPr>
          <w:rFonts w:ascii="Arial" w:hAnsi="Arial" w:cs="Arial"/>
          <w:sz w:val="22"/>
          <w:szCs w:val="22"/>
          <w:lang w:eastAsia="en-GB"/>
        </w:rPr>
        <w:t xml:space="preserve"> </w:t>
      </w:r>
      <w:r w:rsidRPr="00F17ACE">
        <w:rPr>
          <w:rFonts w:ascii="Arial" w:hAnsi="Arial" w:cs="Arial"/>
          <w:sz w:val="22"/>
          <w:szCs w:val="22"/>
          <w:lang w:eastAsia="en-GB"/>
        </w:rPr>
        <w:t>contributes to one or more RFCs</w:t>
      </w:r>
      <w:r w:rsidRPr="00AF1062">
        <w:rPr>
          <w:rFonts w:ascii="Arial" w:hAnsi="Arial" w:cs="Arial"/>
          <w:sz w:val="22"/>
          <w:szCs w:val="22"/>
          <w:lang w:eastAsia="en-GB"/>
        </w:rPr>
        <w:t>:</w:t>
      </w:r>
    </w:p>
    <w:p w14:paraId="040B7D7A" w14:textId="50D16D7B" w:rsidR="00F17ACE" w:rsidRPr="00AF1062" w:rsidRDefault="00F17ACE" w:rsidP="00F17ACE">
      <w:pPr>
        <w:rPr>
          <w:rFonts w:ascii="Arial" w:hAnsi="Arial" w:cs="Arial"/>
          <w:sz w:val="22"/>
          <w:szCs w:val="22"/>
          <w:lang w:eastAsia="en-GB"/>
        </w:rPr>
      </w:pPr>
      <w:r w:rsidRPr="00AF1062">
        <w:rPr>
          <w:rFonts w:ascii="Arial" w:hAnsi="Arial" w:cs="Arial"/>
          <w:sz w:val="22"/>
          <w:szCs w:val="22"/>
          <w:lang w:eastAsia="en-GB"/>
        </w:rPr>
        <w:t>…</w:t>
      </w:r>
    </w:p>
    <w:p w14:paraId="076E374B" w14:textId="2F4067F7" w:rsidR="00F17ACE" w:rsidRPr="00AF1062" w:rsidRDefault="00F17ACE" w:rsidP="00F17ACE">
      <w:pPr>
        <w:rPr>
          <w:rFonts w:ascii="Arial" w:hAnsi="Arial" w:cs="Arial"/>
          <w:sz w:val="22"/>
          <w:szCs w:val="22"/>
          <w:lang w:eastAsia="en-GB"/>
        </w:rPr>
      </w:pPr>
      <w:r w:rsidRPr="00F17ACE">
        <w:rPr>
          <w:rFonts w:ascii="Arial" w:hAnsi="Arial" w:cs="Arial"/>
          <w:sz w:val="22"/>
          <w:szCs w:val="22"/>
          <w:lang w:eastAsia="en-GB"/>
        </w:rPr>
        <w:t>Risk of mortality and morbidity during periods of extreme he</w:t>
      </w:r>
      <w:r w:rsidRPr="00AF1062">
        <w:rPr>
          <w:rFonts w:ascii="Arial" w:hAnsi="Arial" w:cs="Arial"/>
          <w:sz w:val="22"/>
          <w:szCs w:val="22"/>
          <w:lang w:eastAsia="en-GB"/>
        </w:rPr>
        <w:t xml:space="preserve">at, particularly for vulnerable </w:t>
      </w:r>
      <w:r w:rsidRPr="00F17ACE">
        <w:rPr>
          <w:rFonts w:ascii="Arial" w:hAnsi="Arial" w:cs="Arial"/>
          <w:sz w:val="22"/>
          <w:szCs w:val="22"/>
          <w:lang w:eastAsia="en-GB"/>
        </w:rPr>
        <w:t>urban populations and those working outdoors</w:t>
      </w:r>
      <w:r w:rsidRPr="00AF1062">
        <w:rPr>
          <w:rFonts w:ascii="Arial" w:hAnsi="Arial" w:cs="Arial"/>
          <w:sz w:val="22"/>
          <w:szCs w:val="22"/>
          <w:lang w:eastAsia="en-GB"/>
        </w:rPr>
        <w:t xml:space="preserve"> </w:t>
      </w:r>
      <w:r w:rsidRPr="00F17ACE">
        <w:rPr>
          <w:rFonts w:ascii="Arial" w:hAnsi="Arial" w:cs="Arial"/>
          <w:sz w:val="22"/>
          <w:szCs w:val="22"/>
          <w:lang w:eastAsia="en-GB"/>
        </w:rPr>
        <w:t>in urban or rural areas</w:t>
      </w:r>
    </w:p>
    <w:p w14:paraId="0D61FA1A" w14:textId="748015B9" w:rsidR="00F17ACE" w:rsidRPr="00F17ACE" w:rsidRDefault="00F17ACE" w:rsidP="00F17ACE">
      <w:pPr>
        <w:rPr>
          <w:rFonts w:ascii="Arial" w:hAnsi="Arial" w:cs="Arial"/>
          <w:sz w:val="22"/>
          <w:szCs w:val="22"/>
          <w:lang w:eastAsia="en-GB"/>
        </w:rPr>
      </w:pPr>
      <w:r w:rsidRPr="00AF1062">
        <w:rPr>
          <w:rFonts w:ascii="Arial" w:hAnsi="Arial" w:cs="Arial"/>
          <w:sz w:val="22"/>
          <w:szCs w:val="22"/>
          <w:lang w:eastAsia="en-GB"/>
        </w:rPr>
        <w:t>…</w:t>
      </w:r>
    </w:p>
    <w:p w14:paraId="1C23C3E1" w14:textId="77777777" w:rsidR="00AF31AB" w:rsidRPr="00AF1062" w:rsidRDefault="00AF31AB" w:rsidP="00F17ACE">
      <w:pPr>
        <w:rPr>
          <w:rFonts w:ascii="Arial" w:hAnsi="Arial" w:cs="Arial"/>
          <w:sz w:val="22"/>
          <w:szCs w:val="22"/>
          <w:lang w:eastAsia="en-GB"/>
        </w:rPr>
      </w:pPr>
    </w:p>
    <w:p w14:paraId="231E4E21" w14:textId="5CA81517" w:rsidR="00AF31AB" w:rsidRPr="00F17ACE" w:rsidRDefault="00AF31AB" w:rsidP="00F17ACE">
      <w:pPr>
        <w:rPr>
          <w:rFonts w:ascii="Arial" w:hAnsi="Arial" w:cs="Arial"/>
          <w:sz w:val="22"/>
          <w:szCs w:val="22"/>
          <w:lang w:eastAsia="en-GB"/>
        </w:rPr>
      </w:pPr>
      <w:r w:rsidRPr="00AF1062">
        <w:rPr>
          <w:rFonts w:ascii="Arial" w:hAnsi="Arial" w:cs="Arial"/>
          <w:sz w:val="22"/>
          <w:szCs w:val="22"/>
          <w:lang w:eastAsia="en-GB"/>
        </w:rPr>
        <w:t>(pg. 19)</w:t>
      </w:r>
    </w:p>
    <w:p w14:paraId="2E72B322" w14:textId="77777777" w:rsidR="00AF31AB" w:rsidRPr="00AF31AB" w:rsidRDefault="00AF31AB" w:rsidP="00AF31AB">
      <w:pPr>
        <w:rPr>
          <w:rFonts w:ascii="Arial" w:hAnsi="Arial" w:cs="Arial"/>
          <w:sz w:val="22"/>
          <w:szCs w:val="22"/>
          <w:u w:val="single"/>
          <w:lang w:eastAsia="en-GB"/>
        </w:rPr>
      </w:pPr>
      <w:r w:rsidRPr="00AF31AB">
        <w:rPr>
          <w:rFonts w:ascii="Arial" w:hAnsi="Arial" w:cs="Arial"/>
          <w:sz w:val="22"/>
          <w:szCs w:val="22"/>
          <w:u w:val="single"/>
          <w:lang w:eastAsia="en-GB"/>
        </w:rPr>
        <w:t>Human health</w:t>
      </w:r>
    </w:p>
    <w:p w14:paraId="0DE0D6F3" w14:textId="4633B0ED" w:rsidR="00AF31AB" w:rsidRPr="00AF31AB" w:rsidRDefault="00AF31AB" w:rsidP="00AF31AB">
      <w:pPr>
        <w:rPr>
          <w:rFonts w:ascii="Arial" w:hAnsi="Arial" w:cs="Arial"/>
          <w:sz w:val="22"/>
          <w:szCs w:val="22"/>
          <w:lang w:eastAsia="en-GB"/>
        </w:rPr>
      </w:pPr>
      <w:r w:rsidRPr="00AF31AB">
        <w:rPr>
          <w:rFonts w:ascii="Arial" w:hAnsi="Arial" w:cs="Arial"/>
          <w:sz w:val="22"/>
          <w:szCs w:val="22"/>
          <w:lang w:eastAsia="en-GB"/>
        </w:rPr>
        <w:t>Until mid-century, projected climate change will impact human health mainly by exacerbating health problems that already exist</w:t>
      </w:r>
      <w:r w:rsidR="00A47F3E" w:rsidRPr="00AF1062">
        <w:rPr>
          <w:rFonts w:ascii="Arial" w:hAnsi="Arial" w:cs="Arial"/>
          <w:sz w:val="22"/>
          <w:szCs w:val="22"/>
          <w:lang w:eastAsia="en-GB"/>
        </w:rPr>
        <w:t xml:space="preserve"> </w:t>
      </w:r>
      <w:r w:rsidRPr="00AF31AB">
        <w:rPr>
          <w:rFonts w:ascii="Arial" w:hAnsi="Arial" w:cs="Arial"/>
          <w:sz w:val="22"/>
          <w:szCs w:val="22"/>
          <w:lang w:eastAsia="en-GB"/>
        </w:rPr>
        <w:t>(</w:t>
      </w:r>
      <w:r w:rsidR="00AF1062">
        <w:rPr>
          <w:rFonts w:ascii="Arial" w:hAnsi="Arial" w:cs="Arial"/>
          <w:sz w:val="22"/>
          <w:szCs w:val="22"/>
          <w:lang w:eastAsia="en-GB"/>
        </w:rPr>
        <w:t>very high confidence)</w:t>
      </w:r>
    </w:p>
    <w:p w14:paraId="05A2E26D" w14:textId="77777777" w:rsidR="00AF31AB" w:rsidRDefault="00AF31AB" w:rsidP="00AF31AB">
      <w:pPr>
        <w:rPr>
          <w:rFonts w:ascii="Arial" w:hAnsi="Arial" w:cs="Arial"/>
          <w:sz w:val="22"/>
          <w:szCs w:val="22"/>
          <w:lang w:eastAsia="en-GB"/>
        </w:rPr>
      </w:pPr>
      <w:r w:rsidRPr="00AF31AB">
        <w:rPr>
          <w:rFonts w:ascii="Arial" w:hAnsi="Arial" w:cs="Arial"/>
          <w:sz w:val="22"/>
          <w:szCs w:val="22"/>
          <w:lang w:eastAsia="en-GB"/>
        </w:rPr>
        <w:t>Examples include greater likelihood of injury, disease, and death due to more intense heat waves and fires (</w:t>
      </w:r>
      <w:r w:rsidRPr="00AF1062">
        <w:rPr>
          <w:rFonts w:ascii="Arial" w:hAnsi="Arial" w:cs="Arial"/>
          <w:sz w:val="22"/>
          <w:szCs w:val="22"/>
          <w:lang w:eastAsia="en-GB"/>
        </w:rPr>
        <w:t>very high confidence</w:t>
      </w:r>
      <w:r w:rsidRPr="00AF31AB">
        <w:rPr>
          <w:rFonts w:ascii="Arial" w:hAnsi="Arial" w:cs="Arial"/>
          <w:sz w:val="22"/>
          <w:szCs w:val="22"/>
          <w:lang w:eastAsia="en-GB"/>
        </w:rPr>
        <w:t>);</w:t>
      </w:r>
    </w:p>
    <w:p w14:paraId="0DF76A45" w14:textId="77777777" w:rsidR="004776EC" w:rsidRDefault="004776EC" w:rsidP="00AF31AB">
      <w:pPr>
        <w:rPr>
          <w:rFonts w:ascii="Arial" w:hAnsi="Arial" w:cs="Arial"/>
          <w:sz w:val="22"/>
          <w:szCs w:val="22"/>
          <w:lang w:eastAsia="en-GB"/>
        </w:rPr>
      </w:pPr>
    </w:p>
    <w:p w14:paraId="373DE9AC" w14:textId="164C6D7B" w:rsidR="00AF31AB" w:rsidRPr="00AF1062" w:rsidRDefault="004776EC" w:rsidP="00944EE8">
      <w:pPr>
        <w:rPr>
          <w:rFonts w:ascii="Arial" w:hAnsi="Arial" w:cs="Arial"/>
          <w:b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>(pg. 23)</w:t>
      </w:r>
    </w:p>
    <w:p w14:paraId="33D4CAAF" w14:textId="2B417F82" w:rsidR="00AC081B" w:rsidRDefault="004776EC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GB"/>
        </w:rPr>
        <w:drawing>
          <wp:inline distT="0" distB="0" distL="0" distR="0" wp14:anchorId="3217E215" wp14:editId="3672C9D4">
            <wp:extent cx="5727700" cy="2806700"/>
            <wp:effectExtent l="0" t="0" r="12700" b="12700"/>
            <wp:docPr id="1" name="Picture 1" descr="Screen%20Shot%202017-05-15%20at%2014.24.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%20Shot%202017-05-15%20at%2014.24.2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8892" w14:textId="77777777" w:rsidR="009F4FD3" w:rsidRDefault="009F4FD3">
      <w:pPr>
        <w:rPr>
          <w:rFonts w:ascii="Arial" w:hAnsi="Arial" w:cs="Arial"/>
          <w:b/>
          <w:sz w:val="22"/>
          <w:szCs w:val="22"/>
          <w:lang w:val="en-US"/>
        </w:rPr>
      </w:pPr>
    </w:p>
    <w:p w14:paraId="35E84E7D" w14:textId="77777777" w:rsidR="009F4FD3" w:rsidRDefault="009F4FD3">
      <w:pPr>
        <w:rPr>
          <w:rFonts w:ascii="Arial" w:hAnsi="Arial" w:cs="Arial"/>
          <w:b/>
          <w:sz w:val="22"/>
          <w:szCs w:val="22"/>
          <w:lang w:val="en-US"/>
        </w:rPr>
      </w:pPr>
    </w:p>
    <w:p w14:paraId="2C17D838" w14:textId="77777777" w:rsidR="009F4FD3" w:rsidRDefault="009F4FD3">
      <w:pPr>
        <w:rPr>
          <w:rFonts w:ascii="Arial" w:hAnsi="Arial" w:cs="Arial"/>
          <w:b/>
          <w:sz w:val="22"/>
          <w:szCs w:val="22"/>
          <w:lang w:val="en-US"/>
        </w:rPr>
      </w:pPr>
    </w:p>
    <w:p w14:paraId="29CEA8C6" w14:textId="77777777" w:rsidR="009F4FD3" w:rsidRDefault="009F4FD3">
      <w:pPr>
        <w:rPr>
          <w:rFonts w:ascii="Arial" w:hAnsi="Arial" w:cs="Arial"/>
          <w:b/>
          <w:sz w:val="22"/>
          <w:szCs w:val="22"/>
          <w:lang w:val="en-US"/>
        </w:rPr>
      </w:pPr>
    </w:p>
    <w:p w14:paraId="05706D40" w14:textId="01B22BA8" w:rsidR="00AC081B" w:rsidRDefault="00436FA7">
      <w:pPr>
        <w:rPr>
          <w:rFonts w:ascii="Arial" w:hAnsi="Arial" w:cs="Arial"/>
          <w:b/>
          <w:sz w:val="22"/>
          <w:szCs w:val="22"/>
          <w:lang w:val="en-US"/>
        </w:rPr>
      </w:pPr>
      <w:r w:rsidRPr="00436FA7">
        <w:rPr>
          <w:rFonts w:ascii="Arial" w:hAnsi="Arial" w:cs="Arial"/>
          <w:b/>
          <w:sz w:val="22"/>
          <w:szCs w:val="22"/>
          <w:lang w:val="en-US"/>
        </w:rPr>
        <w:lastRenderedPageBreak/>
        <w:t>Lancet Countdown</w:t>
      </w:r>
    </w:p>
    <w:p w14:paraId="2A77F254" w14:textId="77777777" w:rsidR="004249D1" w:rsidRPr="004249D1" w:rsidRDefault="004249D1" w:rsidP="004249D1">
      <w:pPr>
        <w:rPr>
          <w:rFonts w:ascii="Times" w:hAnsi="Times" w:cs="Times New Roman"/>
          <w:sz w:val="20"/>
          <w:szCs w:val="20"/>
          <w:lang w:eastAsia="en-GB"/>
        </w:rPr>
      </w:pPr>
    </w:p>
    <w:p w14:paraId="70537AA0" w14:textId="77777777" w:rsidR="009F4FD3" w:rsidRDefault="004249D1" w:rsidP="004249D1">
      <w:pPr>
        <w:spacing w:line="135" w:lineRule="atLeast"/>
        <w:jc w:val="both"/>
        <w:rPr>
          <w:rFonts w:ascii="Arial" w:hAnsi="Arial" w:cs="Arial"/>
          <w:sz w:val="22"/>
          <w:szCs w:val="22"/>
          <w:lang w:eastAsia="en-GB"/>
        </w:rPr>
      </w:pPr>
      <w:r w:rsidRPr="004249D1">
        <w:rPr>
          <w:rFonts w:ascii="Arial" w:hAnsi="Arial" w:cs="Arial"/>
          <w:sz w:val="22"/>
          <w:szCs w:val="22"/>
          <w:lang w:eastAsia="en-GB"/>
        </w:rPr>
        <w:t xml:space="preserve">WHO estimated that, in 2012, 12·6 million deaths (23% of all deaths worldwide) were attributable to modifiable environmental factors, many of which could be influenced by climate change or are related to the driving forces of climate change. </w:t>
      </w:r>
    </w:p>
    <w:p w14:paraId="4DE1FD05" w14:textId="77777777" w:rsidR="009F4FD3" w:rsidRDefault="009F4FD3" w:rsidP="004249D1">
      <w:pPr>
        <w:spacing w:line="135" w:lineRule="atLeast"/>
        <w:jc w:val="both"/>
        <w:rPr>
          <w:rFonts w:ascii="Arial" w:hAnsi="Arial" w:cs="Arial"/>
          <w:sz w:val="22"/>
          <w:szCs w:val="22"/>
          <w:lang w:eastAsia="en-GB"/>
        </w:rPr>
      </w:pPr>
    </w:p>
    <w:p w14:paraId="56983C62" w14:textId="5F83450C" w:rsidR="004249D1" w:rsidRDefault="004249D1" w:rsidP="004249D1">
      <w:pPr>
        <w:spacing w:line="135" w:lineRule="atLeast"/>
        <w:jc w:val="both"/>
        <w:rPr>
          <w:rFonts w:ascii="Arial" w:hAnsi="Arial" w:cs="Arial"/>
          <w:sz w:val="22"/>
          <w:szCs w:val="22"/>
          <w:lang w:eastAsia="en-GB"/>
        </w:rPr>
      </w:pPr>
      <w:r w:rsidRPr="004249D1">
        <w:rPr>
          <w:rFonts w:ascii="Arial" w:hAnsi="Arial" w:cs="Arial"/>
          <w:sz w:val="22"/>
          <w:szCs w:val="22"/>
          <w:lang w:eastAsia="en-GB"/>
        </w:rPr>
        <w:t>The 2009 UCL</w:t>
      </w:r>
      <w:r w:rsidRPr="004249D1">
        <w:rPr>
          <w:rFonts w:ascii="Arial" w:hAnsi="Arial" w:cs="Arial"/>
          <w:i/>
          <w:iCs/>
          <w:sz w:val="22"/>
          <w:szCs w:val="22"/>
          <w:lang w:eastAsia="en-GB"/>
        </w:rPr>
        <w:t xml:space="preserve">–Lancet </w:t>
      </w:r>
      <w:r w:rsidRPr="004249D1">
        <w:rPr>
          <w:rFonts w:ascii="Arial" w:hAnsi="Arial" w:cs="Arial"/>
          <w:sz w:val="22"/>
          <w:szCs w:val="22"/>
          <w:lang w:eastAsia="en-GB"/>
        </w:rPr>
        <w:t xml:space="preserve">Commission: </w:t>
      </w:r>
      <w:r w:rsidRPr="004249D1">
        <w:rPr>
          <w:rFonts w:ascii="Arial" w:hAnsi="Arial" w:cs="Arial"/>
          <w:i/>
          <w:iCs/>
          <w:sz w:val="22"/>
          <w:szCs w:val="22"/>
          <w:lang w:eastAsia="en-GB"/>
        </w:rPr>
        <w:t>managing the health effects of climate change</w:t>
      </w:r>
      <w:r w:rsidRPr="004249D1">
        <w:rPr>
          <w:rFonts w:ascii="Arial" w:hAnsi="Arial" w:cs="Arial"/>
          <w:sz w:val="22"/>
          <w:szCs w:val="22"/>
          <w:lang w:eastAsia="en-GB"/>
        </w:rPr>
        <w:t xml:space="preserve"> described the ways in which climate change acts as a force multiplier for threats to global health. </w:t>
      </w:r>
    </w:p>
    <w:p w14:paraId="1D62A4B2" w14:textId="77777777" w:rsidR="007518D9" w:rsidRDefault="007518D9" w:rsidP="004249D1">
      <w:pPr>
        <w:spacing w:line="135" w:lineRule="atLeast"/>
        <w:jc w:val="both"/>
        <w:rPr>
          <w:rFonts w:ascii="Arial" w:hAnsi="Arial" w:cs="Arial"/>
          <w:sz w:val="22"/>
          <w:szCs w:val="22"/>
          <w:lang w:eastAsia="en-GB"/>
        </w:rPr>
      </w:pPr>
    </w:p>
    <w:p w14:paraId="6C55121C" w14:textId="118E77A9" w:rsidR="007518D9" w:rsidRPr="004249D1" w:rsidRDefault="007518D9" w:rsidP="004249D1">
      <w:pPr>
        <w:spacing w:line="135" w:lineRule="atLeast"/>
        <w:jc w:val="both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noProof/>
          <w:sz w:val="22"/>
          <w:szCs w:val="22"/>
          <w:lang w:eastAsia="en-GB"/>
        </w:rPr>
        <w:drawing>
          <wp:inline distT="0" distB="0" distL="0" distR="0" wp14:anchorId="63813126" wp14:editId="3EA9C244">
            <wp:extent cx="5715000" cy="1270000"/>
            <wp:effectExtent l="0" t="0" r="0" b="0"/>
            <wp:docPr id="2" name="Picture 2" descr="Screen%20Shot%202017-05-15%20at%2015.32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%20Shot%202017-05-15%20at%2015.32.2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BAF2" w14:textId="77777777" w:rsidR="00436FA7" w:rsidRPr="00A80AFB" w:rsidRDefault="00436FA7">
      <w:pPr>
        <w:rPr>
          <w:rFonts w:ascii="Arial" w:hAnsi="Arial" w:cs="Arial"/>
          <w:sz w:val="22"/>
          <w:szCs w:val="22"/>
          <w:lang w:val="en-US"/>
        </w:rPr>
      </w:pPr>
    </w:p>
    <w:p w14:paraId="0C190867" w14:textId="2FF25316" w:rsidR="00A80AFB" w:rsidRDefault="00A80AFB" w:rsidP="00A80AFB">
      <w:pPr>
        <w:shd w:val="clear" w:color="auto" w:fill="FFFFFF"/>
        <w:spacing w:line="285" w:lineRule="atLeast"/>
        <w:ind w:right="1500"/>
        <w:outlineLvl w:val="2"/>
        <w:rPr>
          <w:rFonts w:ascii="Arial" w:eastAsia="Times New Roman" w:hAnsi="Arial" w:cs="Arial"/>
          <w:b/>
          <w:sz w:val="22"/>
          <w:szCs w:val="22"/>
          <w:lang w:eastAsia="en-GB"/>
        </w:rPr>
      </w:pPr>
      <w:r w:rsidRPr="00A80AFB">
        <w:rPr>
          <w:rFonts w:ascii="Arial" w:eastAsia="Times New Roman" w:hAnsi="Arial" w:cs="Arial"/>
          <w:b/>
          <w:sz w:val="22"/>
          <w:szCs w:val="22"/>
          <w:lang w:eastAsia="en-GB"/>
        </w:rPr>
        <w:t>EURO-CORDEX: new high-resolution climate change projections for European impact research</w:t>
      </w:r>
    </w:p>
    <w:p w14:paraId="7E6A2CE9" w14:textId="77777777" w:rsidR="00A80AFB" w:rsidRDefault="00A80AFB" w:rsidP="00A80AFB">
      <w:pPr>
        <w:shd w:val="clear" w:color="auto" w:fill="FFFFFF"/>
        <w:spacing w:line="285" w:lineRule="atLeast"/>
        <w:ind w:right="1500"/>
        <w:outlineLvl w:val="2"/>
        <w:rPr>
          <w:rFonts w:ascii="Arial" w:eastAsia="Times New Roman" w:hAnsi="Arial" w:cs="Arial"/>
          <w:b/>
          <w:sz w:val="22"/>
          <w:szCs w:val="22"/>
          <w:lang w:eastAsia="en-GB"/>
        </w:rPr>
      </w:pPr>
    </w:p>
    <w:p w14:paraId="65D89497" w14:textId="66DB4045" w:rsidR="00A80AFB" w:rsidRPr="00A80AFB" w:rsidRDefault="00A80AFB" w:rsidP="00A80AFB">
      <w:pPr>
        <w:shd w:val="clear" w:color="auto" w:fill="FFFFFF"/>
        <w:spacing w:line="285" w:lineRule="atLeast"/>
        <w:ind w:right="1500"/>
        <w:outlineLvl w:val="2"/>
        <w:rPr>
          <w:rFonts w:ascii="Arial" w:eastAsia="Times New Roman" w:hAnsi="Arial" w:cs="Arial"/>
          <w:sz w:val="22"/>
          <w:szCs w:val="22"/>
          <w:lang w:eastAsia="en-GB"/>
        </w:rPr>
      </w:pPr>
      <w:r w:rsidRPr="00A80AFB">
        <w:rPr>
          <w:rFonts w:ascii="Arial" w:eastAsia="Times New Roman" w:hAnsi="Arial" w:cs="Arial"/>
          <w:sz w:val="22"/>
          <w:szCs w:val="22"/>
          <w:lang w:eastAsia="en-GB"/>
        </w:rPr>
        <w:t>For the analysis of the change in number of heat waves,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we used two </w:t>
      </w:r>
      <w:r w:rsidRPr="00A80AFB">
        <w:rPr>
          <w:rFonts w:ascii="Arial" w:eastAsia="Times New Roman" w:hAnsi="Arial" w:cs="Arial"/>
          <w:sz w:val="22"/>
          <w:szCs w:val="22"/>
          <w:lang w:eastAsia="en-GB"/>
        </w:rPr>
        <w:t>different definitions. In the first definition,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A80AFB">
        <w:rPr>
          <w:rFonts w:ascii="Arial" w:eastAsia="Times New Roman" w:hAnsi="Arial" w:cs="Arial"/>
          <w:sz w:val="22"/>
          <w:szCs w:val="22"/>
          <w:lang w:eastAsia="en-GB"/>
        </w:rPr>
        <w:t>heat waves were considered as periods of more than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A80AFB">
        <w:rPr>
          <w:rFonts w:ascii="Arial" w:eastAsia="Times New Roman" w:hAnsi="Arial" w:cs="Arial"/>
          <w:sz w:val="22"/>
          <w:szCs w:val="22"/>
          <w:lang w:eastAsia="en-GB"/>
        </w:rPr>
        <w:t>three consecutive days exceeding the 99th percentile of</w:t>
      </w:r>
    </w:p>
    <w:p w14:paraId="475E8D23" w14:textId="6CCAA24C" w:rsidR="00A80AFB" w:rsidRPr="00A80AFB" w:rsidRDefault="00A80AFB" w:rsidP="00A80AFB">
      <w:pPr>
        <w:shd w:val="clear" w:color="auto" w:fill="FFFFFF"/>
        <w:spacing w:line="285" w:lineRule="atLeast"/>
        <w:ind w:right="1500"/>
        <w:outlineLvl w:val="2"/>
        <w:rPr>
          <w:rFonts w:ascii="Arial" w:eastAsia="Times New Roman" w:hAnsi="Arial" w:cs="Arial"/>
          <w:sz w:val="22"/>
          <w:szCs w:val="22"/>
          <w:lang w:eastAsia="en-GB"/>
        </w:rPr>
      </w:pPr>
      <w:r w:rsidRPr="00A80AFB">
        <w:rPr>
          <w:rFonts w:ascii="Arial" w:eastAsia="Times New Roman" w:hAnsi="Arial" w:cs="Arial"/>
          <w:sz w:val="22"/>
          <w:szCs w:val="22"/>
          <w:lang w:eastAsia="en-GB"/>
        </w:rPr>
        <w:t>the daily maximum temperature of the May to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A80AFB">
        <w:rPr>
          <w:rFonts w:ascii="Arial" w:eastAsia="Times New Roman" w:hAnsi="Arial" w:cs="Arial"/>
          <w:sz w:val="22"/>
          <w:szCs w:val="22"/>
          <w:lang w:eastAsia="en-GB"/>
        </w:rPr>
        <w:t>September season of the control period (1971–2000).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A80AFB">
        <w:rPr>
          <w:rFonts w:ascii="Arial" w:eastAsia="Times New Roman" w:hAnsi="Arial" w:cs="Arial"/>
          <w:sz w:val="22"/>
          <w:szCs w:val="22"/>
          <w:lang w:eastAsia="en-GB"/>
        </w:rPr>
        <w:t>The second definition, representing more extreme heat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A80AFB">
        <w:rPr>
          <w:rFonts w:ascii="Arial" w:eastAsia="Times New Roman" w:hAnsi="Arial" w:cs="Arial"/>
          <w:sz w:val="22"/>
          <w:szCs w:val="22"/>
          <w:lang w:eastAsia="en-GB"/>
        </w:rPr>
        <w:t>wave events, is based on the WMO definition (Frich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A80AFB">
        <w:rPr>
          <w:rFonts w:ascii="Arial" w:eastAsia="Times New Roman" w:hAnsi="Arial" w:cs="Arial"/>
          <w:sz w:val="22"/>
          <w:szCs w:val="22"/>
          <w:lang w:eastAsia="en-GB"/>
        </w:rPr>
        <w:t>et al. 2002). Heat waves were defined as periods of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A80AFB">
        <w:rPr>
          <w:rFonts w:ascii="Arial" w:eastAsia="Times New Roman" w:hAnsi="Arial" w:cs="Arial"/>
          <w:sz w:val="22"/>
          <w:szCs w:val="22"/>
          <w:lang w:eastAsia="en-GB"/>
        </w:rPr>
        <w:t>more than 5 consecutive days with daily maximum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A80AFB">
        <w:rPr>
          <w:rFonts w:ascii="Arial" w:eastAsia="Times New Roman" w:hAnsi="Arial" w:cs="Arial"/>
          <w:sz w:val="22"/>
          <w:szCs w:val="22"/>
          <w:lang w:eastAsia="en-GB"/>
        </w:rPr>
        <w:t>temperature exceeding the mean maximum temperature</w:t>
      </w:r>
    </w:p>
    <w:p w14:paraId="4A49D025" w14:textId="705BBA25" w:rsidR="00A80AFB" w:rsidRPr="00A80AFB" w:rsidRDefault="00A80AFB" w:rsidP="00A80AFB">
      <w:pPr>
        <w:shd w:val="clear" w:color="auto" w:fill="FFFFFF"/>
        <w:spacing w:line="285" w:lineRule="atLeast"/>
        <w:ind w:right="1500"/>
        <w:outlineLvl w:val="2"/>
        <w:rPr>
          <w:rFonts w:ascii="Arial" w:eastAsia="Times New Roman" w:hAnsi="Arial" w:cs="Arial"/>
          <w:sz w:val="22"/>
          <w:szCs w:val="22"/>
          <w:lang w:eastAsia="en-GB"/>
        </w:rPr>
      </w:pPr>
      <w:r w:rsidRPr="00A80AFB">
        <w:rPr>
          <w:rFonts w:ascii="Arial" w:eastAsia="Times New Roman" w:hAnsi="Arial" w:cs="Arial"/>
          <w:sz w:val="22"/>
          <w:szCs w:val="22"/>
          <w:lang w:eastAsia="en-GB"/>
        </w:rPr>
        <w:t>of the May to September season for the control period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(1971–2000) by at least 5 </w:t>
      </w:r>
      <w:r w:rsidRPr="00A80AFB">
        <w:rPr>
          <w:rFonts w:ascii="Arial" w:eastAsia="Times New Roman" w:hAnsi="Arial" w:cs="Arial"/>
          <w:sz w:val="22"/>
          <w:szCs w:val="22"/>
          <w:lang w:eastAsia="en-GB"/>
        </w:rPr>
        <w:t>C.</w:t>
      </w:r>
    </w:p>
    <w:p w14:paraId="448371D1" w14:textId="77777777" w:rsidR="00436FA7" w:rsidRDefault="00436FA7">
      <w:pPr>
        <w:rPr>
          <w:rFonts w:ascii="Arial" w:hAnsi="Arial" w:cs="Arial"/>
          <w:b/>
          <w:lang w:val="en-US"/>
        </w:rPr>
      </w:pPr>
    </w:p>
    <w:p w14:paraId="005172B4" w14:textId="4FAA1691" w:rsidR="003735B6" w:rsidRDefault="003735B6">
      <w:pPr>
        <w:rPr>
          <w:rFonts w:ascii="Arial" w:hAnsi="Arial" w:cs="Arial"/>
          <w:b/>
          <w:color w:val="000000" w:themeColor="text1"/>
          <w:sz w:val="22"/>
          <w:szCs w:val="22"/>
        </w:rPr>
      </w:pPr>
      <w:r w:rsidRPr="003735B6">
        <w:rPr>
          <w:rFonts w:ascii="Arial" w:hAnsi="Arial" w:cs="Arial"/>
          <w:b/>
          <w:color w:val="000000" w:themeColor="text1"/>
          <w:sz w:val="22"/>
          <w:szCs w:val="22"/>
        </w:rPr>
        <w:t>Quantifying the influence of global warming on unprecedented extreme climate events</w:t>
      </w:r>
    </w:p>
    <w:p w14:paraId="472543E9" w14:textId="77777777" w:rsidR="004C4E6F" w:rsidRDefault="004C4E6F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BAB0A06" w14:textId="060A9C03" w:rsidR="004C4E6F" w:rsidRPr="004C4E6F" w:rsidRDefault="004C4E6F" w:rsidP="004C4E6F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We find that </w:t>
      </w:r>
      <w:r w:rsidRPr="004C4E6F">
        <w:rPr>
          <w:rFonts w:ascii="Arial" w:hAnsi="Arial" w:cs="Arial"/>
          <w:sz w:val="22"/>
          <w:szCs w:val="22"/>
          <w:lang w:val="en-US"/>
        </w:rPr>
        <w:t>historical global warming has increased the severity and probability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9C5072">
        <w:rPr>
          <w:rFonts w:ascii="Arial" w:hAnsi="Arial" w:cs="Arial"/>
          <w:sz w:val="22"/>
          <w:szCs w:val="22"/>
          <w:lang w:val="en-US"/>
        </w:rPr>
        <w:t xml:space="preserve">of the </w:t>
      </w:r>
      <w:bookmarkStart w:id="0" w:name="_GoBack"/>
      <w:bookmarkEnd w:id="0"/>
      <w:r w:rsidRPr="004C4E6F">
        <w:rPr>
          <w:rFonts w:ascii="Arial" w:hAnsi="Arial" w:cs="Arial"/>
          <w:sz w:val="22"/>
          <w:szCs w:val="22"/>
          <w:lang w:val="en-US"/>
        </w:rPr>
        <w:t>hottest monthly and daily events at more than 80% of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4C4E6F">
        <w:rPr>
          <w:rFonts w:ascii="Arial" w:hAnsi="Arial" w:cs="Arial"/>
          <w:sz w:val="22"/>
          <w:szCs w:val="22"/>
          <w:lang w:val="en-US"/>
        </w:rPr>
        <w:t>the observed area</w:t>
      </w:r>
    </w:p>
    <w:sectPr w:rsidR="004C4E6F" w:rsidRPr="004C4E6F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194"/>
    <w:rsid w:val="0000461D"/>
    <w:rsid w:val="0003657E"/>
    <w:rsid w:val="00066C53"/>
    <w:rsid w:val="00076B89"/>
    <w:rsid w:val="0008315C"/>
    <w:rsid w:val="000B0D4A"/>
    <w:rsid w:val="000B6495"/>
    <w:rsid w:val="000B7625"/>
    <w:rsid w:val="000C7277"/>
    <w:rsid w:val="000F63E5"/>
    <w:rsid w:val="00132C6C"/>
    <w:rsid w:val="00156FC7"/>
    <w:rsid w:val="00161E98"/>
    <w:rsid w:val="001A1F00"/>
    <w:rsid w:val="001B23D1"/>
    <w:rsid w:val="001C613C"/>
    <w:rsid w:val="001E4959"/>
    <w:rsid w:val="001F0FFF"/>
    <w:rsid w:val="00220C4B"/>
    <w:rsid w:val="00221B31"/>
    <w:rsid w:val="002231AC"/>
    <w:rsid w:val="0026033D"/>
    <w:rsid w:val="00260B02"/>
    <w:rsid w:val="00296A5E"/>
    <w:rsid w:val="002B1609"/>
    <w:rsid w:val="002B29DF"/>
    <w:rsid w:val="002F4DC5"/>
    <w:rsid w:val="00306685"/>
    <w:rsid w:val="003735B6"/>
    <w:rsid w:val="0039751B"/>
    <w:rsid w:val="003A3A3F"/>
    <w:rsid w:val="003C153C"/>
    <w:rsid w:val="003F22B3"/>
    <w:rsid w:val="004018CB"/>
    <w:rsid w:val="00402D6F"/>
    <w:rsid w:val="004249D1"/>
    <w:rsid w:val="00433EDB"/>
    <w:rsid w:val="00436FA7"/>
    <w:rsid w:val="00437E72"/>
    <w:rsid w:val="004776EC"/>
    <w:rsid w:val="004A5369"/>
    <w:rsid w:val="004C140E"/>
    <w:rsid w:val="004C3449"/>
    <w:rsid w:val="004C4E6F"/>
    <w:rsid w:val="004F1615"/>
    <w:rsid w:val="004F404D"/>
    <w:rsid w:val="004F60F9"/>
    <w:rsid w:val="004F7FD8"/>
    <w:rsid w:val="005028B3"/>
    <w:rsid w:val="00506AF4"/>
    <w:rsid w:val="005130C5"/>
    <w:rsid w:val="00532166"/>
    <w:rsid w:val="00561F2E"/>
    <w:rsid w:val="00565B41"/>
    <w:rsid w:val="005B1ED4"/>
    <w:rsid w:val="005B5156"/>
    <w:rsid w:val="005F34A4"/>
    <w:rsid w:val="005F3963"/>
    <w:rsid w:val="006124E6"/>
    <w:rsid w:val="00641AF0"/>
    <w:rsid w:val="006633AD"/>
    <w:rsid w:val="006934E5"/>
    <w:rsid w:val="006A5B04"/>
    <w:rsid w:val="006C50E6"/>
    <w:rsid w:val="006F382C"/>
    <w:rsid w:val="00712E39"/>
    <w:rsid w:val="007518D9"/>
    <w:rsid w:val="007657EB"/>
    <w:rsid w:val="00795E96"/>
    <w:rsid w:val="007B545A"/>
    <w:rsid w:val="007E13E7"/>
    <w:rsid w:val="007E7DB0"/>
    <w:rsid w:val="007F2E1E"/>
    <w:rsid w:val="00800663"/>
    <w:rsid w:val="008A6465"/>
    <w:rsid w:val="008B7DDD"/>
    <w:rsid w:val="008C4931"/>
    <w:rsid w:val="008C4B74"/>
    <w:rsid w:val="008D151B"/>
    <w:rsid w:val="008F16FF"/>
    <w:rsid w:val="00911EE8"/>
    <w:rsid w:val="009147E4"/>
    <w:rsid w:val="00932BD5"/>
    <w:rsid w:val="00937AF1"/>
    <w:rsid w:val="00944EE8"/>
    <w:rsid w:val="0098603C"/>
    <w:rsid w:val="00986803"/>
    <w:rsid w:val="009A475F"/>
    <w:rsid w:val="009B275D"/>
    <w:rsid w:val="009C5072"/>
    <w:rsid w:val="009C5745"/>
    <w:rsid w:val="009D5647"/>
    <w:rsid w:val="009E25B4"/>
    <w:rsid w:val="009E450A"/>
    <w:rsid w:val="009F4FD3"/>
    <w:rsid w:val="00A10491"/>
    <w:rsid w:val="00A25BFD"/>
    <w:rsid w:val="00A47F3E"/>
    <w:rsid w:val="00A55A47"/>
    <w:rsid w:val="00A718C6"/>
    <w:rsid w:val="00A80AFB"/>
    <w:rsid w:val="00AA1780"/>
    <w:rsid w:val="00AC081B"/>
    <w:rsid w:val="00AC6A7C"/>
    <w:rsid w:val="00AD2DD2"/>
    <w:rsid w:val="00AF1062"/>
    <w:rsid w:val="00AF31AB"/>
    <w:rsid w:val="00AF59A5"/>
    <w:rsid w:val="00B70782"/>
    <w:rsid w:val="00B91584"/>
    <w:rsid w:val="00BB1084"/>
    <w:rsid w:val="00BE1D8C"/>
    <w:rsid w:val="00BE5840"/>
    <w:rsid w:val="00BE7C5B"/>
    <w:rsid w:val="00C02149"/>
    <w:rsid w:val="00C25541"/>
    <w:rsid w:val="00C4447B"/>
    <w:rsid w:val="00C76EC8"/>
    <w:rsid w:val="00C77FA7"/>
    <w:rsid w:val="00CB62F6"/>
    <w:rsid w:val="00CE1DCB"/>
    <w:rsid w:val="00CE3E2E"/>
    <w:rsid w:val="00CF318B"/>
    <w:rsid w:val="00CF4741"/>
    <w:rsid w:val="00D117B9"/>
    <w:rsid w:val="00D24DC4"/>
    <w:rsid w:val="00D27415"/>
    <w:rsid w:val="00D349E0"/>
    <w:rsid w:val="00D435B3"/>
    <w:rsid w:val="00D56CDF"/>
    <w:rsid w:val="00D64305"/>
    <w:rsid w:val="00D64CF4"/>
    <w:rsid w:val="00D7364D"/>
    <w:rsid w:val="00D75325"/>
    <w:rsid w:val="00D92672"/>
    <w:rsid w:val="00D92A88"/>
    <w:rsid w:val="00DA0FD4"/>
    <w:rsid w:val="00DC1680"/>
    <w:rsid w:val="00E1306D"/>
    <w:rsid w:val="00E42E99"/>
    <w:rsid w:val="00E827DA"/>
    <w:rsid w:val="00E85B65"/>
    <w:rsid w:val="00EC1052"/>
    <w:rsid w:val="00ED3EB5"/>
    <w:rsid w:val="00EF0DEC"/>
    <w:rsid w:val="00F01B41"/>
    <w:rsid w:val="00F04E4E"/>
    <w:rsid w:val="00F147B2"/>
    <w:rsid w:val="00F16BE0"/>
    <w:rsid w:val="00F17ACE"/>
    <w:rsid w:val="00F40035"/>
    <w:rsid w:val="00F43484"/>
    <w:rsid w:val="00F636D9"/>
    <w:rsid w:val="00F73CE1"/>
    <w:rsid w:val="00F75F03"/>
    <w:rsid w:val="00F81194"/>
    <w:rsid w:val="00F95025"/>
    <w:rsid w:val="00FA5FA5"/>
    <w:rsid w:val="00FB162A"/>
    <w:rsid w:val="00FB6151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1333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3">
    <w:name w:val="heading 3"/>
    <w:basedOn w:val="Normal"/>
    <w:link w:val="Heading3Char"/>
    <w:uiPriority w:val="9"/>
    <w:qFormat/>
    <w:rsid w:val="00A80AFB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64305"/>
    <w:rPr>
      <w:rFonts w:ascii="Helvetica" w:hAnsi="Helvetica" w:cs="Times New Roman"/>
      <w:sz w:val="17"/>
      <w:szCs w:val="17"/>
      <w:lang w:eastAsia="en-GB"/>
    </w:rPr>
  </w:style>
  <w:style w:type="character" w:customStyle="1" w:styleId="s1">
    <w:name w:val="s1"/>
    <w:basedOn w:val="DefaultParagraphFont"/>
    <w:rsid w:val="00F17ACE"/>
    <w:rPr>
      <w:rFonts w:ascii="Times" w:hAnsi="Times" w:hint="default"/>
      <w:sz w:val="14"/>
      <w:szCs w:val="14"/>
    </w:rPr>
  </w:style>
  <w:style w:type="character" w:customStyle="1" w:styleId="s2">
    <w:name w:val="s2"/>
    <w:basedOn w:val="DefaultParagraphFont"/>
    <w:rsid w:val="00F17ACE"/>
    <w:rPr>
      <w:rFonts w:ascii="Helvetica" w:hAnsi="Helvetica" w:hint="default"/>
      <w:color w:val="000000"/>
      <w:sz w:val="8"/>
      <w:szCs w:val="8"/>
    </w:rPr>
  </w:style>
  <w:style w:type="paragraph" w:customStyle="1" w:styleId="p2">
    <w:name w:val="p2"/>
    <w:basedOn w:val="Normal"/>
    <w:rsid w:val="00AF31AB"/>
    <w:rPr>
      <w:rFonts w:ascii="Helvetica" w:hAnsi="Helvetica" w:cs="Times New Roman"/>
      <w:color w:val="01106F"/>
      <w:sz w:val="14"/>
      <w:szCs w:val="14"/>
      <w:lang w:eastAsia="en-GB"/>
    </w:rPr>
  </w:style>
  <w:style w:type="paragraph" w:customStyle="1" w:styleId="p3">
    <w:name w:val="p3"/>
    <w:basedOn w:val="Normal"/>
    <w:rsid w:val="00AF31AB"/>
    <w:rPr>
      <w:rFonts w:ascii="Helvetica" w:hAnsi="Helvetica" w:cs="Times New Roman"/>
      <w:sz w:val="14"/>
      <w:szCs w:val="14"/>
      <w:lang w:eastAsia="en-GB"/>
    </w:rPr>
  </w:style>
  <w:style w:type="character" w:customStyle="1" w:styleId="apple-converted-space">
    <w:name w:val="apple-converted-space"/>
    <w:basedOn w:val="DefaultParagraphFont"/>
    <w:rsid w:val="004249D1"/>
  </w:style>
  <w:style w:type="character" w:customStyle="1" w:styleId="Heading3Char">
    <w:name w:val="Heading 3 Char"/>
    <w:basedOn w:val="DefaultParagraphFont"/>
    <w:link w:val="Heading3"/>
    <w:uiPriority w:val="9"/>
    <w:rsid w:val="00A80AFB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A80A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415</Words>
  <Characters>2368</Characters>
  <Application>Microsoft Macintosh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EURO-CORDEX: new high-resolution climate change projections for European impact </vt:lpstr>
      <vt:lpstr>        </vt:lpstr>
      <vt:lpstr>        For the analysis of the change in number of heat waves, we used two different de</vt:lpstr>
      <vt:lpstr>        the daily maximum temperature of the May to September season of the control peri</vt:lpstr>
      <vt:lpstr>        of the May to September season for the control period (1971–2000) by at least 5 </vt:lpstr>
    </vt:vector>
  </TitlesOfParts>
  <LinksUpToDate>false</LinksUpToDate>
  <CharactersWithSpaces>2778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19</cp:revision>
  <dcterms:created xsi:type="dcterms:W3CDTF">2017-05-15T12:50:00Z</dcterms:created>
  <dcterms:modified xsi:type="dcterms:W3CDTF">2017-05-15T15:25:00Z</dcterms:modified>
</cp:coreProperties>
</file>