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77777777" w:rsidR="00DC265F" w:rsidRPr="004E0482" w:rsidRDefault="00DC265F" w:rsidP="00B3245F">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4EDB2A31"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B3245F">
      <w:pPr>
        <w:rPr>
          <w:rFonts w:ascii="Times New Roman" w:hAnsi="Times New Roman"/>
          <w:b/>
          <w:color w:val="000000" w:themeColor="text1"/>
          <w:sz w:val="24"/>
          <w:szCs w:val="24"/>
        </w:rPr>
      </w:pPr>
      <w:r w:rsidRPr="00C24564">
        <w:rPr>
          <w:rFonts w:ascii="Times New Roman" w:hAnsi="Times New Roman"/>
          <w:b/>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1EFFB7F5" w14:textId="2B4F0B3F" w:rsidR="006F297A" w:rsidRPr="004E0482" w:rsidRDefault="006F297A" w:rsidP="006F297A">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r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1-4</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are similar versus distinct in relation to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n a large country like the USA, which possesses distinct climate regions, not only average annual death rates vary throughout the country, but also the seasonality of mortality itself may vary geographically, due to localised weather</w:t>
      </w:r>
      <w:r>
        <w:rPr>
          <w:rFonts w:ascii="Times New Roman" w:hAnsi="Times New Roman"/>
          <w:color w:val="000000" w:themeColor="text1"/>
          <w:sz w:val="24"/>
          <w:szCs w:val="24"/>
        </w:rPr>
        <w:t xml:space="preserve"> patterns</w:t>
      </w:r>
      <w:r w:rsidRPr="004E0482">
        <w:rPr>
          <w:rFonts w:ascii="Times New Roman" w:hAnsi="Times New Roman"/>
          <w:color w:val="000000" w:themeColor="text1"/>
          <w:sz w:val="24"/>
          <w:szCs w:val="24"/>
        </w:rPr>
        <w:t>, as well variations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007560D4"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face="superscript"&gt;9,10&lt;/style&gt;&lt;/DisplayText&gt;&lt;record&gt;&lt;rec-number&gt;569&lt;/rec-number&gt;&lt;foreign-keys&gt;&lt;key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Cite&gt;&lt;Author&gt;Kalkstein&lt;/Author&gt;&lt;Year&gt;2013&lt;/Year&gt;&lt;RecNum&gt;440&lt;/RecNum&gt;&lt;record&gt;&lt;rec-number&gt;440&lt;/rec-number&gt;&lt;foreign-keys&gt;&lt;key app="EN" db-id="t0tw0zzvgt0wf4erero5steu5rx5tpas22wa" timestamp="1480015840"&gt;440&lt;/key&gt;&lt;/foreign-keys&gt;&lt;ref-type name="Journal Article"&gt;17&lt;/ref-type&gt;&lt;contributors&gt;&lt;authors&gt;&lt;author&gt;Kalkstein, Adam J&lt;/author&gt;&lt;/authors&gt;&lt;/contributors&gt;&lt;titles&gt;&lt;title&gt;Regional similarities in seasonal mortality across the United States: an examination of 28 metropolitan statistical areas&lt;/title&gt;&lt;secondary-title&gt;PloS one&lt;/secondary-title&gt;&lt;/titles&gt;&lt;periodical&gt;&lt;full-title&gt;Plos One&lt;/full-title&gt;&lt;/periodical&gt;&lt;pages&gt;e63971&lt;/pages&gt;&lt;volume&gt;8&lt;/volume&gt;&lt;number&gt;5&lt;/number&gt;&lt;dates&gt;&lt;year&gt;2013&lt;/year&gt;&lt;/dates&gt;&lt;isbn&gt;1932-6203&lt;/isbn&gt;&lt;urls&gt;&lt;/urls&gt;&lt;/record&gt;&lt;/Cite&gt;&lt;/EndNote&gt;</w:instrText>
      </w:r>
      <w:r w:rsidR="007560D4"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9,10</w:t>
      </w:r>
      <w:r w:rsidR="007560D4"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Further, the presence and extent of seasonal variation in mortality may 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Pr>
          <w:rFonts w:ascii="Times New Roman" w:hAnsi="Times New Roman"/>
          <w:color w:val="000000" w:themeColor="text1"/>
          <w:sz w:val="24"/>
          <w:szCs w:val="24"/>
        </w:rPr>
        <w:t>changes</w:t>
      </w:r>
      <w:r w:rsidRPr="004E0482">
        <w:rPr>
          <w:rFonts w:ascii="Times New Roman" w:hAnsi="Times New Roman"/>
          <w:color w:val="000000" w:themeColor="text1"/>
          <w:sz w:val="24"/>
          <w:szCs w:val="24"/>
        </w:rPr>
        <w:t xml:space="preserve"> in weather regimes, lifestyle, technology, and healthcare.</w:t>
      </w:r>
      <w:r w:rsidRPr="00A2556E">
        <w:rPr>
          <w:rFonts w:ascii="Times New Roman" w:hAnsi="Times New Roman"/>
          <w:color w:val="000000" w:themeColor="text1"/>
          <w:sz w:val="24"/>
          <w:szCs w:val="24"/>
          <w:highlight w:val="yellow"/>
        </w:rPr>
        <w:fldChar w:fldCharType="begin"/>
      </w:r>
      <w:r w:rsidR="009334A8" w:rsidRPr="00A2556E">
        <w:rPr>
          <w:rFonts w:ascii="Times New Roman" w:hAnsi="Times New Roman"/>
          <w:color w:val="000000" w:themeColor="text1"/>
          <w:sz w:val="24"/>
          <w:szCs w:val="24"/>
          <w:highlight w:val="yellow"/>
        </w:rPr>
        <w:instrText xml:space="preserve"> ADDIN EN.CITE &lt;EndNote&gt;&lt;Cite&gt;&lt;Author&gt;Barreca&lt;/Author&gt;&lt;Year&gt;2016&lt;/Year&gt;&lt;RecNum&gt;265&lt;/RecNum&gt;&lt;DisplayText&gt;&lt;style face="superscript"&gt;11&lt;/style&gt;&lt;/DisplayText&gt;&lt;record&gt;&lt;rec-number&gt;265&lt;/rec-number&gt;&lt;foreign-keys&gt;&lt;key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Pr="00A2556E">
        <w:rPr>
          <w:rFonts w:ascii="Times New Roman" w:hAnsi="Times New Roman"/>
          <w:color w:val="000000" w:themeColor="text1"/>
          <w:sz w:val="24"/>
          <w:szCs w:val="24"/>
          <w:highlight w:val="yellow"/>
        </w:rPr>
        <w:fldChar w:fldCharType="separate"/>
      </w:r>
      <w:r w:rsidR="009334A8" w:rsidRPr="00A2556E">
        <w:rPr>
          <w:rFonts w:ascii="Times New Roman" w:hAnsi="Times New Roman"/>
          <w:noProof/>
          <w:color w:val="000000" w:themeColor="text1"/>
          <w:sz w:val="24"/>
          <w:szCs w:val="24"/>
          <w:highlight w:val="yellow"/>
          <w:vertAlign w:val="superscript"/>
        </w:rPr>
        <w:t>11</w:t>
      </w:r>
      <w:r w:rsidRPr="00A2556E">
        <w:rPr>
          <w:rFonts w:ascii="Times New Roman" w:hAnsi="Times New Roman"/>
          <w:color w:val="000000" w:themeColor="text1"/>
          <w:sz w:val="24"/>
          <w:szCs w:val="24"/>
          <w:highlight w:val="yellow"/>
        </w:rPr>
        <w:fldChar w:fldCharType="end"/>
      </w:r>
      <w:r w:rsidRPr="004E0482">
        <w:rPr>
          <w:rFonts w:ascii="Times New Roman" w:hAnsi="Times New Roman"/>
          <w:color w:val="000000" w:themeColor="text1"/>
          <w:sz w:val="24"/>
          <w:szCs w:val="24"/>
        </w:rPr>
        <w:t xml:space="preserve"> A thorough understanding 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for current situation and under changing climate conditions. </w:t>
      </w:r>
    </w:p>
    <w:p w14:paraId="0577B1A6" w14:textId="77777777" w:rsidR="000474A7" w:rsidRPr="004E0482" w:rsidRDefault="000474A7" w:rsidP="00B3245F">
      <w:pPr>
        <w:spacing w:line="480" w:lineRule="auto"/>
        <w:rPr>
          <w:rFonts w:ascii="Times New Roman" w:hAnsi="Times New Roman"/>
          <w:color w:val="000000" w:themeColor="text1"/>
          <w:sz w:val="24"/>
          <w:szCs w:val="24"/>
        </w:rPr>
      </w:pPr>
    </w:p>
    <w:p w14:paraId="538898BA" w14:textId="5E1DBA4E"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including the US,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cHQiPjQtOCwxMCwxMi0yMjwvc3R5bGU+PC9EaXNwbGF5VGV4dD48cmVjb3JkPjxyZWMtbnVtYmVy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A0468A">
        <w:rPr>
          <w:rFonts w:ascii="Times New Roman" w:hAnsi="Times New Roman"/>
          <w:color w:val="000000" w:themeColor="text1"/>
          <w:sz w:val="24"/>
          <w:szCs w:val="24"/>
        </w:rPr>
        <w:instrText xml:space="preserve"> ADDIN EN.CITE </w:instrText>
      </w:r>
      <w:r w:rsidR="00A0468A">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cHQiPjQtOCwxMCwxMi0yMjwvc3R5bGU+PC9EaXNwbGF5VGV4dD48cmVjb3JkPjxyZWMtbnVtYmVy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A0468A">
        <w:rPr>
          <w:rFonts w:ascii="Times New Roman" w:hAnsi="Times New Roman"/>
          <w:color w:val="000000" w:themeColor="text1"/>
          <w:sz w:val="24"/>
          <w:szCs w:val="24"/>
        </w:rPr>
        <w:instrText xml:space="preserve"> ADDIN EN.CITE.DATA </w:instrText>
      </w:r>
      <w:r w:rsidR="00A0468A">
        <w:rPr>
          <w:rFonts w:ascii="Times New Roman" w:hAnsi="Times New Roman"/>
          <w:color w:val="000000" w:themeColor="text1"/>
          <w:sz w:val="24"/>
          <w:szCs w:val="24"/>
        </w:rPr>
      </w:r>
      <w:r w:rsidR="00A0468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A0468A" w:rsidRPr="00A0468A">
        <w:rPr>
          <w:rFonts w:ascii="Times New Roman" w:hAnsi="Times New Roman"/>
          <w:noProof/>
          <w:color w:val="000000" w:themeColor="text1"/>
          <w:sz w:val="24"/>
          <w:szCs w:val="24"/>
          <w:vertAlign w:val="superscript"/>
        </w:rPr>
        <w:t>4-8,10,12-22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sidR="00554FDB">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50 years. Regardless of duration, the methods used in these works – ranging from simple</w:t>
      </w:r>
      <w:r w:rsidR="00F84E6D">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 </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face="superscript"&gt;7,12&lt;/style&gt;&lt;/DisplayText&gt;&lt;record&gt;&lt;rec-number&gt;355&lt;/rec-number&gt;&lt;foreign-keys&gt;&lt;key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7,12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cHQiPjUsNiwxNCwxNSwxOSwyMTwvc3R5bGU+PC9EaXNwbGF5VGV4dD48cmVjb3JkPjxyZWMtbnVt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cHQiPjUsNiwxNCwxNSwxOSwyMTwvc3R5bGU+PC9EaXNwbGF5VGV4dD48cmVjb3JkPjxyZWMtbnVt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5,6,14,15,19,21</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the dynamics of seasonality 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 and their seasonality, vary for popu</w:t>
      </w:r>
      <w:r w:rsidR="00AB01A1">
        <w:rPr>
          <w:rFonts w:ascii="Times New Roman" w:hAnsi="Times New Roman"/>
          <w:color w:val="000000" w:themeColor="text1"/>
          <w:sz w:val="24"/>
          <w:szCs w:val="24"/>
        </w:rPr>
        <w:t>lation subgroups.</w:t>
      </w:r>
      <w:r w:rsidR="005B11E3">
        <w:rPr>
          <w:rFonts w:ascii="Times New Roman" w:hAnsi="Times New Roman"/>
          <w:color w:val="000000" w:themeColor="text1"/>
          <w:sz w:val="24"/>
          <w:szCs w:val="24"/>
        </w:rPr>
        <w:t xml:space="preserve"> Similarly, few studies have analysed seasonality for a comprehensive set of subnational units,</w:t>
      </w:r>
      <w:r w:rsidR="00E553D2">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00E553D2">
        <w:rPr>
          <w:rFonts w:ascii="Times New Roman" w:hAnsi="Times New Roman"/>
          <w:color w:val="000000" w:themeColor="text1"/>
          <w:sz w:val="24"/>
          <w:szCs w:val="24"/>
        </w:rPr>
      </w:r>
      <w:r w:rsidR="00E553D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6-8</w:t>
      </w:r>
      <w:r w:rsidR="00E553D2">
        <w:rPr>
          <w:rFonts w:ascii="Times New Roman" w:hAnsi="Times New Roman"/>
          <w:color w:val="000000" w:themeColor="text1"/>
          <w:sz w:val="24"/>
          <w:szCs w:val="24"/>
        </w:rPr>
        <w:fldChar w:fldCharType="end"/>
      </w:r>
      <w:r w:rsidR="005B11E3">
        <w:rPr>
          <w:rFonts w:ascii="Times New Roman" w:hAnsi="Times New Roman"/>
          <w:color w:val="000000" w:themeColor="text1"/>
          <w:sz w:val="24"/>
          <w:szCs w:val="24"/>
        </w:rPr>
        <w:t xml:space="preserve"> and none</w:t>
      </w:r>
      <w:r w:rsidR="0048630A">
        <w:rPr>
          <w:rFonts w:ascii="Times New Roman" w:hAnsi="Times New Roman"/>
          <w:color w:val="000000" w:themeColor="text1"/>
          <w:sz w:val="24"/>
          <w:szCs w:val="24"/>
        </w:rPr>
        <w:t xml:space="preserve"> has </w:t>
      </w:r>
      <w:r w:rsidR="005B11E3">
        <w:rPr>
          <w:rFonts w:ascii="Times New Roman" w:hAnsi="Times New Roman"/>
          <w:color w:val="000000" w:themeColor="text1"/>
          <w:sz w:val="24"/>
          <w:szCs w:val="24"/>
        </w:rPr>
        <w:t>also done so by geography</w:t>
      </w:r>
      <w:r w:rsidRPr="005B11E3">
        <w:rPr>
          <w:rFonts w:ascii="Times New Roman" w:hAnsi="Times New Roman"/>
          <w:color w:val="000000" w:themeColor="text1"/>
          <w:sz w:val="24"/>
          <w:szCs w:val="24"/>
        </w:rPr>
        <w:t>, even though both temperature and the health effects of cold and warm temperature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aXB0Ij4yMywyNDwvc3R5bGU+PC9EaXNwbGF5VGV4dD48cmVjb3JkPjxyZWMtbnVtYmVyPjI4PC9y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aXB0Ij4yMywyNDwvc3R5bGU+PC9EaXNwbGF5VGV4dD48cmVjb3JkPjxyZWMtbnVtYmVyPjI4PC9y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23,24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Pr="004E0482" w:rsidRDefault="009A082B" w:rsidP="00B3245F">
      <w:pPr>
        <w:spacing w:after="0" w:line="480" w:lineRule="auto"/>
        <w:rPr>
          <w:rFonts w:ascii="Times New Roman" w:hAnsi="Times New Roman"/>
          <w:color w:val="000000" w:themeColor="text1"/>
          <w:sz w:val="24"/>
          <w:szCs w:val="24"/>
        </w:rPr>
      </w:pPr>
    </w:p>
    <w:p w14:paraId="08415499" w14:textId="43493AD1" w:rsidR="00857C52" w:rsidRPr="004278AA" w:rsidRDefault="00B922F3" w:rsidP="00B3245F">
      <w:pPr>
        <w:spacing w:line="480" w:lineRule="auto"/>
        <w:rPr>
          <w:rFonts w:ascii="Times New Roman" w:hAnsi="Times New Roman"/>
          <w:sz w:val="24"/>
          <w:szCs w:val="24"/>
        </w:rPr>
      </w:pPr>
      <w:r w:rsidRPr="004278AA">
        <w:rPr>
          <w:rFonts w:ascii="Times New Roman" w:hAnsi="Times New Roman"/>
          <w:sz w:val="24"/>
          <w:szCs w:val="24"/>
        </w:rPr>
        <w:fldChar w:fldCharType="begin"/>
      </w:r>
      <w:r w:rsidRPr="004278AA">
        <w:rPr>
          <w:rFonts w:ascii="Times New Roman" w:hAnsi="Times New Roman"/>
          <w:sz w:val="24"/>
          <w:szCs w:val="24"/>
        </w:rPr>
        <w:instrText xml:space="preserve"> REF _Ref468358535 \h </w:instrText>
      </w:r>
      <w:r w:rsidR="00E87703" w:rsidRPr="004278AA">
        <w:rPr>
          <w:rFonts w:ascii="Times New Roman" w:hAnsi="Times New Roman"/>
          <w:sz w:val="24"/>
          <w:szCs w:val="24"/>
        </w:rPr>
        <w:instrText xml:space="preserve"> \* MERGEFORMAT </w:instrText>
      </w:r>
      <w:r w:rsidRPr="004278AA">
        <w:rPr>
          <w:rFonts w:ascii="Times New Roman" w:hAnsi="Times New Roman"/>
          <w:sz w:val="24"/>
          <w:szCs w:val="24"/>
        </w:rPr>
      </w:r>
      <w:r w:rsidRPr="004278AA">
        <w:rPr>
          <w:rFonts w:ascii="Times New Roman" w:hAnsi="Times New Roman"/>
          <w:sz w:val="24"/>
          <w:szCs w:val="24"/>
        </w:rPr>
        <w:fldChar w:fldCharType="separate"/>
      </w:r>
      <w:r w:rsidRPr="004278AA">
        <w:rPr>
          <w:rFonts w:ascii="Times New Roman" w:hAnsi="Times New Roman"/>
          <w:sz w:val="24"/>
          <w:szCs w:val="24"/>
        </w:rPr>
        <w:t xml:space="preserve">Figure </w:t>
      </w:r>
      <w:r w:rsidRPr="004278AA">
        <w:rPr>
          <w:rFonts w:ascii="Times New Roman" w:hAnsi="Times New Roman"/>
          <w:noProof/>
          <w:sz w:val="24"/>
          <w:szCs w:val="24"/>
        </w:rPr>
        <w:t>1</w:t>
      </w:r>
      <w:r w:rsidRPr="004278AA">
        <w:rPr>
          <w:rFonts w:ascii="Times New Roman" w:hAnsi="Times New Roman"/>
          <w:sz w:val="24"/>
          <w:szCs w:val="24"/>
        </w:rPr>
        <w:fldChar w:fldCharType="end"/>
      </w:r>
      <w:r w:rsidR="00E87703" w:rsidRPr="004278AA">
        <w:rPr>
          <w:rFonts w:ascii="Times New Roman" w:hAnsi="Times New Roman"/>
          <w:sz w:val="24"/>
          <w:szCs w:val="24"/>
        </w:rPr>
        <w:t>A</w:t>
      </w:r>
      <w:r w:rsidR="000562C9" w:rsidRPr="004278AA">
        <w:rPr>
          <w:rFonts w:ascii="Times New Roman" w:hAnsi="Times New Roman"/>
          <w:sz w:val="24"/>
          <w:szCs w:val="24"/>
        </w:rPr>
        <w:t xml:space="preserve"> </w:t>
      </w:r>
      <w:r w:rsidR="002C5FB9" w:rsidRPr="004278AA">
        <w:rPr>
          <w:rFonts w:ascii="Times New Roman" w:hAnsi="Times New Roman"/>
          <w:sz w:val="24"/>
          <w:szCs w:val="24"/>
        </w:rPr>
        <w:t xml:space="preserve">shows that all but the 35-44 year olds possessed a significant 12-month seasonality in males. </w:t>
      </w:r>
      <w:r w:rsidR="003179A2" w:rsidRPr="004278AA">
        <w:rPr>
          <w:rFonts w:ascii="Times New Roman" w:hAnsi="Times New Roman"/>
          <w:sz w:val="24"/>
          <w:szCs w:val="24"/>
        </w:rPr>
        <w:t>Instead, t</w:t>
      </w:r>
      <w:r w:rsidR="002C5FB9" w:rsidRPr="004278AA">
        <w:rPr>
          <w:rFonts w:ascii="Times New Roman" w:hAnsi="Times New Roman"/>
          <w:sz w:val="24"/>
          <w:szCs w:val="24"/>
        </w:rPr>
        <w:t>he 35-44 group instead displa</w:t>
      </w:r>
      <w:r w:rsidR="003179A2" w:rsidRPr="004278AA">
        <w:rPr>
          <w:rFonts w:ascii="Times New Roman" w:hAnsi="Times New Roman"/>
          <w:sz w:val="24"/>
          <w:szCs w:val="24"/>
        </w:rPr>
        <w:t>yed significant seasonality</w:t>
      </w:r>
      <w:r w:rsidR="002C5FB9" w:rsidRPr="004278AA">
        <w:rPr>
          <w:rFonts w:ascii="Times New Roman" w:hAnsi="Times New Roman"/>
          <w:sz w:val="24"/>
          <w:szCs w:val="24"/>
        </w:rPr>
        <w:t xml:space="preserve"> at 6 months. A significant 6-month period of seasonality was also evident in 5-14, 25-34, 45-54 year olds, in addition to the 12-month seasonality present.</w:t>
      </w:r>
      <w:r w:rsidR="00940052" w:rsidRPr="004278AA">
        <w:rPr>
          <w:rFonts w:ascii="Times New Roman" w:hAnsi="Times New Roman"/>
          <w:sz w:val="24"/>
          <w:szCs w:val="24"/>
        </w:rPr>
        <w:t xml:space="preserve"> </w:t>
      </w:r>
      <w:r w:rsidR="00E87703" w:rsidRPr="004278AA">
        <w:rPr>
          <w:rFonts w:ascii="Times New Roman" w:hAnsi="Times New Roman"/>
          <w:sz w:val="24"/>
          <w:szCs w:val="24"/>
        </w:rPr>
        <w:fldChar w:fldCharType="begin"/>
      </w:r>
      <w:r w:rsidR="00E87703" w:rsidRPr="004278AA">
        <w:rPr>
          <w:rFonts w:ascii="Times New Roman" w:hAnsi="Times New Roman"/>
          <w:sz w:val="24"/>
          <w:szCs w:val="24"/>
        </w:rPr>
        <w:instrText xml:space="preserve"> REF _Ref468358535 \h </w:instrText>
      </w:r>
      <w:r w:rsidR="00C67F19" w:rsidRPr="004278AA">
        <w:rPr>
          <w:rFonts w:ascii="Times New Roman" w:hAnsi="Times New Roman"/>
          <w:sz w:val="24"/>
          <w:szCs w:val="24"/>
        </w:rPr>
        <w:instrText xml:space="preserve"> \* MERGEFORMAT </w:instrText>
      </w:r>
      <w:r w:rsidR="00E87703" w:rsidRPr="004278AA">
        <w:rPr>
          <w:rFonts w:ascii="Times New Roman" w:hAnsi="Times New Roman"/>
          <w:sz w:val="24"/>
          <w:szCs w:val="24"/>
        </w:rPr>
      </w:r>
      <w:r w:rsidR="00E87703" w:rsidRPr="004278AA">
        <w:rPr>
          <w:rFonts w:ascii="Times New Roman" w:hAnsi="Times New Roman"/>
          <w:sz w:val="24"/>
          <w:szCs w:val="24"/>
        </w:rPr>
        <w:fldChar w:fldCharType="separate"/>
      </w:r>
      <w:r w:rsidR="00E87703" w:rsidRPr="004278AA">
        <w:rPr>
          <w:rFonts w:ascii="Times New Roman" w:hAnsi="Times New Roman"/>
          <w:sz w:val="24"/>
          <w:szCs w:val="24"/>
        </w:rPr>
        <w:t xml:space="preserve">Figure </w:t>
      </w:r>
      <w:r w:rsidR="00E87703" w:rsidRPr="004278AA">
        <w:rPr>
          <w:rFonts w:ascii="Times New Roman" w:hAnsi="Times New Roman"/>
          <w:noProof/>
          <w:sz w:val="24"/>
          <w:szCs w:val="24"/>
        </w:rPr>
        <w:t>1</w:t>
      </w:r>
      <w:r w:rsidR="00E87703" w:rsidRPr="004278AA">
        <w:rPr>
          <w:rFonts w:ascii="Times New Roman" w:hAnsi="Times New Roman"/>
          <w:sz w:val="24"/>
          <w:szCs w:val="24"/>
        </w:rPr>
        <w:fldChar w:fldCharType="end"/>
      </w:r>
      <w:r w:rsidR="00E87703" w:rsidRPr="004278AA">
        <w:rPr>
          <w:rFonts w:ascii="Times New Roman" w:hAnsi="Times New Roman"/>
          <w:sz w:val="24"/>
          <w:szCs w:val="24"/>
        </w:rPr>
        <w:t>B</w:t>
      </w:r>
      <w:r w:rsidR="002C5FB9" w:rsidRPr="004278AA">
        <w:rPr>
          <w:rFonts w:ascii="Times New Roman" w:hAnsi="Times New Roman"/>
          <w:sz w:val="24"/>
          <w:szCs w:val="24"/>
        </w:rPr>
        <w:t xml:space="preserve"> illustrates that women, contrasting with the male groups, demonstrated no significant 12-month seasonality in younger age groups (5-14,15-24,25-34 year olds). </w:t>
      </w:r>
      <w:r w:rsidR="00063A79" w:rsidRPr="004278AA">
        <w:rPr>
          <w:rFonts w:ascii="Times New Roman" w:hAnsi="Times New Roman"/>
          <w:sz w:val="24"/>
          <w:szCs w:val="24"/>
        </w:rPr>
        <w:t>A</w:t>
      </w:r>
      <w:r w:rsidR="002C5FB9" w:rsidRPr="004278AA">
        <w:rPr>
          <w:rFonts w:ascii="Times New Roman" w:hAnsi="Times New Roman"/>
          <w:sz w:val="24"/>
          <w:szCs w:val="24"/>
        </w:rPr>
        <w:t xml:space="preserve"> constant 6-month seasonality was present in 5-14, 25-34, 35-44, and 45-54 age groups.</w:t>
      </w:r>
      <w:r w:rsidR="00940052" w:rsidRPr="004278AA">
        <w:rPr>
          <w:rFonts w:ascii="Times New Roman" w:hAnsi="Times New Roman"/>
          <w:sz w:val="24"/>
          <w:szCs w:val="24"/>
        </w:rPr>
        <w:t xml:space="preserve"> 0-4 </w:t>
      </w:r>
      <w:r w:rsidR="00E07717" w:rsidRPr="004278AA">
        <w:rPr>
          <w:rFonts w:ascii="Times New Roman" w:hAnsi="Times New Roman"/>
          <w:sz w:val="24"/>
          <w:szCs w:val="24"/>
        </w:rPr>
        <w:t xml:space="preserve">years </w:t>
      </w:r>
      <w:r w:rsidR="00940052" w:rsidRPr="004278AA">
        <w:rPr>
          <w:rFonts w:ascii="Times New Roman" w:hAnsi="Times New Roman"/>
          <w:sz w:val="24"/>
          <w:szCs w:val="24"/>
        </w:rPr>
        <w:t>in both sexes</w:t>
      </w:r>
      <w:r w:rsidR="00E07717" w:rsidRPr="004278AA">
        <w:rPr>
          <w:rFonts w:ascii="Times New Roman" w:hAnsi="Times New Roman"/>
          <w:sz w:val="24"/>
          <w:szCs w:val="24"/>
        </w:rPr>
        <w:t>, and for 15-24</w:t>
      </w:r>
      <w:r w:rsidR="00940052" w:rsidRPr="004278AA">
        <w:rPr>
          <w:rFonts w:ascii="Times New Roman" w:hAnsi="Times New Roman"/>
          <w:sz w:val="24"/>
          <w:szCs w:val="24"/>
        </w:rPr>
        <w:t xml:space="preserve"> </w:t>
      </w:r>
      <w:r w:rsidR="00E07717" w:rsidRPr="004278AA">
        <w:rPr>
          <w:rFonts w:ascii="Times New Roman" w:hAnsi="Times New Roman"/>
          <w:sz w:val="24"/>
          <w:szCs w:val="24"/>
        </w:rPr>
        <w:t xml:space="preserve">women, </w:t>
      </w:r>
      <w:r w:rsidR="0002565E" w:rsidRPr="004278AA">
        <w:rPr>
          <w:rFonts w:ascii="Times New Roman" w:hAnsi="Times New Roman"/>
          <w:sz w:val="24"/>
          <w:szCs w:val="24"/>
        </w:rPr>
        <w:t xml:space="preserve">exhibited notable behaviour, as the time series began with significant 12-month seasonality, which then disappeared in the second half of each. </w:t>
      </w:r>
    </w:p>
    <w:p w14:paraId="12562EB8" w14:textId="77777777" w:rsidR="0071189E" w:rsidRPr="004278AA" w:rsidRDefault="0071189E" w:rsidP="00B3245F">
      <w:pPr>
        <w:spacing w:line="480" w:lineRule="auto"/>
        <w:rPr>
          <w:rFonts w:ascii="Times New Roman" w:hAnsi="Times New Roman"/>
          <w:sz w:val="24"/>
          <w:szCs w:val="24"/>
        </w:rPr>
      </w:pPr>
    </w:p>
    <w:p w14:paraId="2817DA1E" w14:textId="0EE8648D" w:rsidR="00975FF9" w:rsidRPr="004278AA" w:rsidRDefault="00A96F0F" w:rsidP="00B3245F">
      <w:pPr>
        <w:spacing w:line="480" w:lineRule="auto"/>
        <w:rPr>
          <w:rFonts w:ascii="Times New Roman" w:hAnsi="Times New Roman"/>
          <w:sz w:val="24"/>
          <w:szCs w:val="24"/>
        </w:rPr>
      </w:pPr>
      <w:r w:rsidRPr="004278AA">
        <w:rPr>
          <w:rFonts w:ascii="Times New Roman" w:hAnsi="Times New Roman"/>
          <w:sz w:val="24"/>
          <w:szCs w:val="24"/>
        </w:rPr>
        <w:t xml:space="preserve">The results of </w:t>
      </w:r>
      <w:r w:rsidR="00752EE1">
        <w:rPr>
          <w:rFonts w:ascii="Times New Roman" w:hAnsi="Times New Roman"/>
          <w:sz w:val="24"/>
          <w:szCs w:val="24"/>
        </w:rPr>
        <w:t>the centre of gravity analysis</w:t>
      </w:r>
      <w:r w:rsidRPr="004278AA">
        <w:rPr>
          <w:rFonts w:ascii="Times New Roman" w:hAnsi="Times New Roman"/>
          <w:sz w:val="24"/>
          <w:szCs w:val="24"/>
        </w:rPr>
        <w:t xml:space="preserve"> are plotted</w:t>
      </w:r>
      <w:r w:rsidR="002C5FB9" w:rsidRPr="004278AA">
        <w:rPr>
          <w:rFonts w:ascii="Times New Roman" w:hAnsi="Times New Roman"/>
          <w:sz w:val="24"/>
          <w:szCs w:val="24"/>
        </w:rPr>
        <w:t xml:space="preserve"> in</w:t>
      </w:r>
      <w:r w:rsidR="00F911E8" w:rsidRPr="004278AA">
        <w:rPr>
          <w:rFonts w:ascii="Times New Roman" w:hAnsi="Times New Roman"/>
          <w:sz w:val="24"/>
          <w:szCs w:val="24"/>
        </w:rPr>
        <w:t xml:space="preserve"> </w:t>
      </w:r>
      <w:r w:rsidR="00F911E8" w:rsidRPr="004278AA">
        <w:rPr>
          <w:rFonts w:ascii="Times New Roman" w:hAnsi="Times New Roman"/>
          <w:sz w:val="24"/>
          <w:szCs w:val="24"/>
        </w:rPr>
        <w:fldChar w:fldCharType="begin"/>
      </w:r>
      <w:r w:rsidR="00F911E8" w:rsidRPr="004278AA">
        <w:rPr>
          <w:rFonts w:ascii="Times New Roman" w:hAnsi="Times New Roman"/>
          <w:sz w:val="24"/>
          <w:szCs w:val="24"/>
        </w:rPr>
        <w:instrText xml:space="preserve"> REF _Ref468360164 \h  \* MERGEFORMAT </w:instrText>
      </w:r>
      <w:r w:rsidR="00F911E8" w:rsidRPr="004278AA">
        <w:rPr>
          <w:rFonts w:ascii="Times New Roman" w:hAnsi="Times New Roman"/>
          <w:sz w:val="24"/>
          <w:szCs w:val="24"/>
        </w:rPr>
      </w:r>
      <w:r w:rsidR="00F911E8" w:rsidRPr="004278AA">
        <w:rPr>
          <w:rFonts w:ascii="Times New Roman" w:hAnsi="Times New Roman"/>
          <w:sz w:val="24"/>
          <w:szCs w:val="24"/>
        </w:rPr>
        <w:fldChar w:fldCharType="separate"/>
      </w:r>
      <w:r w:rsidR="00600EE4" w:rsidRPr="004278AA">
        <w:rPr>
          <w:rFonts w:ascii="Times New Roman" w:hAnsi="Times New Roman"/>
          <w:sz w:val="24"/>
          <w:szCs w:val="24"/>
        </w:rPr>
        <w:t>f</w:t>
      </w:r>
      <w:r w:rsidR="00F911E8" w:rsidRPr="004278AA">
        <w:rPr>
          <w:rFonts w:ascii="Times New Roman" w:hAnsi="Times New Roman"/>
          <w:sz w:val="24"/>
          <w:szCs w:val="24"/>
        </w:rPr>
        <w:t xml:space="preserve">igure </w:t>
      </w:r>
      <w:r w:rsidR="00F911E8" w:rsidRPr="004278AA">
        <w:rPr>
          <w:rFonts w:ascii="Times New Roman" w:hAnsi="Times New Roman"/>
          <w:noProof/>
          <w:sz w:val="24"/>
          <w:szCs w:val="24"/>
        </w:rPr>
        <w:t>2</w:t>
      </w:r>
      <w:r w:rsidR="00F911E8" w:rsidRPr="004278AA">
        <w:rPr>
          <w:rFonts w:ascii="Times New Roman" w:hAnsi="Times New Roman"/>
          <w:sz w:val="24"/>
          <w:szCs w:val="24"/>
        </w:rPr>
        <w:fldChar w:fldCharType="end"/>
      </w:r>
      <w:r w:rsidR="00E30382" w:rsidRPr="004278AA">
        <w:rPr>
          <w:rFonts w:ascii="Times New Roman" w:hAnsi="Times New Roman"/>
          <w:sz w:val="24"/>
          <w:szCs w:val="24"/>
        </w:rPr>
        <w:t xml:space="preserve"> and </w:t>
      </w:r>
      <w:r w:rsidR="000E084E">
        <w:rPr>
          <w:rFonts w:ascii="Times New Roman" w:hAnsi="Times New Roman"/>
          <w:sz w:val="24"/>
          <w:szCs w:val="24"/>
        </w:rPr>
        <w:t xml:space="preserve">summarised </w:t>
      </w:r>
      <w:r w:rsidR="00E30382" w:rsidRPr="004278AA">
        <w:rPr>
          <w:rFonts w:ascii="Times New Roman" w:hAnsi="Times New Roman"/>
          <w:sz w:val="24"/>
          <w:szCs w:val="24"/>
        </w:rPr>
        <w:t>in table 1</w:t>
      </w:r>
      <w:r w:rsidR="0096284F">
        <w:rPr>
          <w:rFonts w:ascii="Times New Roman" w:hAnsi="Times New Roman"/>
          <w:sz w:val="24"/>
          <w:szCs w:val="24"/>
        </w:rPr>
        <w:t xml:space="preserve">. </w:t>
      </w:r>
      <w:r w:rsidR="00D31264">
        <w:rPr>
          <w:rFonts w:ascii="Times New Roman" w:hAnsi="Times New Roman"/>
          <w:sz w:val="24"/>
          <w:szCs w:val="24"/>
        </w:rPr>
        <w:t xml:space="preserve">Men </w:t>
      </w:r>
      <w:r w:rsidR="002C5FB9" w:rsidRPr="004278AA">
        <w:rPr>
          <w:rFonts w:ascii="Times New Roman" w:hAnsi="Times New Roman"/>
          <w:sz w:val="24"/>
          <w:szCs w:val="24"/>
        </w:rPr>
        <w:t>45</w:t>
      </w:r>
      <w:r w:rsidR="001B6E57">
        <w:rPr>
          <w:rFonts w:ascii="Times New Roman" w:hAnsi="Times New Roman"/>
          <w:sz w:val="24"/>
          <w:szCs w:val="24"/>
        </w:rPr>
        <w:t>-54</w:t>
      </w:r>
      <w:r w:rsidR="002C5FB9" w:rsidRPr="004278AA">
        <w:rPr>
          <w:rFonts w:ascii="Times New Roman" w:hAnsi="Times New Roman"/>
          <w:sz w:val="24"/>
          <w:szCs w:val="24"/>
        </w:rPr>
        <w:t xml:space="preserve"> </w:t>
      </w:r>
      <w:r w:rsidR="0007673F" w:rsidRPr="004278AA">
        <w:rPr>
          <w:rFonts w:ascii="Times New Roman" w:hAnsi="Times New Roman"/>
          <w:sz w:val="24"/>
          <w:szCs w:val="24"/>
        </w:rPr>
        <w:t xml:space="preserve">years and above </w:t>
      </w:r>
      <w:r w:rsidR="00D31264">
        <w:rPr>
          <w:rFonts w:ascii="Times New Roman" w:hAnsi="Times New Roman"/>
          <w:sz w:val="24"/>
          <w:szCs w:val="24"/>
        </w:rPr>
        <w:t xml:space="preserve">and women 35-44 years and above </w:t>
      </w:r>
      <w:r w:rsidR="00D64A46">
        <w:rPr>
          <w:rFonts w:ascii="Times New Roman" w:hAnsi="Times New Roman"/>
          <w:sz w:val="24"/>
          <w:szCs w:val="24"/>
        </w:rPr>
        <w:t xml:space="preserve">exhibited </w:t>
      </w:r>
      <w:r w:rsidR="002C5FB9" w:rsidRPr="004278AA">
        <w:rPr>
          <w:rFonts w:ascii="Times New Roman" w:hAnsi="Times New Roman"/>
          <w:sz w:val="24"/>
          <w:szCs w:val="24"/>
        </w:rPr>
        <w:t>a</w:t>
      </w:r>
      <w:r w:rsidR="004E7E7C" w:rsidRPr="004278AA">
        <w:rPr>
          <w:rFonts w:ascii="Times New Roman" w:hAnsi="Times New Roman"/>
          <w:sz w:val="24"/>
          <w:szCs w:val="24"/>
        </w:rPr>
        <w:t xml:space="preserve"> maximum mortality in the January/February</w:t>
      </w:r>
      <w:r w:rsidR="002A70F9" w:rsidRPr="004278AA">
        <w:rPr>
          <w:rFonts w:ascii="Times New Roman" w:hAnsi="Times New Roman"/>
          <w:sz w:val="24"/>
          <w:szCs w:val="24"/>
        </w:rPr>
        <w:t xml:space="preserve">, </w:t>
      </w:r>
      <w:r w:rsidR="002C5FB9" w:rsidRPr="004278AA">
        <w:rPr>
          <w:rFonts w:ascii="Times New Roman" w:hAnsi="Times New Roman"/>
          <w:sz w:val="24"/>
          <w:szCs w:val="24"/>
        </w:rPr>
        <w:t>with a minimum i</w:t>
      </w:r>
      <w:r w:rsidR="004E7E7C" w:rsidRPr="004278AA">
        <w:rPr>
          <w:rFonts w:ascii="Times New Roman" w:hAnsi="Times New Roman"/>
          <w:sz w:val="24"/>
          <w:szCs w:val="24"/>
        </w:rPr>
        <w:t xml:space="preserve">n </w:t>
      </w:r>
      <w:r w:rsidR="00D71354" w:rsidRPr="004278AA">
        <w:rPr>
          <w:rFonts w:ascii="Times New Roman" w:hAnsi="Times New Roman"/>
          <w:sz w:val="24"/>
          <w:szCs w:val="24"/>
        </w:rPr>
        <w:t>July/August</w:t>
      </w:r>
      <w:r w:rsidR="00FB1825" w:rsidRPr="004278AA">
        <w:rPr>
          <w:rFonts w:ascii="Times New Roman" w:hAnsi="Times New Roman"/>
          <w:sz w:val="24"/>
          <w:szCs w:val="24"/>
        </w:rPr>
        <w:t>.</w:t>
      </w:r>
    </w:p>
    <w:p w14:paraId="5753A1AE" w14:textId="77777777" w:rsidR="00365562" w:rsidRPr="004278AA" w:rsidRDefault="00365562" w:rsidP="00B3245F">
      <w:pPr>
        <w:spacing w:line="480" w:lineRule="auto"/>
        <w:rPr>
          <w:rFonts w:ascii="Times New Roman" w:hAnsi="Times New Roman"/>
          <w:sz w:val="24"/>
          <w:szCs w:val="24"/>
        </w:rPr>
      </w:pPr>
    </w:p>
    <w:p w14:paraId="4B7BC55B" w14:textId="194F1793" w:rsidR="002C5FB9" w:rsidRPr="004278AA" w:rsidRDefault="002A70F9" w:rsidP="00B3245F">
      <w:pPr>
        <w:spacing w:line="480" w:lineRule="auto"/>
        <w:rPr>
          <w:rFonts w:ascii="Times New Roman" w:hAnsi="Times New Roman"/>
          <w:sz w:val="24"/>
          <w:szCs w:val="24"/>
        </w:rPr>
      </w:pPr>
      <w:r w:rsidRPr="004278AA">
        <w:rPr>
          <w:rFonts w:ascii="Times New Roman" w:hAnsi="Times New Roman"/>
          <w:sz w:val="24"/>
          <w:szCs w:val="24"/>
        </w:rPr>
        <w:t>T</w:t>
      </w:r>
      <w:r w:rsidR="002C5FB9" w:rsidRPr="004278AA">
        <w:rPr>
          <w:rFonts w:ascii="Times New Roman" w:hAnsi="Times New Roman"/>
          <w:sz w:val="24"/>
          <w:szCs w:val="24"/>
        </w:rPr>
        <w:t>he converse was true for younger men who possessed significant 12-month seasonality (5-14, 25-34, 25-34), where the peak of mo</w:t>
      </w:r>
      <w:r w:rsidR="00CE64B3" w:rsidRPr="004278AA">
        <w:rPr>
          <w:rFonts w:ascii="Times New Roman" w:hAnsi="Times New Roman"/>
          <w:sz w:val="24"/>
          <w:szCs w:val="24"/>
        </w:rPr>
        <w:t>rtality occurred in June/July</w:t>
      </w:r>
      <w:r w:rsidR="002C5FB9" w:rsidRPr="004278AA">
        <w:rPr>
          <w:rFonts w:ascii="Times New Roman" w:hAnsi="Times New Roman"/>
          <w:sz w:val="24"/>
          <w:szCs w:val="24"/>
        </w:rPr>
        <w:t>, with the minimum in the winter (December/January). The timing of 0-4 year olds for both sexes followed the same pattern as each other,</w:t>
      </w:r>
      <w:r w:rsidR="00AD3DC6" w:rsidRPr="004278AA">
        <w:rPr>
          <w:rFonts w:ascii="Times New Roman" w:hAnsi="Times New Roman"/>
          <w:sz w:val="24"/>
          <w:szCs w:val="24"/>
        </w:rPr>
        <w:t xml:space="preserve"> with maximum mortality in February and minimum in August,</w:t>
      </w:r>
      <w:r w:rsidR="002C5FB9" w:rsidRPr="004278AA">
        <w:rPr>
          <w:rFonts w:ascii="Times New Roman" w:hAnsi="Times New Roman"/>
          <w:sz w:val="24"/>
          <w:szCs w:val="24"/>
        </w:rPr>
        <w:t xml:space="preserve"> indicating no significant difference between sexes at that stage in life.</w:t>
      </w:r>
    </w:p>
    <w:p w14:paraId="1C831676" w14:textId="77777777" w:rsidR="00820F50" w:rsidRPr="004278AA" w:rsidRDefault="00820F50" w:rsidP="00B3245F">
      <w:pPr>
        <w:spacing w:line="480" w:lineRule="auto"/>
        <w:rPr>
          <w:rFonts w:ascii="Times New Roman" w:hAnsi="Times New Roman"/>
          <w:sz w:val="24"/>
          <w:szCs w:val="24"/>
        </w:rPr>
      </w:pPr>
    </w:p>
    <w:p w14:paraId="552EB403" w14:textId="26296AA6" w:rsidR="002C5FB9" w:rsidRPr="004278AA" w:rsidRDefault="002C5FB9" w:rsidP="00B3245F">
      <w:pPr>
        <w:spacing w:line="480" w:lineRule="auto"/>
        <w:rPr>
          <w:rFonts w:ascii="Times New Roman" w:hAnsi="Times New Roman"/>
          <w:sz w:val="24"/>
          <w:szCs w:val="24"/>
        </w:rPr>
      </w:pPr>
      <w:r w:rsidRPr="004278AA">
        <w:rPr>
          <w:rFonts w:ascii="Times New Roman" w:hAnsi="Times New Roman"/>
          <w:sz w:val="24"/>
          <w:szCs w:val="24"/>
        </w:rPr>
        <w:t>For the national age-sex groups which demonstrated significant 12-month seasonality, we were interested in how the difference between maximum and minimum mortality within a year had changed from 1982 to 2013. We fitted a linear regression to the seasonal excess (the percentage difference between maximum and minimum mortality within a year) against year for the significant age-sex groups. The results, plotted in</w:t>
      </w:r>
      <w:r w:rsidR="00600EE4" w:rsidRPr="004278AA">
        <w:rPr>
          <w:rFonts w:ascii="Times New Roman" w:hAnsi="Times New Roman"/>
          <w:sz w:val="24"/>
          <w:szCs w:val="24"/>
        </w:rPr>
        <w:t xml:space="preserve"> </w:t>
      </w:r>
      <w:r w:rsidR="00600EE4" w:rsidRPr="004278AA">
        <w:rPr>
          <w:rFonts w:ascii="Times New Roman" w:hAnsi="Times New Roman"/>
          <w:sz w:val="24"/>
          <w:szCs w:val="24"/>
        </w:rPr>
        <w:fldChar w:fldCharType="begin"/>
      </w:r>
      <w:r w:rsidR="00600EE4" w:rsidRPr="004278AA">
        <w:rPr>
          <w:rFonts w:ascii="Times New Roman" w:hAnsi="Times New Roman"/>
          <w:sz w:val="24"/>
          <w:szCs w:val="24"/>
        </w:rPr>
        <w:instrText xml:space="preserve"> REF _Ref468360496 \h  \* MERGEFORMAT </w:instrText>
      </w:r>
      <w:r w:rsidR="00600EE4" w:rsidRPr="004278AA">
        <w:rPr>
          <w:rFonts w:ascii="Times New Roman" w:hAnsi="Times New Roman"/>
          <w:sz w:val="24"/>
          <w:szCs w:val="24"/>
        </w:rPr>
      </w:r>
      <w:r w:rsidR="00600EE4" w:rsidRPr="004278AA">
        <w:rPr>
          <w:rFonts w:ascii="Times New Roman" w:hAnsi="Times New Roman"/>
          <w:sz w:val="24"/>
          <w:szCs w:val="24"/>
        </w:rPr>
        <w:fldChar w:fldCharType="separate"/>
      </w:r>
      <w:r w:rsidR="00600EE4" w:rsidRPr="004278AA">
        <w:rPr>
          <w:rFonts w:ascii="Times New Roman" w:hAnsi="Times New Roman"/>
          <w:sz w:val="24"/>
          <w:szCs w:val="24"/>
        </w:rPr>
        <w:t xml:space="preserve">figure </w:t>
      </w:r>
      <w:r w:rsidR="00600EE4" w:rsidRPr="004278AA">
        <w:rPr>
          <w:rFonts w:ascii="Times New Roman" w:hAnsi="Times New Roman"/>
          <w:noProof/>
          <w:sz w:val="24"/>
          <w:szCs w:val="24"/>
        </w:rPr>
        <w:t>3</w:t>
      </w:r>
      <w:r w:rsidR="00600EE4" w:rsidRPr="004278AA">
        <w:rPr>
          <w:rFonts w:ascii="Times New Roman" w:hAnsi="Times New Roman"/>
          <w:sz w:val="24"/>
          <w:szCs w:val="24"/>
        </w:rPr>
        <w:fldChar w:fldCharType="end"/>
      </w:r>
      <w:r w:rsidR="000920C6" w:rsidRPr="004278AA">
        <w:rPr>
          <w:rFonts w:ascii="Times New Roman" w:hAnsi="Times New Roman"/>
          <w:sz w:val="24"/>
          <w:szCs w:val="24"/>
        </w:rPr>
        <w:t xml:space="preserve"> and summarised in table 2</w:t>
      </w:r>
      <w:r w:rsidRPr="004278AA">
        <w:rPr>
          <w:rFonts w:ascii="Times New Roman" w:hAnsi="Times New Roman"/>
          <w:sz w:val="24"/>
          <w:szCs w:val="24"/>
        </w:rPr>
        <w:t>, demonstrate that older groups (45 and older</w:t>
      </w:r>
      <w:r w:rsidR="001D20EA" w:rsidRPr="004278AA">
        <w:rPr>
          <w:rFonts w:ascii="Times New Roman" w:hAnsi="Times New Roman"/>
          <w:sz w:val="24"/>
          <w:szCs w:val="24"/>
        </w:rPr>
        <w:t xml:space="preserve">, except for 45-54 </w:t>
      </w:r>
      <w:r w:rsidR="00BA2E2C" w:rsidRPr="004278AA">
        <w:rPr>
          <w:rFonts w:ascii="Times New Roman" w:hAnsi="Times New Roman"/>
          <w:sz w:val="24"/>
          <w:szCs w:val="24"/>
        </w:rPr>
        <w:t xml:space="preserve">(8.8% to 4.8%) </w:t>
      </w:r>
      <w:r w:rsidR="001D20EA" w:rsidRPr="004278AA">
        <w:rPr>
          <w:rFonts w:ascii="Times New Roman" w:hAnsi="Times New Roman"/>
          <w:sz w:val="24"/>
          <w:szCs w:val="24"/>
        </w:rPr>
        <w:t>m</w:t>
      </w:r>
      <w:r w:rsidR="00D773DD" w:rsidRPr="004278AA">
        <w:rPr>
          <w:rFonts w:ascii="Times New Roman" w:hAnsi="Times New Roman"/>
          <w:sz w:val="24"/>
          <w:szCs w:val="24"/>
        </w:rPr>
        <w:t>en</w:t>
      </w:r>
      <w:r w:rsidRPr="004278AA">
        <w:rPr>
          <w:rFonts w:ascii="Times New Roman" w:hAnsi="Times New Roman"/>
          <w:sz w:val="24"/>
          <w:szCs w:val="24"/>
        </w:rPr>
        <w:t>) in both sexes have exhibited no significant change in seasonal excess. Younger age groups, particularly 5-14</w:t>
      </w:r>
      <w:r w:rsidR="00BA2E2C" w:rsidRPr="004278AA">
        <w:rPr>
          <w:rFonts w:ascii="Times New Roman" w:hAnsi="Times New Roman"/>
          <w:sz w:val="24"/>
          <w:szCs w:val="24"/>
        </w:rPr>
        <w:t xml:space="preserve"> (</w:t>
      </w:r>
      <w:r w:rsidR="00CB2B62" w:rsidRPr="004278AA">
        <w:rPr>
          <w:rFonts w:ascii="Times New Roman" w:hAnsi="Times New Roman"/>
          <w:sz w:val="24"/>
          <w:szCs w:val="24"/>
        </w:rPr>
        <w:t>39.2%</w:t>
      </w:r>
      <w:r w:rsidR="00981FCD" w:rsidRPr="004278AA">
        <w:rPr>
          <w:rFonts w:ascii="Times New Roman" w:hAnsi="Times New Roman"/>
          <w:sz w:val="24"/>
          <w:szCs w:val="24"/>
        </w:rPr>
        <w:t xml:space="preserve"> to</w:t>
      </w:r>
      <w:r w:rsidR="00CB2B62" w:rsidRPr="004278AA">
        <w:rPr>
          <w:rFonts w:ascii="Times New Roman" w:hAnsi="Times New Roman"/>
          <w:sz w:val="24"/>
          <w:szCs w:val="24"/>
        </w:rPr>
        <w:t xml:space="preserve"> 12.6%</w:t>
      </w:r>
      <w:r w:rsidR="00BA2E2C" w:rsidRPr="004278AA">
        <w:rPr>
          <w:rFonts w:ascii="Times New Roman" w:hAnsi="Times New Roman"/>
          <w:sz w:val="24"/>
          <w:szCs w:val="24"/>
        </w:rPr>
        <w:t>)</w:t>
      </w:r>
      <w:r w:rsidRPr="004278AA">
        <w:rPr>
          <w:rFonts w:ascii="Times New Roman" w:hAnsi="Times New Roman"/>
          <w:sz w:val="24"/>
          <w:szCs w:val="24"/>
        </w:rPr>
        <w:t>, 15-24</w:t>
      </w:r>
      <w:r w:rsidR="00BA2E2C" w:rsidRPr="004278AA">
        <w:rPr>
          <w:rFonts w:ascii="Times New Roman" w:hAnsi="Times New Roman"/>
          <w:sz w:val="24"/>
          <w:szCs w:val="24"/>
        </w:rPr>
        <w:t xml:space="preserve"> (</w:t>
      </w:r>
      <w:r w:rsidR="006A2543" w:rsidRPr="004278AA">
        <w:rPr>
          <w:rFonts w:ascii="Times New Roman" w:hAnsi="Times New Roman"/>
          <w:sz w:val="24"/>
          <w:szCs w:val="24"/>
        </w:rPr>
        <w:t>37.1%</w:t>
      </w:r>
      <w:r w:rsidR="00981FCD" w:rsidRPr="004278AA">
        <w:rPr>
          <w:rFonts w:ascii="Times New Roman" w:hAnsi="Times New Roman"/>
          <w:sz w:val="24"/>
          <w:szCs w:val="24"/>
        </w:rPr>
        <w:t xml:space="preserve"> to </w:t>
      </w:r>
      <w:r w:rsidR="006A2543" w:rsidRPr="004278AA">
        <w:rPr>
          <w:rFonts w:ascii="Times New Roman" w:hAnsi="Times New Roman"/>
          <w:sz w:val="24"/>
          <w:szCs w:val="24"/>
        </w:rPr>
        <w:t>12.5%</w:t>
      </w:r>
      <w:r w:rsidR="00BA2E2C" w:rsidRPr="004278AA">
        <w:rPr>
          <w:rFonts w:ascii="Times New Roman" w:hAnsi="Times New Roman"/>
          <w:sz w:val="24"/>
          <w:szCs w:val="24"/>
        </w:rPr>
        <w:t>)</w:t>
      </w:r>
      <w:r w:rsidRPr="004278AA">
        <w:rPr>
          <w:rFonts w:ascii="Times New Roman" w:hAnsi="Times New Roman"/>
          <w:sz w:val="24"/>
          <w:szCs w:val="24"/>
        </w:rPr>
        <w:t>, 25-34</w:t>
      </w:r>
      <w:r w:rsidR="00BA2E2C" w:rsidRPr="004278AA">
        <w:rPr>
          <w:rFonts w:ascii="Times New Roman" w:hAnsi="Times New Roman"/>
          <w:sz w:val="24"/>
          <w:szCs w:val="24"/>
        </w:rPr>
        <w:t xml:space="preserve"> (</w:t>
      </w:r>
      <w:r w:rsidR="009B07E8" w:rsidRPr="004278AA">
        <w:rPr>
          <w:rFonts w:ascii="Times New Roman" w:hAnsi="Times New Roman"/>
          <w:sz w:val="24"/>
          <w:szCs w:val="24"/>
        </w:rPr>
        <w:t xml:space="preserve">14.6% </w:t>
      </w:r>
      <w:r w:rsidR="00981FCD" w:rsidRPr="004278AA">
        <w:rPr>
          <w:rFonts w:ascii="Times New Roman" w:hAnsi="Times New Roman"/>
          <w:sz w:val="24"/>
          <w:szCs w:val="24"/>
        </w:rPr>
        <w:t xml:space="preserve">to </w:t>
      </w:r>
      <w:r w:rsidR="009B07E8" w:rsidRPr="004278AA">
        <w:rPr>
          <w:rFonts w:ascii="Times New Roman" w:hAnsi="Times New Roman"/>
          <w:sz w:val="24"/>
          <w:szCs w:val="24"/>
        </w:rPr>
        <w:t>7.3%</w:t>
      </w:r>
      <w:r w:rsidR="00BA2E2C" w:rsidRPr="004278AA">
        <w:rPr>
          <w:rFonts w:ascii="Times New Roman" w:hAnsi="Times New Roman"/>
          <w:sz w:val="24"/>
          <w:szCs w:val="24"/>
        </w:rPr>
        <w:t>)</w:t>
      </w:r>
      <w:r w:rsidRPr="004278AA">
        <w:rPr>
          <w:rFonts w:ascii="Times New Roman" w:hAnsi="Times New Roman"/>
          <w:sz w:val="24"/>
          <w:szCs w:val="24"/>
        </w:rPr>
        <w:t xml:space="preserve"> men, exhibit a </w:t>
      </w:r>
      <w:r w:rsidR="00B13E9E" w:rsidRPr="004278AA">
        <w:rPr>
          <w:rFonts w:ascii="Times New Roman" w:hAnsi="Times New Roman"/>
          <w:sz w:val="24"/>
          <w:szCs w:val="24"/>
        </w:rPr>
        <w:t xml:space="preserve">statistically </w:t>
      </w:r>
      <w:r w:rsidRPr="004278AA">
        <w:rPr>
          <w:rFonts w:ascii="Times New Roman" w:hAnsi="Times New Roman"/>
          <w:sz w:val="24"/>
          <w:szCs w:val="24"/>
        </w:rPr>
        <w:t xml:space="preserve">significant decline of seasonality during the </w:t>
      </w:r>
      <w:r w:rsidR="00793D6E" w:rsidRPr="004278AA">
        <w:rPr>
          <w:rFonts w:ascii="Times New Roman" w:hAnsi="Times New Roman"/>
          <w:sz w:val="24"/>
          <w:szCs w:val="24"/>
        </w:rPr>
        <w:t>period of study</w:t>
      </w:r>
      <w:r w:rsidR="00B13E9E" w:rsidRPr="004278AA">
        <w:rPr>
          <w:rFonts w:ascii="Times New Roman" w:hAnsi="Times New Roman"/>
          <w:sz w:val="24"/>
          <w:szCs w:val="24"/>
        </w:rPr>
        <w:t>.</w:t>
      </w:r>
    </w:p>
    <w:p w14:paraId="33EF8EAD" w14:textId="77777777" w:rsidR="00857C52" w:rsidRPr="004278AA" w:rsidRDefault="00857C52" w:rsidP="00B3245F">
      <w:pPr>
        <w:spacing w:line="480" w:lineRule="auto"/>
        <w:rPr>
          <w:rFonts w:ascii="Times New Roman" w:hAnsi="Times New Roman"/>
          <w:sz w:val="24"/>
          <w:szCs w:val="24"/>
        </w:rPr>
      </w:pPr>
    </w:p>
    <w:p w14:paraId="2634D1DE" w14:textId="30F3DBA4" w:rsidR="002C5FB9" w:rsidRPr="004278AA" w:rsidRDefault="002C5FB9" w:rsidP="00B3245F">
      <w:pPr>
        <w:spacing w:line="480" w:lineRule="auto"/>
        <w:rPr>
          <w:rFonts w:ascii="Times New Roman" w:hAnsi="Times New Roman"/>
          <w:sz w:val="24"/>
          <w:szCs w:val="24"/>
        </w:rPr>
      </w:pPr>
      <w:r w:rsidRPr="004278AA">
        <w:rPr>
          <w:rFonts w:ascii="Times New Roman" w:hAnsi="Times New Roman"/>
          <w:sz w:val="24"/>
          <w:szCs w:val="24"/>
        </w:rPr>
        <w:t>The national data were subdivided geographically by climate region, as described by the National Oceanic and Atmospheric Administration (NOAA).</w:t>
      </w:r>
      <w:r w:rsidR="00F6757E">
        <w:rPr>
          <w:rFonts w:ascii="Times New Roman" w:hAnsi="Times New Roman"/>
          <w:sz w:val="24"/>
          <w:szCs w:val="24"/>
        </w:rPr>
        <w:fldChar w:fldCharType="begin"/>
      </w:r>
      <w:r w:rsidR="00F6757E">
        <w:rPr>
          <w:rFonts w:ascii="Times New Roman" w:hAnsi="Times New Roman"/>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F6757E">
        <w:rPr>
          <w:rFonts w:ascii="Times New Roman" w:hAnsi="Times New Roman"/>
          <w:sz w:val="24"/>
          <w:szCs w:val="24"/>
        </w:rPr>
        <w:fldChar w:fldCharType="separate"/>
      </w:r>
      <w:r w:rsidR="00F6757E" w:rsidRPr="00F6757E">
        <w:rPr>
          <w:rFonts w:ascii="Times New Roman" w:hAnsi="Times New Roman"/>
          <w:noProof/>
          <w:sz w:val="24"/>
          <w:szCs w:val="24"/>
          <w:vertAlign w:val="superscript"/>
        </w:rPr>
        <w:t>27</w:t>
      </w:r>
      <w:r w:rsidR="00F6757E">
        <w:rPr>
          <w:rFonts w:ascii="Times New Roman" w:hAnsi="Times New Roman"/>
          <w:sz w:val="24"/>
          <w:szCs w:val="24"/>
        </w:rPr>
        <w:fldChar w:fldCharType="end"/>
      </w:r>
      <w:r w:rsidRPr="004278AA">
        <w:rPr>
          <w:rFonts w:ascii="Times New Roman" w:hAnsi="Times New Roman"/>
          <w:sz w:val="24"/>
          <w:szCs w:val="24"/>
        </w:rPr>
        <w:t xml:space="preserve"> </w:t>
      </w:r>
      <w:r w:rsidR="006758D4">
        <w:rPr>
          <w:rFonts w:ascii="Times New Roman" w:hAnsi="Times New Roman"/>
          <w:sz w:val="24"/>
          <w:szCs w:val="24"/>
        </w:rPr>
        <w:t xml:space="preserve">Results of a sub-national centre of gravity analysis are plotted on </w:t>
      </w:r>
      <w:r w:rsidR="006C0352" w:rsidRPr="004278AA">
        <w:rPr>
          <w:rFonts w:ascii="Times New Roman" w:hAnsi="Times New Roman"/>
          <w:sz w:val="24"/>
          <w:szCs w:val="24"/>
        </w:rPr>
        <w:t xml:space="preserve">figure 4. </w:t>
      </w:r>
      <w:r w:rsidR="006758D4">
        <w:rPr>
          <w:rFonts w:ascii="Times New Roman" w:hAnsi="Times New Roman"/>
          <w:sz w:val="24"/>
          <w:szCs w:val="24"/>
        </w:rPr>
        <w:t xml:space="preserve">This was performed </w:t>
      </w:r>
      <w:r w:rsidR="006758D4" w:rsidRPr="004278AA">
        <w:rPr>
          <w:rFonts w:ascii="Times New Roman" w:hAnsi="Times New Roman"/>
          <w:sz w:val="24"/>
          <w:szCs w:val="24"/>
        </w:rPr>
        <w:t xml:space="preserve">for groups which demonstrated significant </w:t>
      </w:r>
      <w:r w:rsidR="006758D4">
        <w:rPr>
          <w:rFonts w:ascii="Times New Roman" w:hAnsi="Times New Roman"/>
          <w:sz w:val="24"/>
          <w:szCs w:val="24"/>
        </w:rPr>
        <w:t>national 12-month seasonality</w:t>
      </w:r>
      <w:r w:rsidR="006758D4" w:rsidRPr="004278AA">
        <w:rPr>
          <w:rFonts w:ascii="Times New Roman" w:hAnsi="Times New Roman"/>
          <w:sz w:val="24"/>
          <w:szCs w:val="24"/>
        </w:rPr>
        <w:t xml:space="preserve">. The results of this are plotted as maps on </w:t>
      </w:r>
      <w:r w:rsidRPr="004278AA">
        <w:rPr>
          <w:rFonts w:ascii="Times New Roman" w:hAnsi="Times New Roman"/>
          <w:sz w:val="24"/>
          <w:szCs w:val="24"/>
        </w:rPr>
        <w:t xml:space="preserve">Hawaii was included in the West region, and Alaska in the Northwest region for </w:t>
      </w:r>
      <w:r w:rsidR="00184548" w:rsidRPr="004278AA">
        <w:rPr>
          <w:rFonts w:ascii="Times New Roman" w:hAnsi="Times New Roman"/>
          <w:sz w:val="24"/>
          <w:szCs w:val="24"/>
        </w:rPr>
        <w:t>the analysis</w:t>
      </w:r>
      <w:r w:rsidR="003324A5" w:rsidRPr="004278AA">
        <w:rPr>
          <w:rFonts w:ascii="Times New Roman" w:hAnsi="Times New Roman"/>
          <w:sz w:val="24"/>
          <w:szCs w:val="24"/>
        </w:rPr>
        <w:t>.</w:t>
      </w:r>
      <w:r w:rsidRPr="004278AA">
        <w:rPr>
          <w:rFonts w:ascii="Times New Roman" w:hAnsi="Times New Roman"/>
          <w:sz w:val="24"/>
          <w:szCs w:val="24"/>
        </w:rPr>
        <w:t xml:space="preserve"> The subnational patterns are con</w:t>
      </w:r>
      <w:r w:rsidR="003324A5" w:rsidRPr="004278AA">
        <w:rPr>
          <w:rFonts w:ascii="Times New Roman" w:hAnsi="Times New Roman"/>
          <w:sz w:val="24"/>
          <w:szCs w:val="24"/>
        </w:rPr>
        <w:t>s</w:t>
      </w:r>
      <w:r w:rsidR="004233BA" w:rsidRPr="004278AA">
        <w:rPr>
          <w:rFonts w:ascii="Times New Roman" w:hAnsi="Times New Roman"/>
          <w:sz w:val="24"/>
          <w:szCs w:val="24"/>
        </w:rPr>
        <w:t>istent with the national values</w:t>
      </w:r>
      <w:r w:rsidR="009F5D95" w:rsidRPr="004278AA">
        <w:rPr>
          <w:rFonts w:ascii="Times New Roman" w:hAnsi="Times New Roman"/>
          <w:sz w:val="24"/>
          <w:szCs w:val="24"/>
        </w:rPr>
        <w:t xml:space="preserve">, indicating </w:t>
      </w:r>
      <w:r w:rsidR="00EC42D2" w:rsidRPr="004278AA">
        <w:rPr>
          <w:rFonts w:ascii="Times New Roman" w:hAnsi="Times New Roman"/>
          <w:sz w:val="24"/>
          <w:szCs w:val="24"/>
        </w:rPr>
        <w:t xml:space="preserve">the timing of maximum and minimum mortality is </w:t>
      </w:r>
      <w:r w:rsidR="00593BFA" w:rsidRPr="004278AA">
        <w:rPr>
          <w:rFonts w:ascii="Times New Roman" w:hAnsi="Times New Roman"/>
          <w:sz w:val="24"/>
          <w:szCs w:val="24"/>
        </w:rPr>
        <w:t>l</w:t>
      </w:r>
      <w:r w:rsidR="00242781" w:rsidRPr="004278AA">
        <w:rPr>
          <w:rFonts w:ascii="Times New Roman" w:hAnsi="Times New Roman"/>
          <w:sz w:val="24"/>
          <w:szCs w:val="24"/>
        </w:rPr>
        <w:t>argely independent of geography</w:t>
      </w:r>
      <w:r w:rsidR="00BE2134" w:rsidRPr="004278AA">
        <w:rPr>
          <w:rFonts w:ascii="Times New Roman" w:hAnsi="Times New Roman"/>
          <w:sz w:val="24"/>
          <w:szCs w:val="24"/>
        </w:rPr>
        <w:t>.</w:t>
      </w:r>
      <w:r w:rsidR="002208C6" w:rsidRPr="004278AA">
        <w:rPr>
          <w:rFonts w:ascii="Times New Roman" w:hAnsi="Times New Roman"/>
          <w:sz w:val="24"/>
          <w:szCs w:val="24"/>
        </w:rPr>
        <w:t xml:space="preserve"> </w:t>
      </w:r>
    </w:p>
    <w:p w14:paraId="195B1677" w14:textId="53A155E9" w:rsidR="00665CC1" w:rsidRPr="004278AA" w:rsidRDefault="00665CC1" w:rsidP="00B3245F">
      <w:pPr>
        <w:keepNext/>
        <w:spacing w:line="480" w:lineRule="auto"/>
        <w:rPr>
          <w:rFonts w:ascii="Times New Roman" w:hAnsi="Times New Roman"/>
          <w:sz w:val="24"/>
          <w:szCs w:val="24"/>
        </w:rPr>
      </w:pPr>
    </w:p>
    <w:p w14:paraId="75D9DF51" w14:textId="38A038FB" w:rsidR="00803355" w:rsidRPr="004278AA" w:rsidRDefault="00242781" w:rsidP="00B3245F">
      <w:pPr>
        <w:spacing w:after="0" w:line="480" w:lineRule="auto"/>
        <w:rPr>
          <w:rFonts w:ascii="Times New Roman" w:hAnsi="Times New Roman"/>
          <w:sz w:val="24"/>
          <w:szCs w:val="24"/>
        </w:rPr>
      </w:pPr>
      <w:r w:rsidRPr="004278AA">
        <w:rPr>
          <w:rFonts w:ascii="Times New Roman" w:hAnsi="Times New Roman"/>
          <w:sz w:val="24"/>
          <w:szCs w:val="24"/>
        </w:rPr>
        <w:t>In sensitivity analyses, our results were robust to analytical choices</w:t>
      </w:r>
      <w:r w:rsidR="00650681" w:rsidRPr="004278AA">
        <w:rPr>
          <w:rFonts w:ascii="Times New Roman" w:hAnsi="Times New Roman"/>
          <w:sz w:val="24"/>
          <w:szCs w:val="24"/>
        </w:rPr>
        <w:t>: Comparing the average power spectra in the national wavelet analysis to a red- instead of white-noise spectrum did not result in any different significant 12-month seasonality</w:t>
      </w:r>
      <w:r w:rsidR="00717527" w:rsidRPr="004278AA">
        <w:rPr>
          <w:rFonts w:ascii="Times New Roman" w:hAnsi="Times New Roman"/>
          <w:sz w:val="24"/>
          <w:szCs w:val="24"/>
        </w:rPr>
        <w:t>.</w:t>
      </w:r>
      <w:r w:rsidR="003B29FF" w:rsidRPr="004278AA">
        <w:rPr>
          <w:rFonts w:ascii="Times New Roman" w:hAnsi="Times New Roman"/>
          <w:sz w:val="24"/>
          <w:szCs w:val="24"/>
        </w:rPr>
        <w:t xml:space="preserve"> Using death counts instead of death rates in the centre of gravity analysis presented similar results to those </w:t>
      </w:r>
      <w:r w:rsidR="00CE1EE0">
        <w:rPr>
          <w:rFonts w:ascii="Times New Roman" w:hAnsi="Times New Roman"/>
          <w:sz w:val="24"/>
          <w:szCs w:val="24"/>
        </w:rPr>
        <w:t>we expounded</w:t>
      </w:r>
      <w:r w:rsidR="003B29FF" w:rsidRPr="004278AA">
        <w:rPr>
          <w:rFonts w:ascii="Times New Roman" w:hAnsi="Times New Roman"/>
          <w:sz w:val="24"/>
          <w:szCs w:val="24"/>
        </w:rPr>
        <w:t>.</w:t>
      </w:r>
    </w:p>
    <w:p w14:paraId="35551AB2" w14:textId="77777777" w:rsidR="002807DD" w:rsidRPr="004278AA" w:rsidRDefault="002807DD" w:rsidP="00B3245F">
      <w:pPr>
        <w:spacing w:after="0" w:line="480" w:lineRule="auto"/>
        <w:rPr>
          <w:rFonts w:ascii="Times New Roman" w:hAnsi="Times New Roman"/>
          <w:sz w:val="24"/>
          <w:szCs w:val="24"/>
        </w:rPr>
      </w:pPr>
    </w:p>
    <w:p w14:paraId="367AD621" w14:textId="0F7C79B0" w:rsidR="00C23A06" w:rsidRPr="008E47B7" w:rsidRDefault="00C67F19" w:rsidP="002807DD">
      <w:pPr>
        <w:spacing w:after="0" w:line="480" w:lineRule="auto"/>
        <w:rPr>
          <w:rFonts w:ascii="Times New Roman" w:hAnsi="Times New Roman"/>
          <w:sz w:val="24"/>
          <w:szCs w:val="24"/>
          <w:highlight w:val="yellow"/>
        </w:rPr>
      </w:pPr>
      <w:r w:rsidRPr="008E47B7">
        <w:rPr>
          <w:rFonts w:ascii="Times New Roman" w:hAnsi="Times New Roman"/>
          <w:sz w:val="24"/>
          <w:szCs w:val="24"/>
          <w:highlight w:val="yellow"/>
        </w:rPr>
        <w:t>The main innovation</w:t>
      </w:r>
      <w:r w:rsidR="00BB0FD0" w:rsidRPr="008E47B7">
        <w:rPr>
          <w:rFonts w:ascii="Times New Roman" w:hAnsi="Times New Roman"/>
          <w:sz w:val="24"/>
          <w:szCs w:val="24"/>
          <w:highlight w:val="yellow"/>
        </w:rPr>
        <w:t xml:space="preserve"> an</w:t>
      </w:r>
      <w:r w:rsidR="000C7D48" w:rsidRPr="008E47B7">
        <w:rPr>
          <w:rFonts w:ascii="Times New Roman" w:hAnsi="Times New Roman"/>
          <w:sz w:val="24"/>
          <w:szCs w:val="24"/>
          <w:highlight w:val="yellow"/>
        </w:rPr>
        <w:t>d contribution of our study is the application of</w:t>
      </w:r>
      <w:r w:rsidR="00BB0FD0" w:rsidRPr="008E47B7">
        <w:rPr>
          <w:rFonts w:ascii="Times New Roman" w:hAnsi="Times New Roman"/>
          <w:sz w:val="24"/>
          <w:szCs w:val="24"/>
          <w:highlight w:val="yellow"/>
        </w:rPr>
        <w:t xml:space="preserve"> wavelet </w:t>
      </w:r>
      <w:r w:rsidR="00676B86" w:rsidRPr="008E47B7">
        <w:rPr>
          <w:rFonts w:ascii="Times New Roman" w:hAnsi="Times New Roman"/>
          <w:sz w:val="24"/>
          <w:szCs w:val="24"/>
          <w:highlight w:val="yellow"/>
        </w:rPr>
        <w:t xml:space="preserve">and centre of gravity analysis </w:t>
      </w:r>
      <w:r w:rsidR="00E55382" w:rsidRPr="008E47B7">
        <w:rPr>
          <w:rFonts w:ascii="Times New Roman" w:hAnsi="Times New Roman"/>
          <w:sz w:val="24"/>
          <w:szCs w:val="24"/>
          <w:highlight w:val="yellow"/>
        </w:rPr>
        <w:t>to</w:t>
      </w:r>
      <w:r w:rsidR="00676B86" w:rsidRPr="008E47B7">
        <w:rPr>
          <w:rFonts w:ascii="Times New Roman" w:hAnsi="Times New Roman"/>
          <w:sz w:val="24"/>
          <w:szCs w:val="24"/>
          <w:highlight w:val="yellow"/>
        </w:rPr>
        <w:t xml:space="preserve"> </w:t>
      </w:r>
      <w:r w:rsidR="00E55382" w:rsidRPr="008E47B7">
        <w:rPr>
          <w:rFonts w:ascii="Times New Roman" w:hAnsi="Times New Roman"/>
          <w:sz w:val="24"/>
          <w:szCs w:val="24"/>
          <w:highlight w:val="yellow"/>
        </w:rPr>
        <w:t>identify</w:t>
      </w:r>
      <w:r w:rsidR="00676B86" w:rsidRPr="008E47B7">
        <w:rPr>
          <w:rFonts w:ascii="Times New Roman" w:hAnsi="Times New Roman"/>
          <w:sz w:val="24"/>
          <w:szCs w:val="24"/>
          <w:highlight w:val="yellow"/>
        </w:rPr>
        <w:t xml:space="preserve"> 12-month seasonality </w:t>
      </w:r>
      <w:r w:rsidR="003015A0" w:rsidRPr="008E47B7">
        <w:rPr>
          <w:rFonts w:ascii="Times New Roman" w:hAnsi="Times New Roman"/>
          <w:sz w:val="24"/>
          <w:szCs w:val="24"/>
          <w:highlight w:val="yellow"/>
        </w:rPr>
        <w:t>and</w:t>
      </w:r>
      <w:r w:rsidR="00F11D04" w:rsidRPr="008E47B7">
        <w:rPr>
          <w:rFonts w:ascii="Times New Roman" w:hAnsi="Times New Roman"/>
          <w:sz w:val="24"/>
          <w:szCs w:val="24"/>
          <w:highlight w:val="yellow"/>
        </w:rPr>
        <w:t xml:space="preserve"> timing of maximum and minimum mortality </w:t>
      </w:r>
      <w:r w:rsidR="00524857" w:rsidRPr="008E47B7">
        <w:rPr>
          <w:rFonts w:ascii="Times New Roman" w:hAnsi="Times New Roman"/>
          <w:sz w:val="24"/>
          <w:szCs w:val="24"/>
          <w:highlight w:val="yellow"/>
        </w:rPr>
        <w:t xml:space="preserve">in national all-cause mortality time series, </w:t>
      </w:r>
      <w:r w:rsidR="00F11D04" w:rsidRPr="008E47B7">
        <w:rPr>
          <w:rFonts w:ascii="Times New Roman" w:hAnsi="Times New Roman"/>
          <w:sz w:val="24"/>
          <w:szCs w:val="24"/>
          <w:highlight w:val="yellow"/>
        </w:rPr>
        <w:t xml:space="preserve">using </w:t>
      </w:r>
      <w:r w:rsidR="00676B86" w:rsidRPr="008E47B7">
        <w:rPr>
          <w:rFonts w:ascii="Times New Roman" w:hAnsi="Times New Roman"/>
          <w:sz w:val="24"/>
          <w:szCs w:val="24"/>
          <w:highlight w:val="yellow"/>
        </w:rPr>
        <w:t>comprehensive subnational units.</w:t>
      </w:r>
      <w:r w:rsidR="000B7DBF" w:rsidRPr="008E47B7">
        <w:rPr>
          <w:rFonts w:ascii="Times New Roman" w:hAnsi="Times New Roman"/>
          <w:sz w:val="24"/>
          <w:szCs w:val="24"/>
          <w:highlight w:val="yellow"/>
        </w:rPr>
        <w:t xml:space="preserve"> As we have shown, wavelet analysis </w:t>
      </w:r>
      <w:r w:rsidR="009607CA" w:rsidRPr="008E47B7">
        <w:rPr>
          <w:rFonts w:ascii="Times New Roman" w:hAnsi="Times New Roman"/>
          <w:sz w:val="24"/>
          <w:szCs w:val="24"/>
          <w:highlight w:val="yellow"/>
        </w:rPr>
        <w:t>reveals</w:t>
      </w:r>
      <w:r w:rsidR="000B7DBF" w:rsidRPr="008E47B7">
        <w:rPr>
          <w:rFonts w:ascii="Times New Roman" w:hAnsi="Times New Roman"/>
          <w:sz w:val="24"/>
          <w:szCs w:val="24"/>
          <w:highlight w:val="yellow"/>
        </w:rPr>
        <w:t xml:space="preserve"> </w:t>
      </w:r>
      <w:r w:rsidR="009607CA" w:rsidRPr="008E47B7">
        <w:rPr>
          <w:rFonts w:ascii="Times New Roman" w:hAnsi="Times New Roman"/>
          <w:sz w:val="24"/>
          <w:szCs w:val="24"/>
          <w:highlight w:val="yellow"/>
        </w:rPr>
        <w:t>the dynamics of seasonality in time series, with emerg</w:t>
      </w:r>
      <w:r w:rsidR="007611B8" w:rsidRPr="008E47B7">
        <w:rPr>
          <w:rFonts w:ascii="Times New Roman" w:hAnsi="Times New Roman"/>
          <w:sz w:val="24"/>
          <w:szCs w:val="24"/>
          <w:highlight w:val="yellow"/>
        </w:rPr>
        <w:t>ent or disappearing seasonality</w:t>
      </w:r>
      <w:r w:rsidR="008D5E3B" w:rsidRPr="008E47B7">
        <w:rPr>
          <w:rFonts w:ascii="Times New Roman" w:hAnsi="Times New Roman"/>
          <w:sz w:val="24"/>
          <w:szCs w:val="24"/>
          <w:highlight w:val="yellow"/>
        </w:rPr>
        <w:t xml:space="preserve">, as in certain age groups seen </w:t>
      </w:r>
      <w:r w:rsidR="00C23A06" w:rsidRPr="008E47B7">
        <w:rPr>
          <w:rFonts w:ascii="Times New Roman" w:hAnsi="Times New Roman"/>
          <w:sz w:val="24"/>
          <w:szCs w:val="24"/>
          <w:highlight w:val="yellow"/>
        </w:rPr>
        <w:t xml:space="preserve">in </w:t>
      </w:r>
      <w:r w:rsidR="008D5E3B" w:rsidRPr="008E47B7">
        <w:rPr>
          <w:rFonts w:ascii="Times New Roman" w:hAnsi="Times New Roman"/>
          <w:sz w:val="24"/>
          <w:szCs w:val="24"/>
          <w:highlight w:val="yellow"/>
        </w:rPr>
        <w:fldChar w:fldCharType="begin"/>
      </w:r>
      <w:r w:rsidR="008D5E3B" w:rsidRPr="008E47B7">
        <w:rPr>
          <w:rFonts w:ascii="Times New Roman" w:hAnsi="Times New Roman"/>
          <w:sz w:val="24"/>
          <w:szCs w:val="24"/>
          <w:highlight w:val="yellow"/>
        </w:rPr>
        <w:instrText xml:space="preserve"> REF _Ref468358535 \h </w:instrText>
      </w:r>
      <w:r w:rsidR="00DC265F" w:rsidRPr="008E47B7">
        <w:rPr>
          <w:rFonts w:ascii="Times New Roman" w:hAnsi="Times New Roman"/>
          <w:sz w:val="24"/>
          <w:szCs w:val="24"/>
          <w:highlight w:val="yellow"/>
        </w:rPr>
        <w:instrText xml:space="preserve"> \* MERGEFORMAT </w:instrText>
      </w:r>
      <w:r w:rsidR="008D5E3B" w:rsidRPr="008E47B7">
        <w:rPr>
          <w:rFonts w:ascii="Times New Roman" w:hAnsi="Times New Roman"/>
          <w:sz w:val="24"/>
          <w:szCs w:val="24"/>
          <w:highlight w:val="yellow"/>
        </w:rPr>
      </w:r>
      <w:r w:rsidR="008D5E3B" w:rsidRPr="008E47B7">
        <w:rPr>
          <w:rFonts w:ascii="Times New Roman" w:hAnsi="Times New Roman"/>
          <w:sz w:val="24"/>
          <w:szCs w:val="24"/>
          <w:highlight w:val="yellow"/>
        </w:rPr>
        <w:fldChar w:fldCharType="separate"/>
      </w:r>
      <w:r w:rsidR="00C23A06" w:rsidRPr="008E47B7">
        <w:rPr>
          <w:rFonts w:ascii="Times New Roman" w:hAnsi="Times New Roman"/>
          <w:sz w:val="24"/>
          <w:szCs w:val="24"/>
          <w:highlight w:val="yellow"/>
        </w:rPr>
        <w:t>f</w:t>
      </w:r>
      <w:r w:rsidR="008D5E3B" w:rsidRPr="008E47B7">
        <w:rPr>
          <w:rFonts w:ascii="Times New Roman" w:hAnsi="Times New Roman"/>
          <w:sz w:val="24"/>
          <w:szCs w:val="24"/>
          <w:highlight w:val="yellow"/>
        </w:rPr>
        <w:t xml:space="preserve">igure </w:t>
      </w:r>
      <w:r w:rsidR="008D5E3B" w:rsidRPr="008E47B7">
        <w:rPr>
          <w:rFonts w:ascii="Times New Roman" w:hAnsi="Times New Roman"/>
          <w:noProof/>
          <w:sz w:val="24"/>
          <w:szCs w:val="24"/>
          <w:highlight w:val="yellow"/>
        </w:rPr>
        <w:t>1</w:t>
      </w:r>
      <w:r w:rsidR="008D5E3B" w:rsidRPr="008E47B7">
        <w:rPr>
          <w:rFonts w:ascii="Times New Roman" w:hAnsi="Times New Roman"/>
          <w:sz w:val="24"/>
          <w:szCs w:val="24"/>
          <w:highlight w:val="yellow"/>
        </w:rPr>
        <w:fldChar w:fldCharType="end"/>
      </w:r>
      <w:r w:rsidR="007611B8" w:rsidRPr="008E47B7">
        <w:rPr>
          <w:rFonts w:ascii="Times New Roman" w:hAnsi="Times New Roman"/>
          <w:sz w:val="24"/>
          <w:szCs w:val="24"/>
          <w:highlight w:val="yellow"/>
        </w:rPr>
        <w:t xml:space="preserve">. </w:t>
      </w:r>
      <w:r w:rsidR="00244B6F" w:rsidRPr="008E47B7">
        <w:rPr>
          <w:rFonts w:ascii="Times New Roman" w:hAnsi="Times New Roman"/>
          <w:sz w:val="24"/>
          <w:szCs w:val="24"/>
          <w:highlight w:val="yellow"/>
        </w:rPr>
        <w:t>This kind of insight woul</w:t>
      </w:r>
      <w:r w:rsidR="00B92C48" w:rsidRPr="008E47B7">
        <w:rPr>
          <w:rFonts w:ascii="Times New Roman" w:hAnsi="Times New Roman"/>
          <w:sz w:val="24"/>
          <w:szCs w:val="24"/>
          <w:highlight w:val="yellow"/>
        </w:rPr>
        <w:t>d not have been possible analysing</w:t>
      </w:r>
      <w:r w:rsidR="00244B6F" w:rsidRPr="008E47B7">
        <w:rPr>
          <w:rFonts w:ascii="Times New Roman" w:hAnsi="Times New Roman"/>
          <w:sz w:val="24"/>
          <w:szCs w:val="24"/>
          <w:highlight w:val="yellow"/>
        </w:rPr>
        <w:t xml:space="preserve"> data averaged over time or fixed to </w:t>
      </w:r>
      <w:proofErr w:type="gramStart"/>
      <w:r w:rsidR="00244B6F" w:rsidRPr="008E47B7">
        <w:rPr>
          <w:rFonts w:ascii="Times New Roman" w:hAnsi="Times New Roman"/>
          <w:sz w:val="24"/>
          <w:szCs w:val="24"/>
          <w:highlight w:val="yellow"/>
        </w:rPr>
        <w:t>particular frequencies</w:t>
      </w:r>
      <w:proofErr w:type="gramEnd"/>
      <w:r w:rsidR="00244B6F" w:rsidRPr="008E47B7">
        <w:rPr>
          <w:rFonts w:ascii="Times New Roman" w:hAnsi="Times New Roman"/>
          <w:sz w:val="24"/>
          <w:szCs w:val="24"/>
          <w:highlight w:val="yellow"/>
        </w:rPr>
        <w:t xml:space="preserve">. Additionally, </w:t>
      </w:r>
      <w:r w:rsidR="009A3625" w:rsidRPr="008E47B7">
        <w:rPr>
          <w:rFonts w:ascii="Times New Roman" w:hAnsi="Times New Roman"/>
          <w:sz w:val="24"/>
          <w:szCs w:val="24"/>
          <w:highlight w:val="yellow"/>
        </w:rPr>
        <w:t xml:space="preserve">by constructing comprehensive subnational units, </w:t>
      </w:r>
      <w:r w:rsidR="000760B6" w:rsidRPr="008E47B7">
        <w:rPr>
          <w:rFonts w:ascii="Times New Roman" w:hAnsi="Times New Roman"/>
          <w:sz w:val="24"/>
          <w:szCs w:val="24"/>
          <w:highlight w:val="yellow"/>
        </w:rPr>
        <w:t xml:space="preserve">we </w:t>
      </w:r>
      <w:proofErr w:type="gramStart"/>
      <w:r w:rsidR="000760B6" w:rsidRPr="008E47B7">
        <w:rPr>
          <w:rFonts w:ascii="Times New Roman" w:hAnsi="Times New Roman"/>
          <w:sz w:val="24"/>
          <w:szCs w:val="24"/>
          <w:highlight w:val="yellow"/>
        </w:rPr>
        <w:t>were able to</w:t>
      </w:r>
      <w:proofErr w:type="gramEnd"/>
      <w:r w:rsidR="000760B6" w:rsidRPr="008E47B7">
        <w:rPr>
          <w:rFonts w:ascii="Times New Roman" w:hAnsi="Times New Roman"/>
          <w:sz w:val="24"/>
          <w:szCs w:val="24"/>
          <w:highlight w:val="yellow"/>
        </w:rPr>
        <w:t xml:space="preserve"> </w:t>
      </w:r>
      <w:r w:rsidR="00B92C48" w:rsidRPr="008E47B7">
        <w:rPr>
          <w:rFonts w:ascii="Times New Roman" w:hAnsi="Times New Roman"/>
          <w:sz w:val="24"/>
          <w:szCs w:val="24"/>
          <w:highlight w:val="yellow"/>
        </w:rPr>
        <w:t xml:space="preserve">identify distinct behaviour of age-sex groups, particularly with the distinction of the timing of mortality </w:t>
      </w:r>
      <w:r w:rsidR="00792C98" w:rsidRPr="008E47B7">
        <w:rPr>
          <w:rFonts w:ascii="Times New Roman" w:hAnsi="Times New Roman"/>
          <w:sz w:val="24"/>
          <w:szCs w:val="24"/>
          <w:highlight w:val="yellow"/>
        </w:rPr>
        <w:t>between younger and older male age groups.</w:t>
      </w:r>
      <w:r w:rsidR="0054241A" w:rsidRPr="008E47B7">
        <w:rPr>
          <w:rFonts w:ascii="Times New Roman" w:hAnsi="Times New Roman"/>
          <w:sz w:val="24"/>
          <w:szCs w:val="24"/>
          <w:highlight w:val="yellow"/>
        </w:rPr>
        <w:t xml:space="preserve"> This distinction is also broadly consistent sub-nationally, as shown in </w:t>
      </w:r>
      <w:r w:rsidR="0054241A" w:rsidRPr="008E47B7">
        <w:rPr>
          <w:rFonts w:ascii="Times New Roman" w:hAnsi="Times New Roman"/>
          <w:sz w:val="24"/>
          <w:szCs w:val="24"/>
          <w:highlight w:val="yellow"/>
        </w:rPr>
        <w:fldChar w:fldCharType="begin"/>
      </w:r>
      <w:r w:rsidR="0054241A" w:rsidRPr="008E47B7">
        <w:rPr>
          <w:rFonts w:ascii="Times New Roman" w:hAnsi="Times New Roman"/>
          <w:sz w:val="24"/>
          <w:szCs w:val="24"/>
          <w:highlight w:val="yellow"/>
        </w:rPr>
        <w:instrText xml:space="preserve"> REF _Ref468799379 \h </w:instrText>
      </w:r>
      <w:r w:rsidR="00DC265F" w:rsidRPr="008E47B7">
        <w:rPr>
          <w:rFonts w:ascii="Times New Roman" w:hAnsi="Times New Roman"/>
          <w:sz w:val="24"/>
          <w:szCs w:val="24"/>
          <w:highlight w:val="yellow"/>
        </w:rPr>
        <w:instrText xml:space="preserve"> \* MERGEFORMAT </w:instrText>
      </w:r>
      <w:r w:rsidR="0054241A" w:rsidRPr="008E47B7">
        <w:rPr>
          <w:rFonts w:ascii="Times New Roman" w:hAnsi="Times New Roman"/>
          <w:sz w:val="24"/>
          <w:szCs w:val="24"/>
          <w:highlight w:val="yellow"/>
        </w:rPr>
      </w:r>
      <w:r w:rsidR="0054241A" w:rsidRPr="008E47B7">
        <w:rPr>
          <w:rFonts w:ascii="Times New Roman" w:hAnsi="Times New Roman"/>
          <w:sz w:val="24"/>
          <w:szCs w:val="24"/>
          <w:highlight w:val="yellow"/>
        </w:rPr>
        <w:fldChar w:fldCharType="separate"/>
      </w:r>
      <w:r w:rsidR="0054241A" w:rsidRPr="008E47B7">
        <w:rPr>
          <w:rFonts w:ascii="Times New Roman" w:hAnsi="Times New Roman"/>
          <w:sz w:val="24"/>
          <w:szCs w:val="24"/>
          <w:highlight w:val="yellow"/>
        </w:rPr>
        <w:t xml:space="preserve">figure </w:t>
      </w:r>
      <w:r w:rsidR="0054241A" w:rsidRPr="008E47B7">
        <w:rPr>
          <w:rFonts w:ascii="Times New Roman" w:hAnsi="Times New Roman"/>
          <w:noProof/>
          <w:sz w:val="24"/>
          <w:szCs w:val="24"/>
          <w:highlight w:val="yellow"/>
        </w:rPr>
        <w:t>4</w:t>
      </w:r>
      <w:r w:rsidR="0054241A" w:rsidRPr="008E47B7">
        <w:rPr>
          <w:rFonts w:ascii="Times New Roman" w:hAnsi="Times New Roman"/>
          <w:sz w:val="24"/>
          <w:szCs w:val="24"/>
          <w:highlight w:val="yellow"/>
        </w:rPr>
        <w:fldChar w:fldCharType="end"/>
      </w:r>
      <w:r w:rsidR="0054241A" w:rsidRPr="008E47B7">
        <w:rPr>
          <w:rFonts w:ascii="Times New Roman" w:hAnsi="Times New Roman"/>
          <w:sz w:val="24"/>
          <w:szCs w:val="24"/>
          <w:highlight w:val="yellow"/>
        </w:rPr>
        <w:t xml:space="preserve">. </w:t>
      </w:r>
    </w:p>
    <w:p w14:paraId="46D9584A" w14:textId="77777777" w:rsidR="00C57E3D" w:rsidRPr="008E47B7" w:rsidRDefault="00C57E3D" w:rsidP="00B3245F">
      <w:pPr>
        <w:spacing w:line="480" w:lineRule="auto"/>
        <w:outlineLvl w:val="0"/>
        <w:rPr>
          <w:rFonts w:ascii="Times New Roman" w:hAnsi="Times New Roman"/>
          <w:sz w:val="24"/>
          <w:szCs w:val="24"/>
          <w:highlight w:val="yellow"/>
        </w:rPr>
      </w:pPr>
    </w:p>
    <w:p w14:paraId="42AB95D3" w14:textId="522DE3FE" w:rsidR="0060671F" w:rsidRPr="008E47B7" w:rsidRDefault="002078C1" w:rsidP="00B3245F">
      <w:pPr>
        <w:spacing w:line="480" w:lineRule="auto"/>
        <w:outlineLvl w:val="0"/>
        <w:rPr>
          <w:rFonts w:ascii="Times New Roman" w:hAnsi="Times New Roman"/>
          <w:sz w:val="24"/>
          <w:szCs w:val="24"/>
          <w:highlight w:val="yellow"/>
        </w:rPr>
      </w:pPr>
      <w:r w:rsidRPr="008E47B7">
        <w:rPr>
          <w:rFonts w:ascii="Times New Roman" w:hAnsi="Times New Roman"/>
          <w:sz w:val="24"/>
          <w:szCs w:val="24"/>
          <w:highlight w:val="yellow"/>
        </w:rPr>
        <w:t>There are some limitations to our study</w:t>
      </w:r>
      <w:r w:rsidR="00D2556B" w:rsidRPr="008E47B7">
        <w:rPr>
          <w:rFonts w:ascii="Times New Roman" w:hAnsi="Times New Roman"/>
          <w:sz w:val="24"/>
          <w:szCs w:val="24"/>
          <w:highlight w:val="yellow"/>
        </w:rPr>
        <w:t>…</w:t>
      </w:r>
      <w:r w:rsidR="00E86FC3" w:rsidRPr="008E47B7">
        <w:rPr>
          <w:rFonts w:ascii="Times New Roman" w:hAnsi="Times New Roman"/>
          <w:sz w:val="24"/>
          <w:szCs w:val="24"/>
          <w:highlight w:val="yellow"/>
        </w:rPr>
        <w:t xml:space="preserve"> e.g. all-cause mortality. Other papers have made simple analyses to understand which causes of death contribute to the seasonality for each age-sex group. Of further </w:t>
      </w:r>
      <w:proofErr w:type="gramStart"/>
      <w:r w:rsidR="00E86FC3" w:rsidRPr="008E47B7">
        <w:rPr>
          <w:rFonts w:ascii="Times New Roman" w:hAnsi="Times New Roman"/>
          <w:sz w:val="24"/>
          <w:szCs w:val="24"/>
          <w:highlight w:val="yellow"/>
        </w:rPr>
        <w:t>interest</w:t>
      </w:r>
      <w:proofErr w:type="gramEnd"/>
      <w:r w:rsidR="00E86FC3" w:rsidRPr="008E47B7">
        <w:rPr>
          <w:rFonts w:ascii="Times New Roman" w:hAnsi="Times New Roman"/>
          <w:sz w:val="24"/>
          <w:szCs w:val="24"/>
          <w:highlight w:val="yellow"/>
        </w:rPr>
        <w:t xml:space="preserve"> would be to perform the analysis from this study’s framework on specific causes of death.</w:t>
      </w:r>
    </w:p>
    <w:p w14:paraId="1B1CDCF6" w14:textId="77777777" w:rsidR="00C57E3D" w:rsidRPr="008E47B7" w:rsidRDefault="00C57E3D" w:rsidP="00B3245F">
      <w:pPr>
        <w:spacing w:line="480" w:lineRule="auto"/>
        <w:outlineLvl w:val="0"/>
        <w:rPr>
          <w:rFonts w:ascii="Times New Roman" w:hAnsi="Times New Roman"/>
          <w:sz w:val="24"/>
          <w:szCs w:val="24"/>
          <w:highlight w:val="yellow"/>
        </w:rPr>
      </w:pPr>
    </w:p>
    <w:p w14:paraId="04F7341E" w14:textId="1A97049E" w:rsidR="00E72CAE" w:rsidRPr="008E47B7" w:rsidRDefault="002C2E8F" w:rsidP="00B3245F">
      <w:pPr>
        <w:spacing w:after="0" w:line="480" w:lineRule="auto"/>
        <w:rPr>
          <w:rFonts w:ascii="Times New Roman" w:hAnsi="Times New Roman"/>
          <w:sz w:val="24"/>
          <w:szCs w:val="24"/>
          <w:highlight w:val="yellow"/>
        </w:rPr>
      </w:pPr>
      <w:r w:rsidRPr="008E47B7">
        <w:rPr>
          <w:rFonts w:ascii="Times New Roman" w:hAnsi="Times New Roman"/>
          <w:sz w:val="24"/>
          <w:szCs w:val="24"/>
          <w:highlight w:val="yellow"/>
        </w:rPr>
        <w:t>Our study framework and methods can also be applied to other countries with geo-coded monthly mortality records.</w:t>
      </w:r>
      <w:r w:rsidR="00D2556B" w:rsidRPr="008E47B7">
        <w:rPr>
          <w:rFonts w:ascii="Times New Roman" w:hAnsi="Times New Roman"/>
          <w:sz w:val="24"/>
          <w:szCs w:val="24"/>
          <w:highlight w:val="yellow"/>
        </w:rPr>
        <w:t xml:space="preserve"> </w:t>
      </w:r>
      <w:r w:rsidR="00013E3D" w:rsidRPr="008E47B7">
        <w:rPr>
          <w:rFonts w:ascii="Times New Roman" w:hAnsi="Times New Roman"/>
          <w:sz w:val="24"/>
          <w:szCs w:val="24"/>
          <w:highlight w:val="yellow"/>
        </w:rPr>
        <w:t xml:space="preserve">This is now available in many high-income </w:t>
      </w:r>
      <w:r w:rsidR="000E1528" w:rsidRPr="008E47B7">
        <w:rPr>
          <w:rFonts w:ascii="Times New Roman" w:hAnsi="Times New Roman"/>
          <w:sz w:val="24"/>
          <w:szCs w:val="24"/>
          <w:highlight w:val="yellow"/>
        </w:rPr>
        <w:t>and some middle-income countries</w:t>
      </w:r>
      <w:r w:rsidR="00013E3D" w:rsidRPr="008E47B7">
        <w:rPr>
          <w:rFonts w:ascii="Times New Roman" w:hAnsi="Times New Roman"/>
          <w:sz w:val="24"/>
          <w:szCs w:val="24"/>
          <w:highlight w:val="yellow"/>
        </w:rPr>
        <w:t xml:space="preserve">. </w:t>
      </w:r>
      <w:r w:rsidR="00D2556B" w:rsidRPr="008E47B7">
        <w:rPr>
          <w:rFonts w:ascii="Times New Roman" w:hAnsi="Times New Roman"/>
          <w:sz w:val="24"/>
          <w:szCs w:val="24"/>
          <w:highlight w:val="yellow"/>
        </w:rPr>
        <w:t xml:space="preserve">It would be of further interest to distinguish behaviour between urban and rural inhabitants, </w:t>
      </w:r>
      <w:r w:rsidR="00013E3D" w:rsidRPr="008E47B7">
        <w:rPr>
          <w:rFonts w:ascii="Times New Roman" w:hAnsi="Times New Roman"/>
          <w:sz w:val="24"/>
          <w:szCs w:val="24"/>
          <w:highlight w:val="yellow"/>
        </w:rPr>
        <w:t xml:space="preserve">or </w:t>
      </w:r>
      <w:r w:rsidR="00305C2C" w:rsidRPr="008E47B7">
        <w:rPr>
          <w:rFonts w:ascii="Times New Roman" w:hAnsi="Times New Roman"/>
          <w:sz w:val="24"/>
          <w:szCs w:val="24"/>
          <w:highlight w:val="yellow"/>
        </w:rPr>
        <w:t>to explore how socio-economic s</w:t>
      </w:r>
      <w:r w:rsidR="0060671F" w:rsidRPr="008E47B7">
        <w:rPr>
          <w:rFonts w:ascii="Times New Roman" w:hAnsi="Times New Roman"/>
          <w:sz w:val="24"/>
          <w:szCs w:val="24"/>
          <w:highlight w:val="yellow"/>
        </w:rPr>
        <w:t>tatus influences the amount of variation of mortality rates within a year.</w:t>
      </w:r>
      <w:r w:rsidR="002C4E8C" w:rsidRPr="008E47B7">
        <w:rPr>
          <w:rFonts w:ascii="Times New Roman" w:hAnsi="Times New Roman"/>
          <w:sz w:val="24"/>
          <w:szCs w:val="24"/>
          <w:highlight w:val="yellow"/>
        </w:rPr>
        <w:t xml:space="preserve"> </w:t>
      </w:r>
      <w:r w:rsidR="00B70F50" w:rsidRPr="008E47B7">
        <w:rPr>
          <w:rFonts w:ascii="Times New Roman" w:hAnsi="Times New Roman"/>
          <w:sz w:val="24"/>
          <w:szCs w:val="24"/>
          <w:highlight w:val="yellow"/>
        </w:rPr>
        <w:t xml:space="preserve">Also, </w:t>
      </w:r>
      <w:r w:rsidR="002C4E8C" w:rsidRPr="008E47B7">
        <w:rPr>
          <w:rFonts w:ascii="Times New Roman" w:hAnsi="Times New Roman"/>
          <w:sz w:val="24"/>
          <w:szCs w:val="24"/>
          <w:highlight w:val="yellow"/>
        </w:rPr>
        <w:t xml:space="preserve">examining the </w:t>
      </w:r>
      <w:r w:rsidR="00ED0407" w:rsidRPr="008E47B7">
        <w:rPr>
          <w:rFonts w:ascii="Times New Roman" w:hAnsi="Times New Roman"/>
          <w:sz w:val="24"/>
          <w:szCs w:val="24"/>
          <w:highlight w:val="yellow"/>
        </w:rPr>
        <w:t>consistency of a relationship</w:t>
      </w:r>
      <w:r w:rsidR="002C4E8C" w:rsidRPr="008E47B7">
        <w:rPr>
          <w:rFonts w:ascii="Times New Roman" w:hAnsi="Times New Roman"/>
          <w:sz w:val="24"/>
          <w:szCs w:val="24"/>
          <w:highlight w:val="yellow"/>
        </w:rPr>
        <w:t xml:space="preserve"> between temperature and climate </w:t>
      </w:r>
      <w:r w:rsidR="005D3E4E" w:rsidRPr="008E47B7">
        <w:rPr>
          <w:rFonts w:ascii="Times New Roman" w:hAnsi="Times New Roman"/>
          <w:sz w:val="24"/>
          <w:szCs w:val="24"/>
          <w:highlight w:val="yellow"/>
        </w:rPr>
        <w:t>variables</w:t>
      </w:r>
      <w:r w:rsidR="00A548AE" w:rsidRPr="008E47B7">
        <w:rPr>
          <w:rFonts w:ascii="Times New Roman" w:hAnsi="Times New Roman"/>
          <w:sz w:val="24"/>
          <w:szCs w:val="24"/>
          <w:highlight w:val="yellow"/>
        </w:rPr>
        <w:t xml:space="preserve"> (such as local temperature)</w:t>
      </w:r>
      <w:r w:rsidR="00ED0407" w:rsidRPr="008E47B7">
        <w:rPr>
          <w:rFonts w:ascii="Times New Roman" w:hAnsi="Times New Roman"/>
          <w:sz w:val="24"/>
          <w:szCs w:val="24"/>
          <w:highlight w:val="yellow"/>
        </w:rPr>
        <w:t xml:space="preserve"> over time</w:t>
      </w:r>
      <w:r w:rsidR="005D3E4E" w:rsidRPr="008E47B7">
        <w:rPr>
          <w:rFonts w:ascii="Times New Roman" w:hAnsi="Times New Roman"/>
          <w:sz w:val="24"/>
          <w:szCs w:val="24"/>
          <w:highlight w:val="yellow"/>
        </w:rPr>
        <w:t>,</w:t>
      </w:r>
      <w:r w:rsidR="000F72E2" w:rsidRPr="008E47B7">
        <w:rPr>
          <w:rFonts w:ascii="Times New Roman" w:hAnsi="Times New Roman"/>
          <w:sz w:val="24"/>
          <w:szCs w:val="24"/>
          <w:highlight w:val="yellow"/>
        </w:rPr>
        <w:t xml:space="preserve"> using wavelet analysis, would help to understand the effect of climate and climate change on variation of mortality within a year.</w:t>
      </w:r>
      <w:r w:rsidR="008E7EF9" w:rsidRPr="008E47B7">
        <w:rPr>
          <w:rFonts w:ascii="Times New Roman" w:hAnsi="Times New Roman"/>
          <w:sz w:val="24"/>
          <w:szCs w:val="24"/>
          <w:highlight w:val="yellow"/>
        </w:rPr>
        <w:t xml:space="preserve"> Data on environmental variables </w:t>
      </w:r>
      <w:r w:rsidR="0017419B" w:rsidRPr="008E47B7">
        <w:rPr>
          <w:rFonts w:ascii="Times New Roman" w:hAnsi="Times New Roman"/>
          <w:sz w:val="24"/>
          <w:szCs w:val="24"/>
          <w:highlight w:val="yellow"/>
        </w:rPr>
        <w:t xml:space="preserve">at appropriate scales </w:t>
      </w:r>
      <w:r w:rsidR="008E7EF9" w:rsidRPr="008E47B7">
        <w:rPr>
          <w:rFonts w:ascii="Times New Roman" w:hAnsi="Times New Roman"/>
          <w:sz w:val="24"/>
          <w:szCs w:val="24"/>
          <w:highlight w:val="yellow"/>
        </w:rPr>
        <w:t>can be obtained via several means, including re</w:t>
      </w:r>
      <w:r w:rsidR="00707CD4" w:rsidRPr="008E47B7">
        <w:rPr>
          <w:rFonts w:ascii="Times New Roman" w:hAnsi="Times New Roman"/>
          <w:sz w:val="24"/>
          <w:szCs w:val="24"/>
          <w:highlight w:val="yellow"/>
        </w:rPr>
        <w:t>analysis models such as ERA-Interim.</w:t>
      </w:r>
    </w:p>
    <w:p w14:paraId="6E72E04F" w14:textId="77777777" w:rsidR="00C57E3D" w:rsidRPr="008E47B7" w:rsidRDefault="00C57E3D" w:rsidP="00B3245F">
      <w:pPr>
        <w:spacing w:after="0" w:line="480" w:lineRule="auto"/>
        <w:rPr>
          <w:rFonts w:ascii="Times New Roman" w:hAnsi="Times New Roman"/>
          <w:sz w:val="24"/>
          <w:szCs w:val="24"/>
          <w:highlight w:val="yellow"/>
        </w:rPr>
      </w:pPr>
    </w:p>
    <w:p w14:paraId="48141E40" w14:textId="27BDC217" w:rsidR="00C57E3D" w:rsidRPr="004278AA" w:rsidRDefault="004875C3" w:rsidP="00B3245F">
      <w:pPr>
        <w:spacing w:after="0" w:line="480" w:lineRule="auto"/>
        <w:rPr>
          <w:rFonts w:ascii="Times New Roman" w:hAnsi="Times New Roman"/>
          <w:sz w:val="24"/>
          <w:szCs w:val="24"/>
        </w:rPr>
      </w:pPr>
      <w:r w:rsidRPr="008E47B7">
        <w:rPr>
          <w:rFonts w:ascii="Times New Roman" w:hAnsi="Times New Roman"/>
          <w:sz w:val="24"/>
          <w:szCs w:val="24"/>
          <w:highlight w:val="yellow"/>
        </w:rPr>
        <w:t xml:space="preserve">Analysis of the dynamics of 12-month seasonality over time by comprehensive subnational </w:t>
      </w:r>
      <w:r w:rsidR="005F1606" w:rsidRPr="008E47B7">
        <w:rPr>
          <w:rFonts w:ascii="Times New Roman" w:hAnsi="Times New Roman"/>
          <w:sz w:val="24"/>
          <w:szCs w:val="24"/>
          <w:highlight w:val="yellow"/>
        </w:rPr>
        <w:t>units</w:t>
      </w:r>
      <w:r w:rsidRPr="008E47B7">
        <w:rPr>
          <w:rFonts w:ascii="Times New Roman" w:hAnsi="Times New Roman"/>
          <w:sz w:val="24"/>
          <w:szCs w:val="24"/>
          <w:highlight w:val="yellow"/>
        </w:rPr>
        <w:t xml:space="preserve"> </w:t>
      </w:r>
      <w:r w:rsidR="002E39EC" w:rsidRPr="008E47B7">
        <w:rPr>
          <w:rFonts w:ascii="Times New Roman" w:hAnsi="Times New Roman"/>
          <w:sz w:val="24"/>
          <w:szCs w:val="24"/>
          <w:highlight w:val="yellow"/>
        </w:rPr>
        <w:t xml:space="preserve">allows for decision-makers to </w:t>
      </w:r>
      <w:r w:rsidR="005F1606" w:rsidRPr="008E47B7">
        <w:rPr>
          <w:rFonts w:ascii="Times New Roman" w:hAnsi="Times New Roman"/>
          <w:sz w:val="24"/>
          <w:szCs w:val="24"/>
          <w:highlight w:val="yellow"/>
        </w:rPr>
        <w:t>better organise interventions for vulnerable and emergently-vulnerable groups.</w:t>
      </w:r>
    </w:p>
    <w:p w14:paraId="0369EE15" w14:textId="77777777" w:rsidR="00B1677E" w:rsidRPr="004E0482" w:rsidRDefault="00B1677E" w:rsidP="00B3245F">
      <w:pPr>
        <w:spacing w:line="480" w:lineRule="auto"/>
        <w:outlineLvl w:val="0"/>
        <w:rPr>
          <w:rFonts w:ascii="Times New Roman" w:hAnsi="Times New Roman"/>
          <w:b/>
          <w:color w:val="000000" w:themeColor="text1"/>
          <w:sz w:val="24"/>
          <w:szCs w:val="24"/>
        </w:rPr>
      </w:pPr>
    </w:p>
    <w:p w14:paraId="40F21F6B" w14:textId="4E492616" w:rsidR="00DA0408" w:rsidRPr="004E0482" w:rsidRDefault="00DA0408" w:rsidP="00B3245F">
      <w:pPr>
        <w:spacing w:after="0" w:line="24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403BFC27" w14:textId="58454426" w:rsidR="0075782A" w:rsidRPr="004E0482" w:rsidRDefault="0075782A" w:rsidP="00B3245F">
      <w:pPr>
        <w:spacing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2DCC45A5"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10988B4F" w14:textId="1306C346" w:rsidR="0017087D" w:rsidRPr="004E0482" w:rsidRDefault="0017087D" w:rsidP="0017087D">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US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F6757E">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face="superscript"&gt;28&lt;/style&gt;&lt;/DisplayText&gt;&lt;record&gt;&lt;rec-number&gt;456&lt;/rec-number&gt;&lt;foreign-keys&gt;&lt;key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F6757E" w:rsidRPr="00F6757E">
        <w:rPr>
          <w:rFonts w:ascii="Times New Roman" w:hAnsi="Times New Roman"/>
          <w:noProof/>
          <w:color w:val="000000" w:themeColor="text1"/>
          <w:sz w:val="24"/>
          <w:szCs w:val="24"/>
          <w:vertAlign w:val="superscript"/>
        </w:rPr>
        <w:t>28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472515CD" w14:textId="77777777" w:rsidR="0017087D" w:rsidRPr="004E0482" w:rsidRDefault="0017087D" w:rsidP="0017087D">
      <w:pPr>
        <w:spacing w:after="0" w:line="480" w:lineRule="auto"/>
        <w:rPr>
          <w:rFonts w:ascii="Times New Roman" w:hAnsi="Times New Roman"/>
          <w:color w:val="000000" w:themeColor="text1"/>
          <w:sz w:val="24"/>
          <w:szCs w:val="24"/>
        </w:rPr>
      </w:pPr>
    </w:p>
    <w:p w14:paraId="74C22F3A" w14:textId="6159DC0F"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F6757E">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F6757E" w:rsidRPr="00F6757E">
        <w:rPr>
          <w:rFonts w:ascii="Times New Roman" w:hAnsi="Times New Roman"/>
          <w:noProof/>
          <w:color w:val="000000" w:themeColor="text1"/>
          <w:sz w:val="24"/>
          <w:szCs w:val="24"/>
          <w:vertAlign w:val="superscript"/>
        </w:rPr>
        <w:t>27</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589AACD2" w14:textId="77777777" w:rsidR="0017087D" w:rsidRPr="004E0482" w:rsidRDefault="0017087D" w:rsidP="0017087D">
      <w:pPr>
        <w:spacing w:after="0" w:line="480" w:lineRule="auto"/>
        <w:rPr>
          <w:rFonts w:ascii="Times New Roman" w:hAnsi="Times New Roman"/>
          <w:color w:val="000000" w:themeColor="text1"/>
          <w:sz w:val="24"/>
          <w:szCs w:val="24"/>
        </w:rPr>
      </w:pPr>
    </w:p>
    <w:p w14:paraId="40E4CBBB"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24689DCD" w14:textId="2AE6FC93"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used wavelet analysis to establish the presence of seasonality, both nationally and sub-nationally, for each age-sex group. In summary, wavelet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9334A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results can be presented on a two-dimensional plot of time against frequency coefficients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also</w:t>
      </w:r>
      <w:r w:rsidRPr="004E0482">
        <w:rPr>
          <w:rFonts w:ascii="Times New Roman" w:hAnsi="Times New Roman"/>
          <w:color w:val="000000" w:themeColor="text1"/>
          <w:sz w:val="24"/>
          <w:szCs w:val="24"/>
        </w:rPr>
        <w:t xml:space="preserve"> allows representing dynamic seasonal behaviour, e.g., the potential for the periodicity of death rates to disappear, emerge, or change over time, which is not possible in standard Fourier analysis or fitting a statistical model with a period basis function.</w:t>
      </w:r>
    </w:p>
    <w:p w14:paraId="5C7A8548"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635803C1" w14:textId="46C9CE19"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the R package WaveletComp 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such t</w:t>
      </w:r>
      <w:r w:rsidR="00CF1263">
        <w:rPr>
          <w:rFonts w:ascii="Times New Roman" w:hAnsi="Times New Roman"/>
          <w:color w:val="000000" w:themeColor="text1"/>
          <w:sz w:val="24"/>
          <w:szCs w:val="24"/>
        </w:rPr>
        <w:t>o vary between 1 and -1.</w:t>
      </w:r>
      <w:r w:rsidRPr="004E0482">
        <w:rPr>
          <w:rFonts w:ascii="Times New Roman" w:hAnsi="Times New Roman"/>
          <w:color w:val="000000" w:themeColor="text1"/>
          <w:sz w:val="24"/>
          <w:szCs w:val="24"/>
        </w:rPr>
        <w:t xml:space="preserve"> </w:t>
      </w:r>
    </w:p>
    <w:p w14:paraId="4294F2D5" w14:textId="77777777" w:rsidR="0017087D" w:rsidRPr="004E0482" w:rsidRDefault="0017087D" w:rsidP="0017087D">
      <w:pPr>
        <w:spacing w:after="0" w:line="480" w:lineRule="auto"/>
        <w:rPr>
          <w:rFonts w:ascii="Times New Roman" w:hAnsi="Times New Roman"/>
          <w:color w:val="000000" w:themeColor="text1"/>
          <w:sz w:val="24"/>
          <w:szCs w:val="24"/>
        </w:rPr>
      </w:pPr>
    </w:p>
    <w:p w14:paraId="6734A88C" w14:textId="5248869E"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identified age-sex groups whose wavelet power spectr</w:t>
      </w:r>
      <w:r w:rsidR="00CF1263">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p>
    <w:p w14:paraId="6A32F486"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3FDBA793" w14:textId="13755C33"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w:t>
      </w:r>
      <w:r w:rsidR="00CF1263">
        <w:rPr>
          <w:rFonts w:ascii="Times New Roman" w:hAnsi="Times New Roman"/>
          <w:color w:val="000000" w:themeColor="text1"/>
          <w:sz w:val="24"/>
          <w:szCs w:val="24"/>
        </w:rPr>
        <w:t>,</w:t>
      </w:r>
      <w:r>
        <w:rPr>
          <w:rFonts w:ascii="Times New Roman" w:hAnsi="Times New Roman"/>
          <w:color w:val="000000" w:themeColor="text1"/>
          <w:sz w:val="24"/>
          <w:szCs w:val="24"/>
        </w:rPr>
        <w:t xml:space="preserve"> as well as its first and second </w:t>
      </w:r>
      <w:r w:rsidR="00960E90">
        <w:rPr>
          <w:rFonts w:ascii="Times New Roman" w:hAnsi="Times New Roman"/>
          <w:color w:val="000000" w:themeColor="text1"/>
          <w:sz w:val="24"/>
          <w:szCs w:val="24"/>
        </w:rPr>
        <w:t>sections,</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which measure</w:t>
      </w:r>
      <w:r w:rsidRPr="004E0482">
        <w:rPr>
          <w:rFonts w:ascii="Times New Roman" w:hAnsi="Times New Roman"/>
          <w:color w:val="000000" w:themeColor="text1"/>
          <w:sz w:val="24"/>
          <w:szCs w:val="24"/>
        </w:rPr>
        <w:t xml:space="preserve"> when 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is weighted by its death rate</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9334A8">
        <w:rPr>
          <w:rFonts w:ascii="Times New Roman" w:hAnsi="Times New Roman"/>
          <w:color w:val="000000" w:themeColor="text1"/>
          <w:sz w:val="24"/>
          <w:szCs w:val="24"/>
        </w:rPr>
        <w:instrText xml:space="preserve"> ADDIN EN.CITE </w:instrText>
      </w:r>
      <w:r w:rsidR="009334A8">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9334A8">
        <w:rPr>
          <w:rFonts w:ascii="Times New Roman" w:hAnsi="Times New Roman"/>
          <w:color w:val="000000" w:themeColor="text1"/>
          <w:sz w:val="24"/>
          <w:szCs w:val="24"/>
        </w:rPr>
        <w:instrText xml:space="preserve"> ADDIN EN.CITE.DATA </w:instrText>
      </w:r>
      <w:r w:rsidR="009334A8">
        <w:rPr>
          <w:rFonts w:ascii="Times New Roman" w:hAnsi="Times New Roman"/>
          <w:color w:val="000000" w:themeColor="text1"/>
          <w:sz w:val="24"/>
          <w:szCs w:val="24"/>
        </w:rPr>
      </w:r>
      <w:r w:rsidR="009334A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9334A8" w:rsidRPr="009334A8">
        <w:rPr>
          <w:rFonts w:ascii="Times New Roman" w:hAnsi="Times New Roman"/>
          <w:noProof/>
          <w:color w:val="000000" w:themeColor="text1"/>
          <w:sz w:val="24"/>
          <w:szCs w:val="24"/>
          <w:vertAlign w:val="superscript"/>
        </w:rPr>
        <w:t>30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is weighted by the difference between its death rate and </w:t>
      </w:r>
      <w:r w:rsidRPr="004E0482">
        <w:rPr>
          <w:rFonts w:ascii="Times New Roman" w:hAnsi="Times New Roman"/>
          <w:color w:val="000000" w:themeColor="text1"/>
          <w:sz w:val="24"/>
          <w:szCs w:val="24"/>
        </w:rPr>
        <w:t xml:space="preserve">the maximum death rate in any month. </w:t>
      </w:r>
    </w:p>
    <w:p w14:paraId="09EC0394" w14:textId="77777777" w:rsidR="0017087D" w:rsidRPr="004E0482" w:rsidRDefault="0017087D" w:rsidP="0017087D">
      <w:pPr>
        <w:spacing w:after="0" w:line="480" w:lineRule="auto"/>
        <w:rPr>
          <w:rFonts w:ascii="Times New Roman" w:hAnsi="Times New Roman"/>
          <w:color w:val="000000" w:themeColor="text1"/>
          <w:sz w:val="24"/>
          <w:szCs w:val="24"/>
        </w:rPr>
      </w:pPr>
    </w:p>
    <w:p w14:paraId="3E52092D" w14:textId="152A68FB" w:rsidR="0017087D" w:rsidRPr="00F00B29" w:rsidRDefault="00B97C94" w:rsidP="00F00B29">
      <w:pPr>
        <w:pStyle w:val="CommentText"/>
        <w:spacing w:line="480" w:lineRule="auto"/>
        <w:rPr>
          <w:rFonts w:ascii="Times New Roman" w:hAnsi="Times New Roman" w:cs="Times New Roman"/>
          <w:noProof/>
          <w:sz w:val="24"/>
          <w:szCs w:val="24"/>
        </w:rPr>
      </w:pP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(month 12),</w:t>
      </w:r>
      <w:r w:rsidR="00F00B29">
        <w:rPr>
          <w:rFonts w:ascii="Times New Roman" w:hAnsi="Times New Roman" w:cs="Times New Roman"/>
          <w:noProof/>
          <w:sz w:val="24"/>
          <w:szCs w:val="24"/>
        </w:rPr>
        <w:t xml:space="preserve"> with</w:t>
      </w:r>
      <w:r>
        <w:rPr>
          <w:rFonts w:ascii="Times New Roman" w:hAnsi="Times New Roman" w:cs="Times New Roman"/>
          <w:noProof/>
          <w:sz w:val="24"/>
          <w:szCs w:val="24"/>
        </w:rPr>
        <w:t xml:space="preserve"> a technique called circular statistics.</w:t>
      </w:r>
      <w:r w:rsidR="00F00B29">
        <w:rPr>
          <w:rFonts w:ascii="Times New Roman" w:hAnsi="Times New Roman" w:cs="Times New Roman"/>
          <w:noProof/>
          <w:sz w:val="24"/>
          <w:szCs w:val="24"/>
        </w:rPr>
        <w:t xml:space="preserve"> In this way, we computed </w:t>
      </w:r>
      <w:r w:rsidR="0017087D" w:rsidRPr="004E0482">
        <w:rPr>
          <w:rFonts w:ascii="Times New Roman" w:hAnsi="Times New Roman"/>
          <w:color w:val="000000" w:themeColor="text1"/>
          <w:sz w:val="24"/>
          <w:szCs w:val="24"/>
        </w:rPr>
        <w:t>both the centre of gravity and the negative centre of gravity for each age-sex group. Along with each circular mean, a 95% confidence interval (CI) was calculated by using 1000 bootstrap samples. The R package CircStats was used for this purpose.</w:t>
      </w:r>
    </w:p>
    <w:p w14:paraId="6C36D6F7" w14:textId="77777777" w:rsidR="0017087D" w:rsidRPr="004E0482" w:rsidRDefault="0017087D" w:rsidP="0017087D">
      <w:pPr>
        <w:spacing w:after="0" w:line="480" w:lineRule="auto"/>
        <w:rPr>
          <w:rFonts w:ascii="Times New Roman" w:hAnsi="Times New Roman"/>
          <w:i/>
          <w:color w:val="000000" w:themeColor="text1"/>
          <w:sz w:val="24"/>
          <w:szCs w:val="24"/>
        </w:rPr>
      </w:pPr>
    </w:p>
    <w:p w14:paraId="0EE1B6D9" w14:textId="513C4BB2"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calculated proportional (percentage) excess death rate in the maximum and minimum mortality months for </w:t>
      </w:r>
      <w:r w:rsidR="00C42700">
        <w:rPr>
          <w:rFonts w:ascii="Times New Roman" w:hAnsi="Times New Roman"/>
          <w:color w:val="000000" w:themeColor="text1"/>
          <w:sz w:val="24"/>
          <w:szCs w:val="24"/>
        </w:rPr>
        <w:t>every year in each age-sex group</w:t>
      </w:r>
      <w:r w:rsidRPr="004E0482">
        <w:rPr>
          <w:rFonts w:ascii="Times New Roman" w:hAnsi="Times New Roman"/>
          <w:color w:val="000000" w:themeColor="text1"/>
          <w:sz w:val="24"/>
          <w:szCs w:val="24"/>
        </w:rPr>
        <w:t>. We fitted a linear regression to this seasonal excess mortality for each age and sex group, inversely weighted by the standard error on the seasonal excess, and compared the estimated values at the beginning and end of the analysis period, as a measure of how magnitude of the seasonality of death rates changed over time. Changes in seasonality excess were identified by a 5% significance level on the gradient of the linear regression, weighted by population, against the null hypothesis that the gradient was zero.</w:t>
      </w:r>
    </w:p>
    <w:p w14:paraId="1AFA310E" w14:textId="3736BDA9" w:rsidR="0017087D" w:rsidRDefault="0017087D" w:rsidP="00B3245F">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commentRangeStart w:id="0"/>
      <w:r w:rsidRPr="004E0482">
        <w:rPr>
          <w:rFonts w:ascii="Times New Roman" w:hAnsi="Times New Roman"/>
          <w:b/>
          <w:color w:val="000000" w:themeColor="text1"/>
          <w:sz w:val="24"/>
          <w:szCs w:val="24"/>
        </w:rPr>
        <w:t>References</w:t>
      </w:r>
      <w:commentRangeEnd w:id="0"/>
      <w:r w:rsidR="00666922">
        <w:rPr>
          <w:rStyle w:val="CommentReference"/>
          <w:rFonts w:asciiTheme="minorHAnsi" w:eastAsiaTheme="minorHAnsi" w:hAnsiTheme="minorHAnsi" w:cstheme="minorBidi"/>
        </w:rPr>
        <w:commentReference w:id="0"/>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4FCC435A" w14:textId="77777777" w:rsidR="00F6757E" w:rsidRPr="00F6757E" w:rsidRDefault="002C5FB9" w:rsidP="00F6757E">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F6757E" w:rsidRPr="00F6757E">
        <w:rPr>
          <w:noProof/>
        </w:rPr>
        <w:t>1</w:t>
      </w:r>
      <w:r w:rsidR="00F6757E" w:rsidRPr="00F6757E">
        <w:rPr>
          <w:noProof/>
        </w:rPr>
        <w:tab/>
        <w:t xml:space="preserve">McKee, C. Deaths in winter: can Britain learn from Europe? </w:t>
      </w:r>
      <w:r w:rsidR="00F6757E" w:rsidRPr="00F6757E">
        <w:rPr>
          <w:i/>
          <w:noProof/>
        </w:rPr>
        <w:t>European journal of epidemiology</w:t>
      </w:r>
      <w:r w:rsidR="00F6757E" w:rsidRPr="00F6757E">
        <w:rPr>
          <w:noProof/>
        </w:rPr>
        <w:t xml:space="preserve"> </w:t>
      </w:r>
      <w:r w:rsidR="00F6757E" w:rsidRPr="00F6757E">
        <w:rPr>
          <w:b/>
          <w:noProof/>
        </w:rPr>
        <w:t>5</w:t>
      </w:r>
      <w:r w:rsidR="00F6757E" w:rsidRPr="00F6757E">
        <w:rPr>
          <w:noProof/>
        </w:rPr>
        <w:t>, 178-182 (1989).</w:t>
      </w:r>
    </w:p>
    <w:p w14:paraId="15517845" w14:textId="77777777" w:rsidR="00F6757E" w:rsidRPr="00F6757E" w:rsidRDefault="00F6757E" w:rsidP="00F6757E">
      <w:pPr>
        <w:pStyle w:val="EndNoteBibliography"/>
        <w:spacing w:after="0"/>
        <w:ind w:left="720" w:hanging="720"/>
        <w:rPr>
          <w:noProof/>
        </w:rPr>
      </w:pPr>
      <w:r w:rsidRPr="00F6757E">
        <w:rPr>
          <w:noProof/>
        </w:rPr>
        <w:t>2</w:t>
      </w:r>
      <w:r w:rsidRPr="00F6757E">
        <w:rPr>
          <w:noProof/>
        </w:rPr>
        <w:tab/>
        <w:t xml:space="preserve">Group, T. E. Cold exposure and winter mortality from ischaemic heart disease, cerebrovascular disease, respiratory disease, and all causes in warm and cold regions of Europe. </w:t>
      </w:r>
      <w:r w:rsidRPr="00F6757E">
        <w:rPr>
          <w:i/>
          <w:noProof/>
        </w:rPr>
        <w:t>The Lancet</w:t>
      </w:r>
      <w:r w:rsidRPr="00F6757E">
        <w:rPr>
          <w:noProof/>
        </w:rPr>
        <w:t xml:space="preserve"> </w:t>
      </w:r>
      <w:r w:rsidRPr="00F6757E">
        <w:rPr>
          <w:b/>
          <w:noProof/>
        </w:rPr>
        <w:t>349</w:t>
      </w:r>
      <w:r w:rsidRPr="00F6757E">
        <w:rPr>
          <w:noProof/>
        </w:rPr>
        <w:t>, 1341-1346 (1997).</w:t>
      </w:r>
    </w:p>
    <w:p w14:paraId="10D0131D" w14:textId="77777777" w:rsidR="00F6757E" w:rsidRPr="00F6757E" w:rsidRDefault="00F6757E" w:rsidP="00F6757E">
      <w:pPr>
        <w:pStyle w:val="EndNoteBibliography"/>
        <w:spacing w:after="0"/>
        <w:ind w:left="720" w:hanging="720"/>
        <w:rPr>
          <w:noProof/>
        </w:rPr>
      </w:pPr>
      <w:r w:rsidRPr="00F6757E">
        <w:rPr>
          <w:noProof/>
        </w:rPr>
        <w:t>3</w:t>
      </w:r>
      <w:r w:rsidRPr="00F6757E">
        <w:rPr>
          <w:noProof/>
        </w:rPr>
        <w:tab/>
        <w:t xml:space="preserve">Healy, J. D. Excess winter mortality in Europe: a cross country analysis identifying key risk factors. </w:t>
      </w:r>
      <w:r w:rsidRPr="00F6757E">
        <w:rPr>
          <w:i/>
          <w:noProof/>
        </w:rPr>
        <w:t>Journal of Epidemiology and Community Health</w:t>
      </w:r>
      <w:r w:rsidRPr="00F6757E">
        <w:rPr>
          <w:noProof/>
        </w:rPr>
        <w:t xml:space="preserve"> </w:t>
      </w:r>
      <w:r w:rsidRPr="00F6757E">
        <w:rPr>
          <w:b/>
          <w:noProof/>
        </w:rPr>
        <w:t>57</w:t>
      </w:r>
      <w:r w:rsidRPr="00F6757E">
        <w:rPr>
          <w:noProof/>
        </w:rPr>
        <w:t>, 784-789, doi:10.1136/jech.57.10.784 (2003).</w:t>
      </w:r>
    </w:p>
    <w:p w14:paraId="79270C55" w14:textId="77777777" w:rsidR="00F6757E" w:rsidRPr="00F6757E" w:rsidRDefault="00F6757E" w:rsidP="00F6757E">
      <w:pPr>
        <w:pStyle w:val="EndNoteBibliography"/>
        <w:spacing w:after="0"/>
        <w:ind w:left="720" w:hanging="720"/>
        <w:rPr>
          <w:noProof/>
        </w:rPr>
      </w:pPr>
      <w:r w:rsidRPr="00F6757E">
        <w:rPr>
          <w:noProof/>
        </w:rPr>
        <w:t>4</w:t>
      </w:r>
      <w:r w:rsidRPr="00F6757E">
        <w:rPr>
          <w:noProof/>
        </w:rPr>
        <w:tab/>
        <w:t xml:space="preserve">Campbell, A. Excess winter mortality in England and Wales: 2015/16 (provisional) and 2014/15 (final). </w:t>
      </w:r>
      <w:r w:rsidRPr="00F6757E">
        <w:rPr>
          <w:i/>
          <w:noProof/>
        </w:rPr>
        <w:t>Statistical bulletin, Office for National Statistics</w:t>
      </w:r>
      <w:r w:rsidRPr="00F6757E">
        <w:rPr>
          <w:noProof/>
        </w:rPr>
        <w:t xml:space="preserve"> (2016).</w:t>
      </w:r>
    </w:p>
    <w:p w14:paraId="723657CF" w14:textId="77777777" w:rsidR="00F6757E" w:rsidRPr="00F6757E" w:rsidRDefault="00F6757E" w:rsidP="00F6757E">
      <w:pPr>
        <w:pStyle w:val="EndNoteBibliography"/>
        <w:spacing w:after="0"/>
        <w:ind w:left="720" w:hanging="720"/>
        <w:rPr>
          <w:noProof/>
        </w:rPr>
      </w:pPr>
      <w:r w:rsidRPr="00F6757E">
        <w:rPr>
          <w:noProof/>
        </w:rPr>
        <w:t>5</w:t>
      </w:r>
      <w:r w:rsidRPr="00F6757E">
        <w:rPr>
          <w:noProof/>
        </w:rPr>
        <w:tab/>
        <w:t xml:space="preserve">Green, M. S., Harari, G. &amp; Kristal-Boneh, E. Excess winter mortality from ischaemic heart disease and stroke during colder and warmer years in Israel. </w:t>
      </w:r>
      <w:r w:rsidRPr="00F6757E">
        <w:rPr>
          <w:i/>
          <w:noProof/>
        </w:rPr>
        <w:t>The European Journal of Public Health</w:t>
      </w:r>
      <w:r w:rsidRPr="00F6757E">
        <w:rPr>
          <w:noProof/>
        </w:rPr>
        <w:t xml:space="preserve"> </w:t>
      </w:r>
      <w:r w:rsidRPr="00F6757E">
        <w:rPr>
          <w:b/>
          <w:noProof/>
        </w:rPr>
        <w:t>4</w:t>
      </w:r>
      <w:r w:rsidRPr="00F6757E">
        <w:rPr>
          <w:noProof/>
        </w:rPr>
        <w:t>, 3-11 (1994).</w:t>
      </w:r>
    </w:p>
    <w:p w14:paraId="4F530DD6" w14:textId="77777777" w:rsidR="00F6757E" w:rsidRPr="00F6757E" w:rsidRDefault="00F6757E" w:rsidP="00F6757E">
      <w:pPr>
        <w:pStyle w:val="EndNoteBibliography"/>
        <w:spacing w:after="0"/>
        <w:ind w:left="720" w:hanging="720"/>
        <w:rPr>
          <w:noProof/>
        </w:rPr>
      </w:pPr>
      <w:r w:rsidRPr="00F6757E">
        <w:rPr>
          <w:noProof/>
        </w:rPr>
        <w:t>6</w:t>
      </w:r>
      <w:r w:rsidRPr="00F6757E">
        <w:rPr>
          <w:noProof/>
        </w:rPr>
        <w:tab/>
        <w:t xml:space="preserve">Gemmell, I., McLoone, P., Boddy, F. A., Dickinson, G. J. &amp; Watt, G. C. M. Seasonal variation in mortality in Scotland. </w:t>
      </w:r>
      <w:r w:rsidRPr="00F6757E">
        <w:rPr>
          <w:i/>
          <w:noProof/>
        </w:rPr>
        <w:t>International Journal of Epidemiology</w:t>
      </w:r>
      <w:r w:rsidRPr="00F6757E">
        <w:rPr>
          <w:noProof/>
        </w:rPr>
        <w:t xml:space="preserve"> </w:t>
      </w:r>
      <w:r w:rsidRPr="00F6757E">
        <w:rPr>
          <w:b/>
          <w:noProof/>
        </w:rPr>
        <w:t>29</w:t>
      </w:r>
      <w:r w:rsidRPr="00F6757E">
        <w:rPr>
          <w:noProof/>
        </w:rPr>
        <w:t>, 274-279, doi:10.1093/ije/29.2.274 (2000).</w:t>
      </w:r>
    </w:p>
    <w:p w14:paraId="72442CDE" w14:textId="77777777" w:rsidR="00F6757E" w:rsidRPr="00F6757E" w:rsidRDefault="00F6757E" w:rsidP="00F6757E">
      <w:pPr>
        <w:pStyle w:val="EndNoteBibliography"/>
        <w:spacing w:after="0"/>
        <w:ind w:left="720" w:hanging="720"/>
        <w:rPr>
          <w:noProof/>
        </w:rPr>
      </w:pPr>
      <w:r w:rsidRPr="00F6757E">
        <w:rPr>
          <w:noProof/>
        </w:rPr>
        <w:t>7</w:t>
      </w:r>
      <w:r w:rsidRPr="00F6757E">
        <w:rPr>
          <w:noProof/>
        </w:rPr>
        <w:tab/>
        <w:t xml:space="preserve">Feinstein, C. A. Seasonality of deaths in the US by age and cause. </w:t>
      </w:r>
      <w:r w:rsidRPr="00F6757E">
        <w:rPr>
          <w:i/>
          <w:noProof/>
        </w:rPr>
        <w:t>Demographic Research</w:t>
      </w:r>
      <w:r w:rsidRPr="00F6757E">
        <w:rPr>
          <w:noProof/>
        </w:rPr>
        <w:t xml:space="preserve"> </w:t>
      </w:r>
      <w:r w:rsidRPr="00F6757E">
        <w:rPr>
          <w:b/>
          <w:noProof/>
        </w:rPr>
        <w:t>6</w:t>
      </w:r>
      <w:r w:rsidRPr="00F6757E">
        <w:rPr>
          <w:noProof/>
        </w:rPr>
        <w:t>, 469-486 (2002).</w:t>
      </w:r>
    </w:p>
    <w:p w14:paraId="722FA01C" w14:textId="77777777" w:rsidR="00F6757E" w:rsidRPr="00F6757E" w:rsidRDefault="00F6757E" w:rsidP="00F6757E">
      <w:pPr>
        <w:pStyle w:val="EndNoteBibliography"/>
        <w:spacing w:after="0"/>
        <w:ind w:left="720" w:hanging="720"/>
        <w:rPr>
          <w:noProof/>
        </w:rPr>
      </w:pPr>
      <w:r w:rsidRPr="00F6757E">
        <w:rPr>
          <w:noProof/>
        </w:rPr>
        <w:t>8</w:t>
      </w:r>
      <w:r w:rsidRPr="00F6757E">
        <w:rPr>
          <w:noProof/>
        </w:rPr>
        <w:tab/>
        <w:t xml:space="preserve">Rau, R. &amp; Doblhammer, G. Seasonal mortality in Denmark: the role of sex and age. </w:t>
      </w:r>
      <w:r w:rsidRPr="00F6757E">
        <w:rPr>
          <w:i/>
          <w:noProof/>
        </w:rPr>
        <w:t>Demographic Research</w:t>
      </w:r>
      <w:r w:rsidRPr="00F6757E">
        <w:rPr>
          <w:noProof/>
        </w:rPr>
        <w:t xml:space="preserve"> </w:t>
      </w:r>
      <w:r w:rsidRPr="00F6757E">
        <w:rPr>
          <w:b/>
          <w:noProof/>
        </w:rPr>
        <w:t>9</w:t>
      </w:r>
      <w:r w:rsidRPr="00F6757E">
        <w:rPr>
          <w:noProof/>
        </w:rPr>
        <w:t>, 197-222 (2003).</w:t>
      </w:r>
    </w:p>
    <w:p w14:paraId="6CC8EC2D" w14:textId="77777777" w:rsidR="00F6757E" w:rsidRPr="00F6757E" w:rsidRDefault="00F6757E" w:rsidP="00F6757E">
      <w:pPr>
        <w:pStyle w:val="EndNoteBibliography"/>
        <w:spacing w:after="0"/>
        <w:ind w:left="720" w:hanging="720"/>
        <w:rPr>
          <w:noProof/>
        </w:rPr>
      </w:pPr>
      <w:r w:rsidRPr="00F6757E">
        <w:rPr>
          <w:noProof/>
        </w:rPr>
        <w:t>9</w:t>
      </w:r>
      <w:r w:rsidRPr="00F6757E">
        <w:rPr>
          <w:noProof/>
        </w:rPr>
        <w:tab/>
        <w:t xml:space="preserve">Davis, R. E., Knappenberger, P. C., Michaels, P. J. &amp; Novicoff, W. M. Seasonality of climate-human mortality relationships in US cities and impacts of climate change. </w:t>
      </w:r>
      <w:r w:rsidRPr="00F6757E">
        <w:rPr>
          <w:i/>
          <w:noProof/>
        </w:rPr>
        <w:t>Climate Research</w:t>
      </w:r>
      <w:r w:rsidRPr="00F6757E">
        <w:rPr>
          <w:noProof/>
        </w:rPr>
        <w:t xml:space="preserve"> </w:t>
      </w:r>
      <w:r w:rsidRPr="00F6757E">
        <w:rPr>
          <w:b/>
          <w:noProof/>
        </w:rPr>
        <w:t>26</w:t>
      </w:r>
      <w:r w:rsidRPr="00F6757E">
        <w:rPr>
          <w:noProof/>
        </w:rPr>
        <w:t>, 61-76 (2004).</w:t>
      </w:r>
    </w:p>
    <w:p w14:paraId="31B91967" w14:textId="77777777" w:rsidR="00F6757E" w:rsidRPr="00F6757E" w:rsidRDefault="00F6757E" w:rsidP="00F6757E">
      <w:pPr>
        <w:pStyle w:val="EndNoteBibliography"/>
        <w:spacing w:after="0"/>
        <w:ind w:left="720" w:hanging="720"/>
        <w:rPr>
          <w:noProof/>
        </w:rPr>
      </w:pPr>
      <w:r w:rsidRPr="00F6757E">
        <w:rPr>
          <w:noProof/>
        </w:rPr>
        <w:t>10</w:t>
      </w:r>
      <w:r w:rsidRPr="00F6757E">
        <w:rPr>
          <w:noProof/>
        </w:rPr>
        <w:tab/>
        <w:t xml:space="preserve">Kalkstein, A. J. Regional similarities in seasonal mortality across the United States: an examination of 28 metropolitan statistical areas. </w:t>
      </w:r>
      <w:r w:rsidRPr="00F6757E">
        <w:rPr>
          <w:i/>
          <w:noProof/>
        </w:rPr>
        <w:t>PloS one</w:t>
      </w:r>
      <w:r w:rsidRPr="00F6757E">
        <w:rPr>
          <w:noProof/>
        </w:rPr>
        <w:t xml:space="preserve"> </w:t>
      </w:r>
      <w:r w:rsidRPr="00F6757E">
        <w:rPr>
          <w:b/>
          <w:noProof/>
        </w:rPr>
        <w:t>8</w:t>
      </w:r>
      <w:r w:rsidRPr="00F6757E">
        <w:rPr>
          <w:noProof/>
        </w:rPr>
        <w:t>, e63971 (2013).</w:t>
      </w:r>
    </w:p>
    <w:p w14:paraId="02DDE49B" w14:textId="77777777" w:rsidR="00F6757E" w:rsidRPr="00F6757E" w:rsidRDefault="00F6757E" w:rsidP="00F6757E">
      <w:pPr>
        <w:pStyle w:val="EndNoteBibliography"/>
        <w:spacing w:after="0"/>
        <w:ind w:left="720" w:hanging="720"/>
        <w:rPr>
          <w:noProof/>
        </w:rPr>
      </w:pPr>
      <w:r w:rsidRPr="00F6757E">
        <w:rPr>
          <w:noProof/>
        </w:rPr>
        <w:t>11</w:t>
      </w:r>
      <w:r w:rsidRPr="00F6757E">
        <w:rPr>
          <w:noProof/>
        </w:rPr>
        <w:tab/>
        <w:t xml:space="preserve">Barreca, A., Clay, K., Deschenes, O., Greenstone, M. &amp; Shapiro, J. S. Adapting to Climate Change: The Remarkable Decline in the US Temperature-Mortality Relationship over the Twentieth Century. </w:t>
      </w:r>
      <w:r w:rsidRPr="00F6757E">
        <w:rPr>
          <w:i/>
          <w:noProof/>
        </w:rPr>
        <w:t>Journal of Political Economy</w:t>
      </w:r>
      <w:r w:rsidRPr="00F6757E">
        <w:rPr>
          <w:noProof/>
        </w:rPr>
        <w:t xml:space="preserve"> </w:t>
      </w:r>
      <w:r w:rsidRPr="00F6757E">
        <w:rPr>
          <w:b/>
          <w:noProof/>
        </w:rPr>
        <w:t>124</w:t>
      </w:r>
      <w:r w:rsidRPr="00F6757E">
        <w:rPr>
          <w:noProof/>
        </w:rPr>
        <w:t>, 105-159, doi:doi:10.1086/684582 (2016).</w:t>
      </w:r>
    </w:p>
    <w:p w14:paraId="74E02C53" w14:textId="77777777" w:rsidR="00F6757E" w:rsidRPr="00F6757E" w:rsidRDefault="00F6757E" w:rsidP="00F6757E">
      <w:pPr>
        <w:pStyle w:val="EndNoteBibliography"/>
        <w:spacing w:after="0"/>
        <w:ind w:left="720" w:hanging="720"/>
        <w:rPr>
          <w:noProof/>
        </w:rPr>
      </w:pPr>
      <w:r w:rsidRPr="00F6757E">
        <w:rPr>
          <w:noProof/>
        </w:rPr>
        <w:t>12</w:t>
      </w:r>
      <w:r w:rsidRPr="00F6757E">
        <w:rPr>
          <w:noProof/>
        </w:rPr>
        <w:tab/>
        <w:t xml:space="preserve">Rosenwaike, I. Seasonal variation of deaths in the United States, 1951–1960. </w:t>
      </w:r>
      <w:r w:rsidRPr="00F6757E">
        <w:rPr>
          <w:i/>
          <w:noProof/>
        </w:rPr>
        <w:t>Journal of the American Statistical Association</w:t>
      </w:r>
      <w:r w:rsidRPr="00F6757E">
        <w:rPr>
          <w:noProof/>
        </w:rPr>
        <w:t xml:space="preserve"> </w:t>
      </w:r>
      <w:r w:rsidRPr="00F6757E">
        <w:rPr>
          <w:b/>
          <w:noProof/>
        </w:rPr>
        <w:t>61</w:t>
      </w:r>
      <w:r w:rsidRPr="00F6757E">
        <w:rPr>
          <w:noProof/>
        </w:rPr>
        <w:t>, 706-719 (1966).</w:t>
      </w:r>
    </w:p>
    <w:p w14:paraId="52BBADB3" w14:textId="77777777" w:rsidR="00F6757E" w:rsidRPr="00F6757E" w:rsidRDefault="00F6757E" w:rsidP="00F6757E">
      <w:pPr>
        <w:pStyle w:val="EndNoteBibliography"/>
        <w:spacing w:after="0"/>
        <w:ind w:left="720" w:hanging="720"/>
        <w:rPr>
          <w:noProof/>
        </w:rPr>
      </w:pPr>
      <w:r w:rsidRPr="00F6757E">
        <w:rPr>
          <w:noProof/>
        </w:rPr>
        <w:t>13</w:t>
      </w:r>
      <w:r w:rsidRPr="00F6757E">
        <w:rPr>
          <w:noProof/>
        </w:rPr>
        <w:tab/>
        <w:t xml:space="preserve">Rogot, E., Fabsitz, R. &amp; Feinleib, M. Daily variation in USA mortality. </w:t>
      </w:r>
      <w:r w:rsidRPr="00F6757E">
        <w:rPr>
          <w:i/>
          <w:noProof/>
        </w:rPr>
        <w:t>American journal of epidemiology</w:t>
      </w:r>
      <w:r w:rsidRPr="00F6757E">
        <w:rPr>
          <w:noProof/>
        </w:rPr>
        <w:t xml:space="preserve"> </w:t>
      </w:r>
      <w:r w:rsidRPr="00F6757E">
        <w:rPr>
          <w:b/>
          <w:noProof/>
        </w:rPr>
        <w:t>103</w:t>
      </w:r>
      <w:r w:rsidRPr="00F6757E">
        <w:rPr>
          <w:noProof/>
        </w:rPr>
        <w:t>, 198-211 (1976).</w:t>
      </w:r>
    </w:p>
    <w:p w14:paraId="1B66E30D" w14:textId="77777777" w:rsidR="00F6757E" w:rsidRPr="00F6757E" w:rsidRDefault="00F6757E" w:rsidP="00F6757E">
      <w:pPr>
        <w:pStyle w:val="EndNoteBibliography"/>
        <w:spacing w:after="0"/>
        <w:ind w:left="720" w:hanging="720"/>
        <w:rPr>
          <w:noProof/>
        </w:rPr>
      </w:pPr>
      <w:r w:rsidRPr="00F6757E">
        <w:rPr>
          <w:noProof/>
        </w:rPr>
        <w:t>14</w:t>
      </w:r>
      <w:r w:rsidRPr="00F6757E">
        <w:rPr>
          <w:noProof/>
        </w:rPr>
        <w:tab/>
        <w:t xml:space="preserve">Mackenbach, J., Kunst, A. &amp; Looman, C. Seasonal variation in mortality in The Netherlands. </w:t>
      </w:r>
      <w:r w:rsidRPr="00F6757E">
        <w:rPr>
          <w:i/>
          <w:noProof/>
        </w:rPr>
        <w:t>Journal of Epidemiology and Community Health</w:t>
      </w:r>
      <w:r w:rsidRPr="00F6757E">
        <w:rPr>
          <w:noProof/>
        </w:rPr>
        <w:t xml:space="preserve"> </w:t>
      </w:r>
      <w:r w:rsidRPr="00F6757E">
        <w:rPr>
          <w:b/>
          <w:noProof/>
        </w:rPr>
        <w:t>46</w:t>
      </w:r>
      <w:r w:rsidRPr="00F6757E">
        <w:rPr>
          <w:noProof/>
        </w:rPr>
        <w:t>, 261-265 (1992).</w:t>
      </w:r>
    </w:p>
    <w:p w14:paraId="23DB1C2F" w14:textId="77777777" w:rsidR="00F6757E" w:rsidRPr="00F6757E" w:rsidRDefault="00F6757E" w:rsidP="00F6757E">
      <w:pPr>
        <w:pStyle w:val="EndNoteBibliography"/>
        <w:spacing w:after="0"/>
        <w:ind w:left="720" w:hanging="720"/>
        <w:rPr>
          <w:noProof/>
        </w:rPr>
      </w:pPr>
      <w:r w:rsidRPr="00F6757E">
        <w:rPr>
          <w:noProof/>
        </w:rPr>
        <w:t>15</w:t>
      </w:r>
      <w:r w:rsidRPr="00F6757E">
        <w:rPr>
          <w:noProof/>
        </w:rPr>
        <w:tab/>
        <w:t xml:space="preserve">LAAKE, K. &amp; SVERRE, J. M. Winter excess mortality: a comparison between Norway and England plus Wales. </w:t>
      </w:r>
      <w:r w:rsidRPr="00F6757E">
        <w:rPr>
          <w:i/>
          <w:noProof/>
        </w:rPr>
        <w:t>Age and ageing</w:t>
      </w:r>
      <w:r w:rsidRPr="00F6757E">
        <w:rPr>
          <w:noProof/>
        </w:rPr>
        <w:t xml:space="preserve"> </w:t>
      </w:r>
      <w:r w:rsidRPr="00F6757E">
        <w:rPr>
          <w:b/>
          <w:noProof/>
        </w:rPr>
        <w:t>25</w:t>
      </w:r>
      <w:r w:rsidRPr="00F6757E">
        <w:rPr>
          <w:noProof/>
        </w:rPr>
        <w:t>, 343-348 (1996).</w:t>
      </w:r>
    </w:p>
    <w:p w14:paraId="2E1A3630" w14:textId="77777777" w:rsidR="00F6757E" w:rsidRPr="00F6757E" w:rsidRDefault="00F6757E" w:rsidP="00F6757E">
      <w:pPr>
        <w:pStyle w:val="EndNoteBibliography"/>
        <w:spacing w:after="0"/>
        <w:ind w:left="720" w:hanging="720"/>
        <w:rPr>
          <w:noProof/>
        </w:rPr>
      </w:pPr>
      <w:r w:rsidRPr="00F6757E">
        <w:rPr>
          <w:noProof/>
        </w:rPr>
        <w:t>16</w:t>
      </w:r>
      <w:r w:rsidRPr="00F6757E">
        <w:rPr>
          <w:noProof/>
        </w:rPr>
        <w:tab/>
        <w:t xml:space="preserve">Trudeau, R. Monthly and daily patterns of death. </w:t>
      </w:r>
      <w:r w:rsidRPr="00F6757E">
        <w:rPr>
          <w:i/>
          <w:noProof/>
        </w:rPr>
        <w:t>HEALTH REPORTS-STATISTICS CANADA</w:t>
      </w:r>
      <w:r w:rsidRPr="00F6757E">
        <w:rPr>
          <w:noProof/>
        </w:rPr>
        <w:t xml:space="preserve"> </w:t>
      </w:r>
      <w:r w:rsidRPr="00F6757E">
        <w:rPr>
          <w:b/>
          <w:noProof/>
        </w:rPr>
        <w:t>9</w:t>
      </w:r>
      <w:r w:rsidRPr="00F6757E">
        <w:rPr>
          <w:noProof/>
        </w:rPr>
        <w:t>, 43-52 (1997).</w:t>
      </w:r>
    </w:p>
    <w:p w14:paraId="5D5E1D1F" w14:textId="77777777" w:rsidR="00F6757E" w:rsidRPr="00F6757E" w:rsidRDefault="00F6757E" w:rsidP="00F6757E">
      <w:pPr>
        <w:pStyle w:val="EndNoteBibliography"/>
        <w:spacing w:after="0"/>
        <w:ind w:left="720" w:hanging="720"/>
        <w:rPr>
          <w:noProof/>
        </w:rPr>
      </w:pPr>
      <w:r w:rsidRPr="00F6757E">
        <w:rPr>
          <w:noProof/>
        </w:rPr>
        <w:t>17</w:t>
      </w:r>
      <w:r w:rsidRPr="00F6757E">
        <w:rPr>
          <w:noProof/>
        </w:rPr>
        <w:tab/>
        <w:t xml:space="preserve">Lerchl, A. Changes in the seasonality of mortality in Germany from 1946 to 1995: the role of temperature. </w:t>
      </w:r>
      <w:r w:rsidRPr="00F6757E">
        <w:rPr>
          <w:i/>
          <w:noProof/>
        </w:rPr>
        <w:t>International Journal of Biometeorology</w:t>
      </w:r>
      <w:r w:rsidRPr="00F6757E">
        <w:rPr>
          <w:noProof/>
        </w:rPr>
        <w:t xml:space="preserve"> </w:t>
      </w:r>
      <w:r w:rsidRPr="00F6757E">
        <w:rPr>
          <w:b/>
          <w:noProof/>
        </w:rPr>
        <w:t>42</w:t>
      </w:r>
      <w:r w:rsidRPr="00F6757E">
        <w:rPr>
          <w:noProof/>
        </w:rPr>
        <w:t>, 84-88, doi:DOI 10.1007/s004840050089 (1998).</w:t>
      </w:r>
    </w:p>
    <w:p w14:paraId="76A1FE78" w14:textId="77777777" w:rsidR="00F6757E" w:rsidRPr="00F6757E" w:rsidRDefault="00F6757E" w:rsidP="00F6757E">
      <w:pPr>
        <w:pStyle w:val="EndNoteBibliography"/>
        <w:spacing w:after="0"/>
        <w:ind w:left="720" w:hanging="720"/>
        <w:rPr>
          <w:noProof/>
        </w:rPr>
      </w:pPr>
      <w:r w:rsidRPr="00F6757E">
        <w:rPr>
          <w:noProof/>
        </w:rPr>
        <w:t>18</w:t>
      </w:r>
      <w:r w:rsidRPr="00F6757E">
        <w:rPr>
          <w:noProof/>
        </w:rPr>
        <w:tab/>
        <w:t xml:space="preserve">Davis, R. E., Knappenberger, P. C., Novicoff, W. M. &amp; Michaels, P. J. Decadal changes in heat-related human mortality in the eastern United States. </w:t>
      </w:r>
      <w:r w:rsidRPr="00F6757E">
        <w:rPr>
          <w:i/>
          <w:noProof/>
        </w:rPr>
        <w:t>Climate Research</w:t>
      </w:r>
      <w:r w:rsidRPr="00F6757E">
        <w:rPr>
          <w:noProof/>
        </w:rPr>
        <w:t xml:space="preserve"> </w:t>
      </w:r>
      <w:r w:rsidRPr="00F6757E">
        <w:rPr>
          <w:b/>
          <w:noProof/>
        </w:rPr>
        <w:t>22</w:t>
      </w:r>
      <w:r w:rsidRPr="00F6757E">
        <w:rPr>
          <w:noProof/>
        </w:rPr>
        <w:t>, 175-184 (2002).</w:t>
      </w:r>
    </w:p>
    <w:p w14:paraId="76DAE087" w14:textId="77777777" w:rsidR="00F6757E" w:rsidRPr="00F6757E" w:rsidRDefault="00F6757E" w:rsidP="00F6757E">
      <w:pPr>
        <w:pStyle w:val="EndNoteBibliography"/>
        <w:spacing w:after="0"/>
        <w:ind w:left="720" w:hanging="720"/>
        <w:rPr>
          <w:noProof/>
        </w:rPr>
      </w:pPr>
      <w:r w:rsidRPr="00F6757E">
        <w:rPr>
          <w:noProof/>
        </w:rPr>
        <w:t>19</w:t>
      </w:r>
      <w:r w:rsidRPr="00F6757E">
        <w:rPr>
          <w:noProof/>
        </w:rPr>
        <w:tab/>
        <w:t>Nakaji, S.</w:t>
      </w:r>
      <w:r w:rsidRPr="00F6757E">
        <w:rPr>
          <w:i/>
          <w:noProof/>
        </w:rPr>
        <w:t xml:space="preserve"> et al.</w:t>
      </w:r>
      <w:r w:rsidRPr="00F6757E">
        <w:rPr>
          <w:noProof/>
        </w:rPr>
        <w:t xml:space="preserve"> Seasonal changes in mortality rates from main causes of death in Japan. </w:t>
      </w:r>
      <w:r w:rsidRPr="00F6757E">
        <w:rPr>
          <w:i/>
          <w:noProof/>
        </w:rPr>
        <w:t>European journal of epidemiology</w:t>
      </w:r>
      <w:r w:rsidRPr="00F6757E">
        <w:rPr>
          <w:noProof/>
        </w:rPr>
        <w:t xml:space="preserve"> </w:t>
      </w:r>
      <w:r w:rsidRPr="00F6757E">
        <w:rPr>
          <w:b/>
          <w:noProof/>
        </w:rPr>
        <w:t>19</w:t>
      </w:r>
      <w:r w:rsidRPr="00F6757E">
        <w:rPr>
          <w:noProof/>
        </w:rPr>
        <w:t>, 905-913 (2004).</w:t>
      </w:r>
    </w:p>
    <w:p w14:paraId="2B99384D" w14:textId="77777777" w:rsidR="00F6757E" w:rsidRPr="00F6757E" w:rsidRDefault="00F6757E" w:rsidP="00F6757E">
      <w:pPr>
        <w:pStyle w:val="EndNoteBibliography"/>
        <w:spacing w:after="0"/>
        <w:ind w:left="720" w:hanging="720"/>
        <w:rPr>
          <w:noProof/>
        </w:rPr>
      </w:pPr>
      <w:r w:rsidRPr="00F6757E">
        <w:rPr>
          <w:noProof/>
        </w:rPr>
        <w:t>20</w:t>
      </w:r>
      <w:r w:rsidRPr="00F6757E">
        <w:rPr>
          <w:noProof/>
        </w:rPr>
        <w:tab/>
        <w:t xml:space="preserve">Brown, G., Fearn, V. &amp; Wells, C. Exploratory analysis of seasonal mortality in England and Wales, 1998 to 2007. </w:t>
      </w:r>
      <w:r w:rsidRPr="00F6757E">
        <w:rPr>
          <w:i/>
          <w:noProof/>
        </w:rPr>
        <w:t>Health Statistics Quarterly</w:t>
      </w:r>
      <w:r w:rsidRPr="00F6757E">
        <w:rPr>
          <w:noProof/>
        </w:rPr>
        <w:t>, 58 (2010).</w:t>
      </w:r>
    </w:p>
    <w:p w14:paraId="329B7508" w14:textId="77777777" w:rsidR="00F6757E" w:rsidRPr="00F6757E" w:rsidRDefault="00F6757E" w:rsidP="00F6757E">
      <w:pPr>
        <w:pStyle w:val="EndNoteBibliography"/>
        <w:spacing w:after="0"/>
        <w:ind w:left="720" w:hanging="720"/>
        <w:rPr>
          <w:noProof/>
        </w:rPr>
      </w:pPr>
      <w:r w:rsidRPr="00F6757E">
        <w:rPr>
          <w:noProof/>
        </w:rPr>
        <w:t>21</w:t>
      </w:r>
      <w:r w:rsidRPr="00F6757E">
        <w:rPr>
          <w:noProof/>
        </w:rPr>
        <w:tab/>
        <w:t>Marti-Soler, H.</w:t>
      </w:r>
      <w:r w:rsidRPr="00F6757E">
        <w:rPr>
          <w:i/>
          <w:noProof/>
        </w:rPr>
        <w:t xml:space="preserve"> et al.</w:t>
      </w:r>
      <w:r w:rsidRPr="00F6757E">
        <w:rPr>
          <w:noProof/>
        </w:rPr>
        <w:t xml:space="preserve"> Seasonal Variation of Overall and Cardiovascular Mortality: A Study in 19 Countries from Different Geographic Locations. </w:t>
      </w:r>
      <w:r w:rsidRPr="00F6757E">
        <w:rPr>
          <w:i/>
          <w:noProof/>
        </w:rPr>
        <w:t>Plos One</w:t>
      </w:r>
      <w:r w:rsidRPr="00F6757E">
        <w:rPr>
          <w:noProof/>
        </w:rPr>
        <w:t xml:space="preserve"> </w:t>
      </w:r>
      <w:r w:rsidRPr="00F6757E">
        <w:rPr>
          <w:b/>
          <w:noProof/>
        </w:rPr>
        <w:t>9</w:t>
      </w:r>
      <w:r w:rsidRPr="00F6757E">
        <w:rPr>
          <w:noProof/>
        </w:rPr>
        <w:t>, 13, doi:10.1371/journal.pone.0113500 (2014).</w:t>
      </w:r>
    </w:p>
    <w:p w14:paraId="20A61E6C" w14:textId="77777777" w:rsidR="00F6757E" w:rsidRPr="00F6757E" w:rsidRDefault="00F6757E" w:rsidP="00F6757E">
      <w:pPr>
        <w:pStyle w:val="EndNoteBibliography"/>
        <w:spacing w:after="0"/>
        <w:ind w:left="720" w:hanging="720"/>
        <w:rPr>
          <w:noProof/>
        </w:rPr>
      </w:pPr>
      <w:r w:rsidRPr="00F6757E">
        <w:rPr>
          <w:noProof/>
        </w:rPr>
        <w:t>22</w:t>
      </w:r>
      <w:r w:rsidRPr="00F6757E">
        <w:rPr>
          <w:noProof/>
        </w:rPr>
        <w:tab/>
        <w:t>Fowler, T.</w:t>
      </w:r>
      <w:r w:rsidRPr="00F6757E">
        <w:rPr>
          <w:i/>
          <w:noProof/>
        </w:rPr>
        <w:t xml:space="preserve"> et al.</w:t>
      </w:r>
      <w:r w:rsidRPr="00F6757E">
        <w:rPr>
          <w:noProof/>
        </w:rPr>
        <w:t xml:space="preserve"> Excess winter deaths in Europe: a multi-country descriptive analysis. </w:t>
      </w:r>
      <w:r w:rsidRPr="00F6757E">
        <w:rPr>
          <w:i/>
          <w:noProof/>
        </w:rPr>
        <w:t>Eur J Public Health</w:t>
      </w:r>
      <w:r w:rsidRPr="00F6757E">
        <w:rPr>
          <w:noProof/>
        </w:rPr>
        <w:t xml:space="preserve"> </w:t>
      </w:r>
      <w:r w:rsidRPr="00F6757E">
        <w:rPr>
          <w:b/>
          <w:noProof/>
        </w:rPr>
        <w:t>25</w:t>
      </w:r>
      <w:r w:rsidRPr="00F6757E">
        <w:rPr>
          <w:noProof/>
        </w:rPr>
        <w:t>, 339-345, doi:10.1093/eurpub/cku073 (2015).</w:t>
      </w:r>
    </w:p>
    <w:p w14:paraId="0C2FD6B3" w14:textId="77777777" w:rsidR="00F6757E" w:rsidRPr="00F6757E" w:rsidRDefault="00F6757E" w:rsidP="00F6757E">
      <w:pPr>
        <w:pStyle w:val="EndNoteBibliography"/>
        <w:spacing w:after="0"/>
        <w:ind w:left="720" w:hanging="720"/>
        <w:rPr>
          <w:noProof/>
        </w:rPr>
      </w:pPr>
      <w:r w:rsidRPr="00F6757E">
        <w:rPr>
          <w:noProof/>
        </w:rPr>
        <w:t>23</w:t>
      </w:r>
      <w:r w:rsidRPr="00F6757E">
        <w:rPr>
          <w:noProof/>
        </w:rPr>
        <w:tab/>
        <w:t xml:space="preserve">Medina-Ramon, M. &amp; Schwartz, J. Temperature, temperature extremes, and mortality: a study of acclimatisation and effect modification in 50 US cities. </w:t>
      </w:r>
      <w:r w:rsidRPr="00F6757E">
        <w:rPr>
          <w:i/>
          <w:noProof/>
        </w:rPr>
        <w:t>Occupational and Environmental Medicine</w:t>
      </w:r>
      <w:r w:rsidRPr="00F6757E">
        <w:rPr>
          <w:noProof/>
        </w:rPr>
        <w:t xml:space="preserve"> </w:t>
      </w:r>
      <w:r w:rsidRPr="00F6757E">
        <w:rPr>
          <w:b/>
          <w:noProof/>
        </w:rPr>
        <w:t>64</w:t>
      </w:r>
      <w:r w:rsidRPr="00F6757E">
        <w:rPr>
          <w:noProof/>
        </w:rPr>
        <w:t>, 827-833, doi:10.1136/oem.2007.033175 (2007).</w:t>
      </w:r>
    </w:p>
    <w:p w14:paraId="330C1EBC" w14:textId="77777777" w:rsidR="00F6757E" w:rsidRPr="00F6757E" w:rsidRDefault="00F6757E" w:rsidP="00F6757E">
      <w:pPr>
        <w:pStyle w:val="EndNoteBibliography"/>
        <w:spacing w:after="0"/>
        <w:ind w:left="720" w:hanging="720"/>
        <w:rPr>
          <w:noProof/>
        </w:rPr>
      </w:pPr>
      <w:r w:rsidRPr="00F6757E">
        <w:rPr>
          <w:noProof/>
        </w:rPr>
        <w:t>24</w:t>
      </w:r>
      <w:r w:rsidRPr="00F6757E">
        <w:rPr>
          <w:noProof/>
        </w:rPr>
        <w:tab/>
        <w:t xml:space="preserve">Bennett, J. E., Blangiardo, M., Fecht, D., Elliott, P. &amp; Ezzati, M. Vulnerability to the mortality effects of warm temperature in the districts of England and Wales. </w:t>
      </w:r>
      <w:r w:rsidRPr="00F6757E">
        <w:rPr>
          <w:i/>
          <w:noProof/>
        </w:rPr>
        <w:t>Nature Climate Change</w:t>
      </w:r>
      <w:r w:rsidRPr="00F6757E">
        <w:rPr>
          <w:noProof/>
        </w:rPr>
        <w:t xml:space="preserve"> </w:t>
      </w:r>
      <w:r w:rsidRPr="00F6757E">
        <w:rPr>
          <w:b/>
          <w:noProof/>
        </w:rPr>
        <w:t>4</w:t>
      </w:r>
      <w:r w:rsidRPr="00F6757E">
        <w:rPr>
          <w:noProof/>
        </w:rPr>
        <w:t>, 269-273, doi:10.1038/nclimate2123 (2014).</w:t>
      </w:r>
    </w:p>
    <w:p w14:paraId="78D0102D" w14:textId="77777777" w:rsidR="00F6757E" w:rsidRPr="00F6757E" w:rsidRDefault="00F6757E" w:rsidP="00F6757E">
      <w:pPr>
        <w:pStyle w:val="EndNoteBibliography"/>
        <w:spacing w:after="0"/>
        <w:ind w:left="720" w:hanging="720"/>
        <w:rPr>
          <w:noProof/>
        </w:rPr>
      </w:pPr>
      <w:r w:rsidRPr="00F6757E">
        <w:rPr>
          <w:noProof/>
        </w:rPr>
        <w:t>25</w:t>
      </w:r>
      <w:r w:rsidRPr="00F6757E">
        <w:rPr>
          <w:noProof/>
        </w:rPr>
        <w:tab/>
        <w:t xml:space="preserve">Moy, C. M., Seltzer, G. O., Rodbell, D. T. &amp; Anderson, D. M. Variability of El Nino/Southern Oscillation activity at millennial timescales during the Holocene epoch. </w:t>
      </w:r>
      <w:r w:rsidRPr="00F6757E">
        <w:rPr>
          <w:i/>
          <w:noProof/>
        </w:rPr>
        <w:t>Nature</w:t>
      </w:r>
      <w:r w:rsidRPr="00F6757E">
        <w:rPr>
          <w:noProof/>
        </w:rPr>
        <w:t xml:space="preserve"> </w:t>
      </w:r>
      <w:r w:rsidRPr="00F6757E">
        <w:rPr>
          <w:b/>
          <w:noProof/>
        </w:rPr>
        <w:t>420</w:t>
      </w:r>
      <w:r w:rsidRPr="00F6757E">
        <w:rPr>
          <w:noProof/>
        </w:rPr>
        <w:t>, 162-165, doi:10.1038/nature01194 (2002).</w:t>
      </w:r>
    </w:p>
    <w:p w14:paraId="470A84D5" w14:textId="77777777" w:rsidR="00F6757E" w:rsidRPr="00F6757E" w:rsidRDefault="00F6757E" w:rsidP="00F6757E">
      <w:pPr>
        <w:pStyle w:val="EndNoteBibliography"/>
        <w:spacing w:after="0"/>
        <w:ind w:left="720" w:hanging="720"/>
        <w:rPr>
          <w:noProof/>
        </w:rPr>
      </w:pPr>
      <w:r w:rsidRPr="00F6757E">
        <w:rPr>
          <w:noProof/>
        </w:rPr>
        <w:t>26</w:t>
      </w:r>
      <w:r w:rsidRPr="00F6757E">
        <w:rPr>
          <w:noProof/>
        </w:rPr>
        <w:tab/>
        <w:t xml:space="preserve">Grenfell, B., Bjørnstad, O. &amp; Kappey, J. Travelling waves and spatial hierarchies in measles epidemics. </w:t>
      </w:r>
      <w:r w:rsidRPr="00F6757E">
        <w:rPr>
          <w:i/>
          <w:noProof/>
        </w:rPr>
        <w:t>Nature</w:t>
      </w:r>
      <w:r w:rsidRPr="00F6757E">
        <w:rPr>
          <w:noProof/>
        </w:rPr>
        <w:t xml:space="preserve"> </w:t>
      </w:r>
      <w:r w:rsidRPr="00F6757E">
        <w:rPr>
          <w:b/>
          <w:noProof/>
        </w:rPr>
        <w:t>414</w:t>
      </w:r>
      <w:r w:rsidRPr="00F6757E">
        <w:rPr>
          <w:noProof/>
        </w:rPr>
        <w:t>, 716-723 (2001).</w:t>
      </w:r>
    </w:p>
    <w:p w14:paraId="5903A6E5" w14:textId="77777777" w:rsidR="00F6757E" w:rsidRPr="00F6757E" w:rsidRDefault="00F6757E" w:rsidP="00F6757E">
      <w:pPr>
        <w:pStyle w:val="EndNoteBibliography"/>
        <w:spacing w:after="0"/>
        <w:ind w:left="720" w:hanging="720"/>
        <w:rPr>
          <w:noProof/>
        </w:rPr>
      </w:pPr>
      <w:r w:rsidRPr="00F6757E">
        <w:rPr>
          <w:noProof/>
        </w:rPr>
        <w:t>27</w:t>
      </w:r>
      <w:r w:rsidRPr="00F6757E">
        <w:rPr>
          <w:noProof/>
        </w:rPr>
        <w:tab/>
        <w:t xml:space="preserve">Karl, T. &amp; Koss, W. J. </w:t>
      </w:r>
      <w:r w:rsidRPr="00F6757E">
        <w:rPr>
          <w:i/>
          <w:noProof/>
        </w:rPr>
        <w:t>Regional and national monthly, seasonal, and annual temperature weighted by area, 1895-1983</w:t>
      </w:r>
      <w:r w:rsidRPr="00F6757E">
        <w:rPr>
          <w:noProof/>
        </w:rPr>
        <w:t>.  (National Climatic Data Center, 1984).</w:t>
      </w:r>
    </w:p>
    <w:p w14:paraId="7E8D0FF1" w14:textId="77777777" w:rsidR="00F6757E" w:rsidRPr="00F6757E" w:rsidRDefault="00F6757E" w:rsidP="00F6757E">
      <w:pPr>
        <w:pStyle w:val="EndNoteBibliography"/>
        <w:spacing w:after="0"/>
        <w:ind w:left="720" w:hanging="720"/>
        <w:rPr>
          <w:noProof/>
        </w:rPr>
      </w:pPr>
      <w:r w:rsidRPr="00F6757E">
        <w:rPr>
          <w:noProof/>
        </w:rPr>
        <w:t>28</w:t>
      </w:r>
      <w:r w:rsidRPr="00F6757E">
        <w:rPr>
          <w:noProof/>
        </w:rPr>
        <w:tab/>
        <w:t>Ingram, D. D.</w:t>
      </w:r>
      <w:r w:rsidRPr="00F6757E">
        <w:rPr>
          <w:i/>
          <w:noProof/>
        </w:rPr>
        <w:t xml:space="preserve"> et al.</w:t>
      </w:r>
      <w:r w:rsidRPr="00F6757E">
        <w:rPr>
          <w:noProof/>
        </w:rPr>
        <w:t xml:space="preserve"> United States Census 2000 population with bridged race categories. </w:t>
      </w:r>
      <w:r w:rsidRPr="00F6757E">
        <w:rPr>
          <w:i/>
          <w:noProof/>
        </w:rPr>
        <w:t>Vital and health statistics. Series 2, Data evaluation and methods research</w:t>
      </w:r>
      <w:r w:rsidRPr="00F6757E">
        <w:rPr>
          <w:noProof/>
        </w:rPr>
        <w:t>, 1-55 (2003).</w:t>
      </w:r>
    </w:p>
    <w:p w14:paraId="75C1A946" w14:textId="77777777" w:rsidR="00F6757E" w:rsidRPr="00F6757E" w:rsidRDefault="00F6757E" w:rsidP="00F6757E">
      <w:pPr>
        <w:pStyle w:val="EndNoteBibliography"/>
        <w:spacing w:after="0"/>
        <w:ind w:left="720" w:hanging="720"/>
        <w:rPr>
          <w:noProof/>
        </w:rPr>
      </w:pPr>
      <w:r w:rsidRPr="00F6757E">
        <w:rPr>
          <w:noProof/>
        </w:rPr>
        <w:t>29</w:t>
      </w:r>
      <w:r w:rsidRPr="00F6757E">
        <w:rPr>
          <w:noProof/>
        </w:rPr>
        <w:tab/>
        <w:t>Cazelles, B.</w:t>
      </w:r>
      <w:r w:rsidRPr="00F6757E">
        <w:rPr>
          <w:i/>
          <w:noProof/>
        </w:rPr>
        <w:t xml:space="preserve"> et al.</w:t>
      </w:r>
      <w:r w:rsidRPr="00F6757E">
        <w:rPr>
          <w:noProof/>
        </w:rPr>
        <w:t xml:space="preserve"> Wavelet analysis of ecological time series. </w:t>
      </w:r>
      <w:r w:rsidRPr="00F6757E">
        <w:rPr>
          <w:i/>
          <w:noProof/>
        </w:rPr>
        <w:t>Oecologia</w:t>
      </w:r>
      <w:r w:rsidRPr="00F6757E">
        <w:rPr>
          <w:noProof/>
        </w:rPr>
        <w:t xml:space="preserve"> </w:t>
      </w:r>
      <w:r w:rsidRPr="00F6757E">
        <w:rPr>
          <w:b/>
          <w:noProof/>
        </w:rPr>
        <w:t>156</w:t>
      </w:r>
      <w:r w:rsidRPr="00F6757E">
        <w:rPr>
          <w:noProof/>
        </w:rPr>
        <w:t>, 287-304 (2008).</w:t>
      </w:r>
    </w:p>
    <w:p w14:paraId="3EC0D8FB" w14:textId="77777777" w:rsidR="00F6757E" w:rsidRPr="00F6757E" w:rsidRDefault="00F6757E" w:rsidP="00F6757E">
      <w:pPr>
        <w:pStyle w:val="EndNoteBibliography"/>
        <w:ind w:left="720" w:hanging="720"/>
        <w:rPr>
          <w:noProof/>
        </w:rPr>
      </w:pPr>
      <w:r w:rsidRPr="00F6757E">
        <w:rPr>
          <w:noProof/>
        </w:rPr>
        <w:t>30</w:t>
      </w:r>
      <w:r w:rsidRPr="00F6757E">
        <w:rPr>
          <w:noProof/>
        </w:rPr>
        <w:tab/>
        <w:t xml:space="preserve">Paireau, J., Chen, A., Broutin, H., Grenfell, B. &amp; Basta, N. E. Seasonal dynamics of bacterial meningitis: a time-series analysis. </w:t>
      </w:r>
      <w:r w:rsidRPr="00F6757E">
        <w:rPr>
          <w:i/>
          <w:noProof/>
        </w:rPr>
        <w:t>Lancet Global Health</w:t>
      </w:r>
      <w:r w:rsidRPr="00F6757E">
        <w:rPr>
          <w:noProof/>
        </w:rPr>
        <w:t xml:space="preserve"> </w:t>
      </w:r>
      <w:r w:rsidRPr="00F6757E">
        <w:rPr>
          <w:b/>
          <w:noProof/>
        </w:rPr>
        <w:t>4</w:t>
      </w:r>
      <w:r w:rsidRPr="00F6757E">
        <w:rPr>
          <w:noProof/>
        </w:rPr>
        <w:t>, E370-E377 (2016).</w:t>
      </w:r>
    </w:p>
    <w:p w14:paraId="6317C9EC" w14:textId="74BAD66C"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1ED02049" w14:textId="77777777" w:rsidR="00AF52C5" w:rsidRPr="004E0482" w:rsidRDefault="00AF52C5" w:rsidP="00B3245F">
      <w:pPr>
        <w:rPr>
          <w:rFonts w:ascii="Times New Roman" w:hAnsi="Times New Roman"/>
          <w:color w:val="000000" w:themeColor="text1"/>
          <w:sz w:val="24"/>
          <w:szCs w:val="24"/>
        </w:rPr>
      </w:pPr>
    </w:p>
    <w:p w14:paraId="292F446F" w14:textId="77777777" w:rsidR="00AF52C5" w:rsidRPr="004E0482" w:rsidRDefault="00AF52C5" w:rsidP="00B3245F">
      <w:pPr>
        <w:rPr>
          <w:rFonts w:ascii="Times New Roman" w:hAnsi="Times New Roman"/>
          <w:color w:val="000000" w:themeColor="text1"/>
          <w:sz w:val="24"/>
          <w:szCs w:val="24"/>
        </w:rPr>
      </w:pPr>
    </w:p>
    <w:p w14:paraId="156131D1" w14:textId="77777777" w:rsidR="00AF52C5" w:rsidRPr="004E0482" w:rsidRDefault="00AF52C5" w:rsidP="00B3245F">
      <w:pPr>
        <w:rPr>
          <w:rFonts w:ascii="Times New Roman" w:hAnsi="Times New Roman"/>
          <w:color w:val="000000" w:themeColor="text1"/>
          <w:sz w:val="24"/>
          <w:szCs w:val="24"/>
        </w:rPr>
      </w:pPr>
    </w:p>
    <w:p w14:paraId="4CC0CA16" w14:textId="77777777" w:rsidR="00AF52C5" w:rsidRPr="004E0482" w:rsidRDefault="00AF52C5" w:rsidP="00B3245F">
      <w:pPr>
        <w:rPr>
          <w:rFonts w:ascii="Times New Roman" w:hAnsi="Times New Roman"/>
          <w:color w:val="000000" w:themeColor="text1"/>
          <w:sz w:val="24"/>
          <w:szCs w:val="24"/>
        </w:rPr>
      </w:pPr>
    </w:p>
    <w:p w14:paraId="1B157973" w14:textId="77777777" w:rsidR="00AF52C5" w:rsidRPr="004E0482" w:rsidRDefault="00AF52C5" w:rsidP="00B3245F">
      <w:pPr>
        <w:rPr>
          <w:rFonts w:ascii="Times New Roman" w:hAnsi="Times New Roman"/>
          <w:color w:val="000000" w:themeColor="text1"/>
          <w:sz w:val="24"/>
          <w:szCs w:val="24"/>
        </w:rPr>
      </w:pPr>
    </w:p>
    <w:p w14:paraId="21E0E0E2" w14:textId="77777777" w:rsidR="00AF52C5" w:rsidRPr="004E0482" w:rsidRDefault="00AF52C5" w:rsidP="00B3245F">
      <w:pPr>
        <w:rPr>
          <w:rFonts w:ascii="Times New Roman" w:hAnsi="Times New Roman"/>
          <w:color w:val="000000" w:themeColor="text1"/>
          <w:sz w:val="24"/>
          <w:szCs w:val="24"/>
        </w:rPr>
      </w:pPr>
    </w:p>
    <w:p w14:paraId="4B20091B" w14:textId="77777777" w:rsidR="00AF52C5" w:rsidRPr="004E0482" w:rsidRDefault="00AF52C5" w:rsidP="00B3245F">
      <w:pPr>
        <w:rPr>
          <w:rFonts w:ascii="Times New Roman" w:hAnsi="Times New Roman"/>
          <w:color w:val="000000" w:themeColor="text1"/>
          <w:sz w:val="24"/>
          <w:szCs w:val="24"/>
        </w:rPr>
      </w:pPr>
    </w:p>
    <w:p w14:paraId="270A23D5" w14:textId="77777777" w:rsidR="00AF52C5" w:rsidRPr="004E0482" w:rsidRDefault="00AF52C5" w:rsidP="00B3245F">
      <w:pPr>
        <w:rPr>
          <w:rFonts w:ascii="Times New Roman" w:hAnsi="Times New Roman"/>
          <w:color w:val="000000" w:themeColor="text1"/>
          <w:sz w:val="24"/>
          <w:szCs w:val="24"/>
        </w:rPr>
      </w:pPr>
    </w:p>
    <w:p w14:paraId="4B0D5FBF" w14:textId="77777777" w:rsidR="00AF52C5" w:rsidRPr="004E0482" w:rsidRDefault="00AF52C5" w:rsidP="00B3245F">
      <w:pPr>
        <w:rPr>
          <w:rFonts w:ascii="Times New Roman" w:hAnsi="Times New Roman"/>
          <w:color w:val="000000" w:themeColor="text1"/>
          <w:sz w:val="24"/>
          <w:szCs w:val="24"/>
        </w:rPr>
      </w:pPr>
    </w:p>
    <w:p w14:paraId="5B1EF328" w14:textId="77777777" w:rsidR="00AF52C5" w:rsidRPr="004E0482" w:rsidRDefault="00AF52C5" w:rsidP="00B3245F">
      <w:pPr>
        <w:rPr>
          <w:rFonts w:ascii="Times New Roman" w:hAnsi="Times New Roman"/>
          <w:color w:val="000000" w:themeColor="text1"/>
          <w:sz w:val="24"/>
          <w:szCs w:val="24"/>
        </w:rPr>
      </w:pPr>
    </w:p>
    <w:p w14:paraId="4D633E64" w14:textId="77777777" w:rsidR="00AF52C5" w:rsidRPr="004E0482" w:rsidRDefault="00AF52C5" w:rsidP="00B3245F">
      <w:pPr>
        <w:rPr>
          <w:rFonts w:ascii="Times New Roman" w:hAnsi="Times New Roman"/>
          <w:color w:val="000000" w:themeColor="text1"/>
          <w:sz w:val="24"/>
          <w:szCs w:val="24"/>
        </w:rPr>
      </w:pPr>
    </w:p>
    <w:p w14:paraId="735D5BA4" w14:textId="77777777" w:rsidR="00AF52C5" w:rsidRPr="004E0482" w:rsidRDefault="00AF52C5" w:rsidP="00B3245F">
      <w:pPr>
        <w:rPr>
          <w:rFonts w:ascii="Times New Roman" w:hAnsi="Times New Roman"/>
          <w:color w:val="000000" w:themeColor="text1"/>
          <w:sz w:val="24"/>
          <w:szCs w:val="24"/>
        </w:rPr>
      </w:pPr>
    </w:p>
    <w:p w14:paraId="5F919032" w14:textId="77777777" w:rsidR="00AF52C5" w:rsidRPr="004E0482" w:rsidRDefault="00AF52C5" w:rsidP="00B3245F">
      <w:pPr>
        <w:rPr>
          <w:rFonts w:ascii="Times New Roman" w:hAnsi="Times New Roman"/>
          <w:color w:val="000000" w:themeColor="text1"/>
          <w:sz w:val="24"/>
          <w:szCs w:val="24"/>
        </w:rPr>
      </w:pPr>
    </w:p>
    <w:p w14:paraId="6E55C479" w14:textId="77777777" w:rsidR="00AF52C5" w:rsidRPr="004E0482" w:rsidRDefault="00AF52C5" w:rsidP="00B3245F">
      <w:pPr>
        <w:rPr>
          <w:rFonts w:ascii="Times New Roman" w:hAnsi="Times New Roman"/>
          <w:color w:val="000000" w:themeColor="text1"/>
          <w:sz w:val="24"/>
          <w:szCs w:val="24"/>
        </w:rPr>
      </w:pPr>
    </w:p>
    <w:p w14:paraId="6B5F4EE4" w14:textId="77777777" w:rsidR="00AF52C5" w:rsidRPr="004E0482" w:rsidRDefault="00AF52C5" w:rsidP="00B3245F">
      <w:pPr>
        <w:rPr>
          <w:rFonts w:ascii="Times New Roman" w:hAnsi="Times New Roman"/>
          <w:color w:val="000000" w:themeColor="text1"/>
          <w:sz w:val="24"/>
          <w:szCs w:val="24"/>
        </w:rPr>
      </w:pPr>
    </w:p>
    <w:p w14:paraId="768D3587"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18BB53A6" w:rsidR="00AF52C5" w:rsidRPr="004E0482"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1" w:name="_Ref468360496"/>
      <w:r w:rsidRPr="004E0482">
        <w:rPr>
          <w:rFonts w:ascii="Times New Roman" w:hAnsi="Times New Roman"/>
          <w:b/>
          <w:color w:val="000000" w:themeColor="text1"/>
          <w:sz w:val="24"/>
          <w:szCs w:val="24"/>
        </w:rPr>
        <w:t xml:space="preserve">Figure </w:t>
      </w:r>
      <w:bookmarkEnd w:id="1"/>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19D21D72" w:rsidR="00CA0751" w:rsidRDefault="00CA0751" w:rsidP="000475BD">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CC06CB7" w14:textId="1A6C9E3E" w:rsidR="00971550" w:rsidRDefault="00CA0751" w:rsidP="00CA0751">
      <w:pPr>
        <w:pStyle w:val="Caption"/>
        <w:spacing w:line="480" w:lineRule="auto"/>
        <w:jc w:val="both"/>
        <w:rPr>
          <w:rFonts w:ascii="Times New Roman" w:hAnsi="Times New Roman"/>
          <w:i w:val="0"/>
          <w:color w:val="000000" w:themeColor="text1"/>
          <w:sz w:val="24"/>
          <w:szCs w:val="24"/>
        </w:rPr>
      </w:pPr>
      <w:r>
        <w:rPr>
          <w:rFonts w:ascii="Times New Roman" w:hAnsi="Times New Roman"/>
          <w:b/>
          <w:i w:val="0"/>
          <w:color w:val="000000" w:themeColor="text1"/>
          <w:sz w:val="24"/>
          <w:szCs w:val="24"/>
        </w:rPr>
        <w:t>Table 1</w:t>
      </w:r>
      <w:r w:rsidRPr="004E0482">
        <w:rPr>
          <w:rFonts w:ascii="Times New Roman" w:hAnsi="Times New Roman"/>
          <w:b/>
          <w:i w:val="0"/>
          <w:color w:val="000000" w:themeColor="text1"/>
          <w:sz w:val="24"/>
          <w:szCs w:val="24"/>
        </w:rPr>
        <w:t>.</w:t>
      </w:r>
      <w:r w:rsidRPr="004E0482">
        <w:rPr>
          <w:rFonts w:ascii="Times New Roman" w:hAnsi="Times New Roman"/>
          <w:i w:val="0"/>
          <w:color w:val="000000" w:themeColor="text1"/>
          <w:sz w:val="24"/>
          <w:szCs w:val="24"/>
        </w:rPr>
        <w:t xml:space="preserve"> </w:t>
      </w:r>
      <w:r w:rsidRPr="003D18FA">
        <w:rPr>
          <w:rFonts w:ascii="Times New Roman" w:hAnsi="Times New Roman"/>
          <w:i w:val="0"/>
          <w:color w:val="000000" w:themeColor="text1"/>
          <w:sz w:val="24"/>
          <w:szCs w:val="24"/>
        </w:rPr>
        <w:t xml:space="preserve">Table of mean timing of national maximum and minimum all-cause mortality, by sex and age group for 1982-2013. </w:t>
      </w:r>
      <w:r w:rsidR="00343668">
        <w:rPr>
          <w:rFonts w:ascii="Times New Roman" w:hAnsi="Times New Roman"/>
          <w:i w:val="0"/>
          <w:color w:val="000000" w:themeColor="text1"/>
          <w:sz w:val="24"/>
          <w:szCs w:val="24"/>
        </w:rPr>
        <w:t xml:space="preserve">1 is January, 2 </w:t>
      </w:r>
      <w:r w:rsidR="008908FE">
        <w:rPr>
          <w:rFonts w:ascii="Times New Roman" w:hAnsi="Times New Roman"/>
          <w:i w:val="0"/>
          <w:color w:val="000000" w:themeColor="text1"/>
          <w:sz w:val="24"/>
          <w:szCs w:val="24"/>
        </w:rPr>
        <w:t xml:space="preserve">is </w:t>
      </w:r>
      <w:r w:rsidR="00343668">
        <w:rPr>
          <w:rFonts w:ascii="Times New Roman" w:hAnsi="Times New Roman"/>
          <w:i w:val="0"/>
          <w:color w:val="000000" w:themeColor="text1"/>
          <w:sz w:val="24"/>
          <w:szCs w:val="24"/>
        </w:rPr>
        <w:t xml:space="preserve">February, etc. </w:t>
      </w:r>
      <w:r w:rsidR="003D18FA" w:rsidRPr="003D18FA">
        <w:rPr>
          <w:rFonts w:ascii="Times New Roman" w:hAnsi="Times New Roman"/>
          <w:i w:val="0"/>
          <w:color w:val="000000"/>
          <w:sz w:val="24"/>
          <w:szCs w:val="24"/>
          <w:lang w:eastAsia="en-GB"/>
        </w:rPr>
        <w:t>Numbers in brackets show 95% credible intervals, obtained from bootstrapping</w:t>
      </w:r>
      <w:r w:rsidRPr="003D18FA">
        <w:rPr>
          <w:rFonts w:ascii="Times New Roman" w:hAnsi="Times New Roman"/>
          <w:i w:val="0"/>
          <w:color w:val="000000" w:themeColor="text1"/>
          <w:sz w:val="24"/>
          <w:szCs w:val="24"/>
        </w:rPr>
        <w:t>. Only age-sex groups with statistically significant 12-month seasonality are included.</w:t>
      </w:r>
    </w:p>
    <w:tbl>
      <w:tblPr>
        <w:tblStyle w:val="TableGrid"/>
        <w:tblW w:w="9090" w:type="dxa"/>
        <w:tblLook w:val="04A0" w:firstRow="1" w:lastRow="0" w:firstColumn="1" w:lastColumn="0" w:noHBand="0" w:noVBand="1"/>
      </w:tblPr>
      <w:tblGrid>
        <w:gridCol w:w="1811"/>
        <w:gridCol w:w="1816"/>
        <w:gridCol w:w="1907"/>
        <w:gridCol w:w="1816"/>
        <w:gridCol w:w="1740"/>
      </w:tblGrid>
      <w:tr w:rsidR="00505A63" w14:paraId="31AF6193" w14:textId="77777777" w:rsidTr="00177281">
        <w:trPr>
          <w:trHeight w:val="429"/>
        </w:trPr>
        <w:tc>
          <w:tcPr>
            <w:tcW w:w="1811" w:type="dxa"/>
          </w:tcPr>
          <w:p w14:paraId="64886ADC" w14:textId="57047B44" w:rsidR="00D5093E" w:rsidRPr="00D5093E" w:rsidRDefault="00D5093E" w:rsidP="00D5093E">
            <w:pPr>
              <w:jc w:val="center"/>
              <w:rPr>
                <w:rFonts w:ascii="Times New Roman" w:hAnsi="Times New Roman"/>
              </w:rPr>
            </w:pPr>
            <w:r w:rsidRPr="00D5093E">
              <w:rPr>
                <w:rFonts w:ascii="Times New Roman" w:hAnsi="Times New Roman"/>
              </w:rPr>
              <w:t>Age group</w:t>
            </w:r>
          </w:p>
        </w:tc>
        <w:tc>
          <w:tcPr>
            <w:tcW w:w="3723" w:type="dxa"/>
            <w:gridSpan w:val="2"/>
          </w:tcPr>
          <w:p w14:paraId="60785568" w14:textId="575C0D4A" w:rsidR="00D5093E" w:rsidRPr="00D5093E" w:rsidRDefault="00D5093E" w:rsidP="00D5093E">
            <w:pPr>
              <w:jc w:val="center"/>
              <w:rPr>
                <w:rFonts w:ascii="Times New Roman" w:hAnsi="Times New Roman"/>
              </w:rPr>
            </w:pPr>
            <w:r>
              <w:rPr>
                <w:rFonts w:ascii="Times New Roman" w:hAnsi="Times New Roman"/>
              </w:rPr>
              <w:t>Men</w:t>
            </w:r>
          </w:p>
        </w:tc>
        <w:tc>
          <w:tcPr>
            <w:tcW w:w="3556" w:type="dxa"/>
            <w:gridSpan w:val="2"/>
          </w:tcPr>
          <w:p w14:paraId="03716EAC" w14:textId="5A35B406" w:rsidR="00D5093E" w:rsidRPr="00D5093E" w:rsidRDefault="00D5093E" w:rsidP="00D5093E">
            <w:pPr>
              <w:jc w:val="center"/>
              <w:rPr>
                <w:rFonts w:ascii="Times New Roman" w:hAnsi="Times New Roman"/>
              </w:rPr>
            </w:pPr>
            <w:r>
              <w:rPr>
                <w:rFonts w:ascii="Times New Roman" w:hAnsi="Times New Roman"/>
              </w:rPr>
              <w:t>Women</w:t>
            </w:r>
          </w:p>
        </w:tc>
      </w:tr>
      <w:tr w:rsidR="00A4662F" w14:paraId="2D12D682" w14:textId="77777777" w:rsidTr="00177281">
        <w:trPr>
          <w:trHeight w:val="429"/>
        </w:trPr>
        <w:tc>
          <w:tcPr>
            <w:tcW w:w="1811" w:type="dxa"/>
          </w:tcPr>
          <w:p w14:paraId="34793539" w14:textId="77777777" w:rsidR="00D5093E" w:rsidRPr="00D5093E" w:rsidRDefault="00D5093E" w:rsidP="00D5093E">
            <w:pPr>
              <w:jc w:val="center"/>
              <w:rPr>
                <w:rFonts w:ascii="Times New Roman" w:hAnsi="Times New Roman"/>
              </w:rPr>
            </w:pPr>
          </w:p>
        </w:tc>
        <w:tc>
          <w:tcPr>
            <w:tcW w:w="1816" w:type="dxa"/>
          </w:tcPr>
          <w:p w14:paraId="28FB9F54" w14:textId="1092E658" w:rsidR="00D5093E" w:rsidRDefault="00D5093E" w:rsidP="00D5093E">
            <w:pPr>
              <w:jc w:val="center"/>
              <w:rPr>
                <w:rFonts w:ascii="Times New Roman" w:hAnsi="Times New Roman"/>
              </w:rPr>
            </w:pPr>
            <w:r>
              <w:rPr>
                <w:rFonts w:ascii="Times New Roman" w:hAnsi="Times New Roman"/>
              </w:rPr>
              <w:t>Maximum</w:t>
            </w:r>
          </w:p>
        </w:tc>
        <w:tc>
          <w:tcPr>
            <w:tcW w:w="1907" w:type="dxa"/>
          </w:tcPr>
          <w:p w14:paraId="581C2844" w14:textId="5B03039B" w:rsidR="00D5093E" w:rsidRPr="00D5093E" w:rsidRDefault="00D5093E" w:rsidP="00D5093E">
            <w:pPr>
              <w:jc w:val="center"/>
              <w:rPr>
                <w:rFonts w:ascii="Times New Roman" w:hAnsi="Times New Roman"/>
              </w:rPr>
            </w:pPr>
            <w:r>
              <w:rPr>
                <w:rFonts w:ascii="Times New Roman" w:hAnsi="Times New Roman"/>
              </w:rPr>
              <w:t>Minimum</w:t>
            </w:r>
          </w:p>
        </w:tc>
        <w:tc>
          <w:tcPr>
            <w:tcW w:w="1816" w:type="dxa"/>
          </w:tcPr>
          <w:p w14:paraId="2CD370B5" w14:textId="3D0DAA3D" w:rsidR="00D5093E" w:rsidRDefault="00D5093E" w:rsidP="00D5093E">
            <w:pPr>
              <w:jc w:val="center"/>
              <w:rPr>
                <w:rFonts w:ascii="Times New Roman" w:hAnsi="Times New Roman"/>
              </w:rPr>
            </w:pPr>
            <w:r>
              <w:rPr>
                <w:rFonts w:ascii="Times New Roman" w:hAnsi="Times New Roman"/>
              </w:rPr>
              <w:t>Maximum</w:t>
            </w:r>
          </w:p>
        </w:tc>
        <w:tc>
          <w:tcPr>
            <w:tcW w:w="1740" w:type="dxa"/>
          </w:tcPr>
          <w:p w14:paraId="4B418EDF" w14:textId="68EF5894" w:rsidR="00D5093E" w:rsidRDefault="00D5093E" w:rsidP="00D5093E">
            <w:pPr>
              <w:jc w:val="center"/>
              <w:rPr>
                <w:rFonts w:ascii="Times New Roman" w:hAnsi="Times New Roman"/>
              </w:rPr>
            </w:pPr>
            <w:r>
              <w:rPr>
                <w:rFonts w:ascii="Times New Roman" w:hAnsi="Times New Roman"/>
              </w:rPr>
              <w:t>Minimum</w:t>
            </w:r>
          </w:p>
        </w:tc>
      </w:tr>
      <w:tr w:rsidR="00A4662F" w14:paraId="57B929AF" w14:textId="77777777" w:rsidTr="00177281">
        <w:trPr>
          <w:trHeight w:val="429"/>
        </w:trPr>
        <w:tc>
          <w:tcPr>
            <w:tcW w:w="1811" w:type="dxa"/>
          </w:tcPr>
          <w:p w14:paraId="303F1ADF" w14:textId="3F90C662" w:rsidR="00FF43B5" w:rsidRPr="00D5093E" w:rsidRDefault="00FF43B5" w:rsidP="005120F4">
            <w:pPr>
              <w:rPr>
                <w:rFonts w:ascii="Times New Roman" w:hAnsi="Times New Roman"/>
              </w:rPr>
            </w:pPr>
            <w:r w:rsidRPr="00D5093E">
              <w:rPr>
                <w:rFonts w:ascii="Times New Roman" w:hAnsi="Times New Roman"/>
              </w:rPr>
              <w:t>0-4 years</w:t>
            </w:r>
          </w:p>
        </w:tc>
        <w:tc>
          <w:tcPr>
            <w:tcW w:w="1816" w:type="dxa"/>
            <w:vAlign w:val="bottom"/>
          </w:tcPr>
          <w:p w14:paraId="748F3333" w14:textId="197BDB75" w:rsidR="00FF43B5" w:rsidRPr="00D5093E" w:rsidRDefault="00FF43B5" w:rsidP="002B2622">
            <w:pPr>
              <w:jc w:val="center"/>
              <w:rPr>
                <w:rFonts w:ascii="Times New Roman" w:hAnsi="Times New Roman"/>
              </w:rPr>
            </w:pPr>
            <w:r>
              <w:rPr>
                <w:rFonts w:eastAsia="Times New Roman"/>
                <w:color w:val="000000"/>
              </w:rPr>
              <w:t>2.32</w:t>
            </w:r>
            <w:r w:rsidR="00F96A1B">
              <w:rPr>
                <w:rFonts w:eastAsia="Times New Roman"/>
                <w:color w:val="000000"/>
              </w:rPr>
              <w:t xml:space="preserve"> (</w:t>
            </w:r>
            <w:r w:rsidR="00F5138B">
              <w:rPr>
                <w:rFonts w:eastAsia="Times New Roman"/>
                <w:color w:val="000000"/>
              </w:rPr>
              <w:t>1.70, 2.90</w:t>
            </w:r>
            <w:r w:rsidR="00F96A1B">
              <w:rPr>
                <w:rFonts w:eastAsia="Times New Roman"/>
                <w:color w:val="000000"/>
              </w:rPr>
              <w:t>)</w:t>
            </w:r>
          </w:p>
        </w:tc>
        <w:tc>
          <w:tcPr>
            <w:tcW w:w="1907" w:type="dxa"/>
            <w:vAlign w:val="bottom"/>
          </w:tcPr>
          <w:p w14:paraId="7FF6A803" w14:textId="79C3AA03" w:rsidR="00FF43B5" w:rsidRPr="00D5093E" w:rsidRDefault="00FF43B5" w:rsidP="002B2622">
            <w:pPr>
              <w:jc w:val="center"/>
              <w:rPr>
                <w:rFonts w:ascii="Times New Roman" w:hAnsi="Times New Roman"/>
              </w:rPr>
            </w:pPr>
            <w:r>
              <w:rPr>
                <w:rFonts w:eastAsia="Times New Roman"/>
                <w:color w:val="000000"/>
              </w:rPr>
              <w:t>8.32</w:t>
            </w:r>
            <w:r w:rsidR="00F96A1B">
              <w:rPr>
                <w:rFonts w:eastAsia="Times New Roman"/>
                <w:color w:val="000000"/>
              </w:rPr>
              <w:t xml:space="preserve"> (</w:t>
            </w:r>
            <w:r w:rsidR="00090550">
              <w:rPr>
                <w:rFonts w:eastAsia="Times New Roman"/>
                <w:color w:val="000000"/>
              </w:rPr>
              <w:t>7.85, 8.82</w:t>
            </w:r>
            <w:r w:rsidR="00F96A1B">
              <w:rPr>
                <w:rFonts w:eastAsia="Times New Roman"/>
                <w:color w:val="000000"/>
              </w:rPr>
              <w:t>)</w:t>
            </w:r>
          </w:p>
        </w:tc>
        <w:tc>
          <w:tcPr>
            <w:tcW w:w="1816" w:type="dxa"/>
            <w:vAlign w:val="bottom"/>
          </w:tcPr>
          <w:p w14:paraId="28CAAF92" w14:textId="5CE761B2" w:rsidR="00FF43B5" w:rsidRPr="00D5093E" w:rsidRDefault="00FF43B5" w:rsidP="002B2622">
            <w:pPr>
              <w:jc w:val="center"/>
              <w:rPr>
                <w:rFonts w:ascii="Times New Roman" w:hAnsi="Times New Roman"/>
              </w:rPr>
            </w:pPr>
            <w:r>
              <w:rPr>
                <w:rFonts w:eastAsia="Times New Roman"/>
                <w:color w:val="000000"/>
              </w:rPr>
              <w:t>2.14</w:t>
            </w:r>
            <w:r w:rsidR="00F96A1B">
              <w:rPr>
                <w:rFonts w:eastAsia="Times New Roman"/>
                <w:color w:val="000000"/>
              </w:rPr>
              <w:t xml:space="preserve"> (</w:t>
            </w:r>
            <w:r w:rsidR="00505A63">
              <w:rPr>
                <w:rFonts w:eastAsia="Times New Roman"/>
                <w:color w:val="000000"/>
              </w:rPr>
              <w:t>1.47, 2.80</w:t>
            </w:r>
            <w:r w:rsidR="00F96A1B">
              <w:rPr>
                <w:rFonts w:eastAsia="Times New Roman"/>
                <w:color w:val="000000"/>
              </w:rPr>
              <w:t>)</w:t>
            </w:r>
          </w:p>
        </w:tc>
        <w:tc>
          <w:tcPr>
            <w:tcW w:w="1740" w:type="dxa"/>
            <w:vAlign w:val="bottom"/>
          </w:tcPr>
          <w:p w14:paraId="3498747A" w14:textId="3724D5C2" w:rsidR="00FF43B5" w:rsidRPr="00D5093E" w:rsidRDefault="00FF43B5" w:rsidP="002B2622">
            <w:pPr>
              <w:jc w:val="center"/>
              <w:rPr>
                <w:rFonts w:ascii="Times New Roman" w:hAnsi="Times New Roman"/>
              </w:rPr>
            </w:pPr>
            <w:r>
              <w:rPr>
                <w:rFonts w:eastAsia="Times New Roman"/>
                <w:color w:val="000000"/>
              </w:rPr>
              <w:t>8.14</w:t>
            </w:r>
            <w:r w:rsidR="00F96A1B">
              <w:rPr>
                <w:rFonts w:eastAsia="Times New Roman"/>
                <w:color w:val="000000"/>
              </w:rPr>
              <w:t xml:space="preserve"> (</w:t>
            </w:r>
            <w:r w:rsidR="00874124">
              <w:rPr>
                <w:rFonts w:eastAsia="Times New Roman"/>
                <w:color w:val="000000"/>
              </w:rPr>
              <w:t>7.57, 8.71</w:t>
            </w:r>
            <w:r w:rsidR="00F96A1B">
              <w:rPr>
                <w:rFonts w:eastAsia="Times New Roman"/>
                <w:color w:val="000000"/>
              </w:rPr>
              <w:t>)</w:t>
            </w:r>
          </w:p>
        </w:tc>
      </w:tr>
      <w:tr w:rsidR="00A4662F" w14:paraId="24B444E6" w14:textId="77777777" w:rsidTr="00177281">
        <w:trPr>
          <w:trHeight w:val="458"/>
        </w:trPr>
        <w:tc>
          <w:tcPr>
            <w:tcW w:w="1811" w:type="dxa"/>
          </w:tcPr>
          <w:p w14:paraId="758115B5" w14:textId="301768E8" w:rsidR="00FF43B5" w:rsidRPr="00D5093E" w:rsidRDefault="00FF43B5" w:rsidP="005120F4">
            <w:pPr>
              <w:rPr>
                <w:rFonts w:ascii="Times New Roman" w:hAnsi="Times New Roman"/>
              </w:rPr>
            </w:pPr>
            <w:r>
              <w:rPr>
                <w:rFonts w:ascii="Times New Roman" w:hAnsi="Times New Roman"/>
              </w:rPr>
              <w:t>5-14 years</w:t>
            </w:r>
          </w:p>
        </w:tc>
        <w:tc>
          <w:tcPr>
            <w:tcW w:w="1816" w:type="dxa"/>
            <w:vAlign w:val="bottom"/>
          </w:tcPr>
          <w:p w14:paraId="49D54F39" w14:textId="605E8485" w:rsidR="00FF43B5" w:rsidRPr="00D5093E" w:rsidRDefault="00FF43B5" w:rsidP="002B2622">
            <w:pPr>
              <w:jc w:val="center"/>
              <w:rPr>
                <w:rFonts w:ascii="Times New Roman" w:hAnsi="Times New Roman"/>
              </w:rPr>
            </w:pPr>
            <w:r>
              <w:rPr>
                <w:rFonts w:eastAsia="Times New Roman"/>
                <w:color w:val="000000"/>
              </w:rPr>
              <w:t>6.39</w:t>
            </w:r>
            <w:r w:rsidR="00F96A1B">
              <w:rPr>
                <w:rFonts w:eastAsia="Times New Roman"/>
                <w:color w:val="000000"/>
              </w:rPr>
              <w:t xml:space="preserve"> (</w:t>
            </w:r>
            <w:r w:rsidR="00505A63">
              <w:rPr>
                <w:rFonts w:eastAsia="Times New Roman"/>
                <w:color w:val="000000"/>
              </w:rPr>
              <w:t>5.89, 6.87</w:t>
            </w:r>
            <w:r w:rsidR="00F96A1B">
              <w:rPr>
                <w:rFonts w:eastAsia="Times New Roman"/>
                <w:color w:val="000000"/>
              </w:rPr>
              <w:t>)</w:t>
            </w:r>
          </w:p>
        </w:tc>
        <w:tc>
          <w:tcPr>
            <w:tcW w:w="1907" w:type="dxa"/>
            <w:vAlign w:val="bottom"/>
          </w:tcPr>
          <w:p w14:paraId="742AB99C" w14:textId="03330C56" w:rsidR="00FF43B5" w:rsidRPr="00D5093E" w:rsidRDefault="00FF43B5" w:rsidP="00090550">
            <w:pPr>
              <w:jc w:val="center"/>
              <w:rPr>
                <w:rFonts w:ascii="Times New Roman" w:hAnsi="Times New Roman"/>
              </w:rPr>
            </w:pPr>
            <w:r>
              <w:rPr>
                <w:rFonts w:eastAsia="Times New Roman"/>
                <w:color w:val="000000"/>
              </w:rPr>
              <w:t>0.39</w:t>
            </w:r>
            <w:r w:rsidR="00F96A1B">
              <w:rPr>
                <w:rFonts w:eastAsia="Times New Roman"/>
                <w:color w:val="000000"/>
              </w:rPr>
              <w:t xml:space="preserve"> (</w:t>
            </w:r>
            <w:r w:rsidR="00090550">
              <w:rPr>
                <w:rFonts w:eastAsia="Times New Roman"/>
                <w:color w:val="000000"/>
              </w:rPr>
              <w:t>12.39, 0.84</w:t>
            </w:r>
            <w:r w:rsidR="00F96A1B">
              <w:rPr>
                <w:rFonts w:eastAsia="Times New Roman"/>
                <w:color w:val="000000"/>
              </w:rPr>
              <w:t>)</w:t>
            </w:r>
          </w:p>
        </w:tc>
        <w:tc>
          <w:tcPr>
            <w:tcW w:w="1816" w:type="dxa"/>
            <w:vAlign w:val="bottom"/>
          </w:tcPr>
          <w:p w14:paraId="768AC217" w14:textId="610F3BE0"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261F956D" w14:textId="585DD5E2" w:rsidR="00FF43B5" w:rsidRPr="00D5093E" w:rsidRDefault="00FF43B5" w:rsidP="002B2622">
            <w:pPr>
              <w:jc w:val="center"/>
              <w:rPr>
                <w:rFonts w:ascii="Times New Roman" w:hAnsi="Times New Roman"/>
              </w:rPr>
            </w:pPr>
            <w:bookmarkStart w:id="2" w:name="_GoBack"/>
            <w:bookmarkEnd w:id="2"/>
            <w:r>
              <w:rPr>
                <w:rFonts w:eastAsia="Times New Roman"/>
                <w:color w:val="000000"/>
              </w:rPr>
              <w:t>-</w:t>
            </w:r>
          </w:p>
        </w:tc>
      </w:tr>
      <w:tr w:rsidR="00A4662F" w14:paraId="6D257B4F" w14:textId="77777777" w:rsidTr="00177281">
        <w:trPr>
          <w:trHeight w:val="450"/>
        </w:trPr>
        <w:tc>
          <w:tcPr>
            <w:tcW w:w="1811" w:type="dxa"/>
          </w:tcPr>
          <w:p w14:paraId="32C3FE47" w14:textId="0D2054D1" w:rsidR="00FF43B5" w:rsidRPr="00D5093E" w:rsidRDefault="00FF43B5" w:rsidP="005120F4">
            <w:pPr>
              <w:rPr>
                <w:rFonts w:ascii="Times New Roman" w:hAnsi="Times New Roman"/>
              </w:rPr>
            </w:pPr>
            <w:r>
              <w:rPr>
                <w:rFonts w:ascii="Times New Roman" w:hAnsi="Times New Roman"/>
              </w:rPr>
              <w:t>15-24 years</w:t>
            </w:r>
          </w:p>
        </w:tc>
        <w:tc>
          <w:tcPr>
            <w:tcW w:w="1816" w:type="dxa"/>
            <w:vAlign w:val="bottom"/>
          </w:tcPr>
          <w:p w14:paraId="2C2A1A47" w14:textId="6C8754D3" w:rsidR="00FF43B5" w:rsidRPr="00D5093E" w:rsidRDefault="00FF43B5" w:rsidP="002B2622">
            <w:pPr>
              <w:jc w:val="center"/>
              <w:rPr>
                <w:rFonts w:ascii="Times New Roman" w:hAnsi="Times New Roman"/>
              </w:rPr>
            </w:pPr>
            <w:r>
              <w:rPr>
                <w:rFonts w:eastAsia="Times New Roman"/>
                <w:color w:val="000000"/>
              </w:rPr>
              <w:t>7.25</w:t>
            </w:r>
            <w:r w:rsidR="00F96A1B">
              <w:rPr>
                <w:rFonts w:eastAsia="Times New Roman"/>
                <w:color w:val="000000"/>
              </w:rPr>
              <w:t xml:space="preserve"> (</w:t>
            </w:r>
            <w:r w:rsidR="00505A63">
              <w:rPr>
                <w:rFonts w:eastAsia="Times New Roman"/>
                <w:color w:val="000000"/>
              </w:rPr>
              <w:t>7.00, 7.50</w:t>
            </w:r>
            <w:r w:rsidR="00F96A1B">
              <w:rPr>
                <w:rFonts w:eastAsia="Times New Roman"/>
                <w:color w:val="000000"/>
              </w:rPr>
              <w:t>)</w:t>
            </w:r>
          </w:p>
        </w:tc>
        <w:tc>
          <w:tcPr>
            <w:tcW w:w="1907" w:type="dxa"/>
            <w:vAlign w:val="bottom"/>
          </w:tcPr>
          <w:p w14:paraId="23FEB1A7" w14:textId="32C05BF4" w:rsidR="00FF43B5" w:rsidRPr="00D5093E" w:rsidRDefault="00FF43B5" w:rsidP="002B2622">
            <w:pPr>
              <w:jc w:val="center"/>
              <w:rPr>
                <w:rFonts w:ascii="Times New Roman" w:hAnsi="Times New Roman"/>
              </w:rPr>
            </w:pPr>
            <w:r>
              <w:rPr>
                <w:rFonts w:eastAsia="Times New Roman"/>
                <w:color w:val="000000"/>
              </w:rPr>
              <w:t>1.25</w:t>
            </w:r>
            <w:r w:rsidR="00F96A1B">
              <w:rPr>
                <w:rFonts w:eastAsia="Times New Roman"/>
                <w:color w:val="000000"/>
              </w:rPr>
              <w:t xml:space="preserve"> (</w:t>
            </w:r>
            <w:r w:rsidR="00426E51">
              <w:rPr>
                <w:rFonts w:eastAsia="Times New Roman"/>
                <w:color w:val="000000"/>
              </w:rPr>
              <w:t>1.07, 1.43</w:t>
            </w:r>
            <w:r w:rsidR="00F96A1B">
              <w:rPr>
                <w:rFonts w:eastAsia="Times New Roman"/>
                <w:color w:val="000000"/>
              </w:rPr>
              <w:t>)</w:t>
            </w:r>
          </w:p>
        </w:tc>
        <w:tc>
          <w:tcPr>
            <w:tcW w:w="1816" w:type="dxa"/>
            <w:vAlign w:val="bottom"/>
          </w:tcPr>
          <w:p w14:paraId="5A74144F" w14:textId="323A268F"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7CF20E8F" w14:textId="7E79F91F" w:rsidR="00FF43B5" w:rsidRPr="00D5093E" w:rsidRDefault="00FF43B5" w:rsidP="002B2622">
            <w:pPr>
              <w:jc w:val="center"/>
              <w:rPr>
                <w:rFonts w:ascii="Times New Roman" w:hAnsi="Times New Roman"/>
              </w:rPr>
            </w:pPr>
            <w:r>
              <w:rPr>
                <w:rFonts w:eastAsia="Times New Roman"/>
                <w:color w:val="000000"/>
              </w:rPr>
              <w:t>-</w:t>
            </w:r>
          </w:p>
        </w:tc>
      </w:tr>
      <w:tr w:rsidR="00A4662F" w14:paraId="77F05816" w14:textId="77777777" w:rsidTr="00177281">
        <w:trPr>
          <w:trHeight w:val="429"/>
        </w:trPr>
        <w:tc>
          <w:tcPr>
            <w:tcW w:w="1811" w:type="dxa"/>
          </w:tcPr>
          <w:p w14:paraId="51F86D2D" w14:textId="2C6282CF" w:rsidR="00FF43B5" w:rsidRPr="00D5093E" w:rsidRDefault="00FF43B5" w:rsidP="005120F4">
            <w:pPr>
              <w:rPr>
                <w:rFonts w:ascii="Times New Roman" w:hAnsi="Times New Roman"/>
              </w:rPr>
            </w:pPr>
            <w:r>
              <w:rPr>
                <w:rFonts w:ascii="Times New Roman" w:hAnsi="Times New Roman"/>
              </w:rPr>
              <w:t>25-34 years</w:t>
            </w:r>
          </w:p>
        </w:tc>
        <w:tc>
          <w:tcPr>
            <w:tcW w:w="1816" w:type="dxa"/>
            <w:vAlign w:val="bottom"/>
          </w:tcPr>
          <w:p w14:paraId="7DE10F83" w14:textId="46C0B32C" w:rsidR="00FF43B5" w:rsidRPr="00D5093E" w:rsidRDefault="00FF43B5" w:rsidP="002B2622">
            <w:pPr>
              <w:jc w:val="center"/>
              <w:rPr>
                <w:rFonts w:ascii="Times New Roman" w:hAnsi="Times New Roman"/>
              </w:rPr>
            </w:pPr>
            <w:r>
              <w:rPr>
                <w:rFonts w:eastAsia="Times New Roman"/>
                <w:color w:val="000000"/>
              </w:rPr>
              <w:t>7.23</w:t>
            </w:r>
            <w:r w:rsidR="00F96A1B">
              <w:rPr>
                <w:rFonts w:eastAsia="Times New Roman"/>
                <w:color w:val="000000"/>
              </w:rPr>
              <w:t xml:space="preserve"> (</w:t>
            </w:r>
            <w:r w:rsidR="00505A63">
              <w:rPr>
                <w:rFonts w:eastAsia="Times New Roman"/>
                <w:color w:val="000000"/>
              </w:rPr>
              <w:t>6.73, 7.73</w:t>
            </w:r>
            <w:r w:rsidR="00F96A1B">
              <w:rPr>
                <w:rFonts w:eastAsia="Times New Roman"/>
                <w:color w:val="000000"/>
              </w:rPr>
              <w:t>)</w:t>
            </w:r>
          </w:p>
        </w:tc>
        <w:tc>
          <w:tcPr>
            <w:tcW w:w="1907" w:type="dxa"/>
            <w:vAlign w:val="bottom"/>
          </w:tcPr>
          <w:p w14:paraId="42812B58" w14:textId="7D7FF308" w:rsidR="00FF43B5" w:rsidRPr="00D5093E" w:rsidRDefault="00FF43B5" w:rsidP="002B2622">
            <w:pPr>
              <w:jc w:val="center"/>
              <w:rPr>
                <w:rFonts w:ascii="Times New Roman" w:hAnsi="Times New Roman"/>
              </w:rPr>
            </w:pPr>
            <w:r>
              <w:rPr>
                <w:rFonts w:eastAsia="Times New Roman"/>
                <w:color w:val="000000"/>
              </w:rPr>
              <w:t>1.23</w:t>
            </w:r>
            <w:r w:rsidR="00F96A1B">
              <w:rPr>
                <w:rFonts w:eastAsia="Times New Roman"/>
                <w:color w:val="000000"/>
              </w:rPr>
              <w:t xml:space="preserve"> (</w:t>
            </w:r>
            <w:r w:rsidR="00426E51">
              <w:rPr>
                <w:rFonts w:eastAsia="Times New Roman"/>
                <w:color w:val="000000"/>
              </w:rPr>
              <w:t>0.93, 1.53</w:t>
            </w:r>
            <w:r w:rsidR="00F96A1B">
              <w:rPr>
                <w:rFonts w:eastAsia="Times New Roman"/>
                <w:color w:val="000000"/>
              </w:rPr>
              <w:t>)</w:t>
            </w:r>
          </w:p>
        </w:tc>
        <w:tc>
          <w:tcPr>
            <w:tcW w:w="1816" w:type="dxa"/>
            <w:vAlign w:val="bottom"/>
          </w:tcPr>
          <w:p w14:paraId="129E04FE" w14:textId="44D058B4"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70689A32" w14:textId="5FB4C767" w:rsidR="00FF43B5" w:rsidRPr="00D5093E" w:rsidRDefault="00FF43B5" w:rsidP="002B2622">
            <w:pPr>
              <w:jc w:val="center"/>
              <w:rPr>
                <w:rFonts w:ascii="Times New Roman" w:hAnsi="Times New Roman"/>
              </w:rPr>
            </w:pPr>
            <w:r>
              <w:rPr>
                <w:rFonts w:eastAsia="Times New Roman"/>
                <w:color w:val="000000"/>
              </w:rPr>
              <w:t>-</w:t>
            </w:r>
          </w:p>
        </w:tc>
      </w:tr>
      <w:tr w:rsidR="00A4662F" w14:paraId="619803FA" w14:textId="77777777" w:rsidTr="00177281">
        <w:trPr>
          <w:trHeight w:val="426"/>
        </w:trPr>
        <w:tc>
          <w:tcPr>
            <w:tcW w:w="1811" w:type="dxa"/>
          </w:tcPr>
          <w:p w14:paraId="5A7041CC" w14:textId="5A411178" w:rsidR="00FF43B5" w:rsidRPr="00D5093E" w:rsidRDefault="00FF43B5" w:rsidP="005120F4">
            <w:pPr>
              <w:rPr>
                <w:rFonts w:ascii="Times New Roman" w:hAnsi="Times New Roman"/>
              </w:rPr>
            </w:pPr>
            <w:r>
              <w:rPr>
                <w:rFonts w:ascii="Times New Roman" w:hAnsi="Times New Roman"/>
              </w:rPr>
              <w:t>35-44 years</w:t>
            </w:r>
          </w:p>
        </w:tc>
        <w:tc>
          <w:tcPr>
            <w:tcW w:w="1816" w:type="dxa"/>
            <w:vAlign w:val="bottom"/>
          </w:tcPr>
          <w:p w14:paraId="59135446" w14:textId="14A12F45" w:rsidR="00FF43B5" w:rsidRPr="00D5093E" w:rsidRDefault="00FF43B5" w:rsidP="002B2622">
            <w:pPr>
              <w:jc w:val="center"/>
              <w:rPr>
                <w:rFonts w:ascii="Times New Roman" w:hAnsi="Times New Roman"/>
              </w:rPr>
            </w:pPr>
            <w:r>
              <w:rPr>
                <w:rFonts w:eastAsia="Times New Roman"/>
                <w:color w:val="000000"/>
              </w:rPr>
              <w:t>-</w:t>
            </w:r>
          </w:p>
        </w:tc>
        <w:tc>
          <w:tcPr>
            <w:tcW w:w="1907" w:type="dxa"/>
            <w:vAlign w:val="bottom"/>
          </w:tcPr>
          <w:p w14:paraId="1F99080D" w14:textId="3BF77AAF" w:rsidR="00FF43B5" w:rsidRPr="00D5093E" w:rsidRDefault="00FF43B5" w:rsidP="002B2622">
            <w:pPr>
              <w:jc w:val="center"/>
              <w:rPr>
                <w:rFonts w:ascii="Times New Roman" w:hAnsi="Times New Roman"/>
              </w:rPr>
            </w:pPr>
            <w:r>
              <w:rPr>
                <w:rFonts w:eastAsia="Times New Roman"/>
                <w:color w:val="000000"/>
              </w:rPr>
              <w:t>-</w:t>
            </w:r>
          </w:p>
        </w:tc>
        <w:tc>
          <w:tcPr>
            <w:tcW w:w="1816" w:type="dxa"/>
            <w:vAlign w:val="bottom"/>
          </w:tcPr>
          <w:p w14:paraId="7A1ABC79" w14:textId="119FA0D3" w:rsidR="00FF43B5" w:rsidRPr="00D5093E" w:rsidRDefault="00FF43B5" w:rsidP="002B2622">
            <w:pPr>
              <w:jc w:val="center"/>
              <w:rPr>
                <w:rFonts w:ascii="Times New Roman" w:hAnsi="Times New Roman"/>
              </w:rPr>
            </w:pPr>
            <w:r>
              <w:rPr>
                <w:rFonts w:eastAsia="Times New Roman"/>
                <w:color w:val="000000"/>
              </w:rPr>
              <w:t>1.10</w:t>
            </w:r>
            <w:r w:rsidR="00F96A1B">
              <w:rPr>
                <w:rFonts w:eastAsia="Times New Roman"/>
                <w:color w:val="000000"/>
              </w:rPr>
              <w:t xml:space="preserve"> (</w:t>
            </w:r>
            <w:r w:rsidR="0080293E">
              <w:rPr>
                <w:rFonts w:eastAsia="Times New Roman"/>
                <w:color w:val="000000"/>
              </w:rPr>
              <w:t>0.11,2.12</w:t>
            </w:r>
            <w:r w:rsidR="00F96A1B">
              <w:rPr>
                <w:rFonts w:eastAsia="Times New Roman"/>
                <w:color w:val="000000"/>
              </w:rPr>
              <w:t>)</w:t>
            </w:r>
          </w:p>
        </w:tc>
        <w:tc>
          <w:tcPr>
            <w:tcW w:w="1740" w:type="dxa"/>
            <w:vAlign w:val="bottom"/>
          </w:tcPr>
          <w:p w14:paraId="4CD6A580" w14:textId="6E7ACDE3" w:rsidR="00FF43B5" w:rsidRPr="00D5093E" w:rsidRDefault="00FF43B5" w:rsidP="002B2622">
            <w:pPr>
              <w:jc w:val="center"/>
              <w:rPr>
                <w:rFonts w:ascii="Times New Roman" w:hAnsi="Times New Roman"/>
              </w:rPr>
            </w:pPr>
            <w:r>
              <w:rPr>
                <w:rFonts w:eastAsia="Times New Roman"/>
                <w:color w:val="000000"/>
              </w:rPr>
              <w:t>7.10</w:t>
            </w:r>
            <w:r w:rsidR="00F96A1B">
              <w:rPr>
                <w:rFonts w:eastAsia="Times New Roman"/>
                <w:color w:val="000000"/>
              </w:rPr>
              <w:t xml:space="preserve"> (</w:t>
            </w:r>
            <w:r w:rsidR="00FD5404">
              <w:rPr>
                <w:rFonts w:eastAsia="Times New Roman"/>
                <w:color w:val="000000"/>
              </w:rPr>
              <w:t>6.74, 7.48</w:t>
            </w:r>
            <w:r w:rsidR="00F96A1B">
              <w:rPr>
                <w:rFonts w:eastAsia="Times New Roman"/>
                <w:color w:val="000000"/>
              </w:rPr>
              <w:t>)</w:t>
            </w:r>
          </w:p>
        </w:tc>
      </w:tr>
      <w:tr w:rsidR="00A4662F" w14:paraId="1E505620" w14:textId="77777777" w:rsidTr="00177281">
        <w:trPr>
          <w:trHeight w:val="450"/>
        </w:trPr>
        <w:tc>
          <w:tcPr>
            <w:tcW w:w="1811" w:type="dxa"/>
          </w:tcPr>
          <w:p w14:paraId="1FDD7DEA" w14:textId="0D48135F" w:rsidR="00FF43B5" w:rsidRPr="00D5093E" w:rsidRDefault="00FF43B5" w:rsidP="005120F4">
            <w:pPr>
              <w:rPr>
                <w:rFonts w:ascii="Times New Roman" w:hAnsi="Times New Roman"/>
              </w:rPr>
            </w:pPr>
            <w:r>
              <w:rPr>
                <w:rFonts w:ascii="Times New Roman" w:hAnsi="Times New Roman"/>
              </w:rPr>
              <w:t>45-54 years</w:t>
            </w:r>
          </w:p>
        </w:tc>
        <w:tc>
          <w:tcPr>
            <w:tcW w:w="1816" w:type="dxa"/>
            <w:vAlign w:val="bottom"/>
          </w:tcPr>
          <w:p w14:paraId="017FF733" w14:textId="47B81C93" w:rsidR="00FF43B5" w:rsidRPr="00D5093E" w:rsidRDefault="00FF43B5" w:rsidP="002B2622">
            <w:pPr>
              <w:jc w:val="center"/>
              <w:rPr>
                <w:rFonts w:ascii="Times New Roman" w:hAnsi="Times New Roman"/>
              </w:rPr>
            </w:pPr>
            <w:r>
              <w:rPr>
                <w:rFonts w:eastAsia="Times New Roman"/>
                <w:color w:val="000000"/>
              </w:rPr>
              <w:t>1.61</w:t>
            </w:r>
            <w:r w:rsidR="00F96A1B">
              <w:rPr>
                <w:rFonts w:eastAsia="Times New Roman"/>
                <w:color w:val="000000"/>
              </w:rPr>
              <w:t xml:space="preserve"> (</w:t>
            </w:r>
            <w:r w:rsidR="00505A63">
              <w:rPr>
                <w:rFonts w:eastAsia="Times New Roman"/>
                <w:color w:val="000000"/>
              </w:rPr>
              <w:t>1.23, 1.94</w:t>
            </w:r>
            <w:r w:rsidR="00F96A1B">
              <w:rPr>
                <w:rFonts w:eastAsia="Times New Roman"/>
                <w:color w:val="000000"/>
              </w:rPr>
              <w:t>)</w:t>
            </w:r>
          </w:p>
        </w:tc>
        <w:tc>
          <w:tcPr>
            <w:tcW w:w="1907" w:type="dxa"/>
            <w:vAlign w:val="bottom"/>
          </w:tcPr>
          <w:p w14:paraId="0F3449A9" w14:textId="472D5783" w:rsidR="00FF43B5" w:rsidRPr="00D5093E" w:rsidRDefault="00FF43B5" w:rsidP="002B2622">
            <w:pPr>
              <w:jc w:val="center"/>
              <w:rPr>
                <w:rFonts w:ascii="Times New Roman" w:hAnsi="Times New Roman"/>
              </w:rPr>
            </w:pPr>
            <w:r>
              <w:rPr>
                <w:rFonts w:eastAsia="Times New Roman"/>
                <w:color w:val="000000"/>
              </w:rPr>
              <w:t>7.61</w:t>
            </w:r>
            <w:r w:rsidR="00F96A1B">
              <w:rPr>
                <w:rFonts w:eastAsia="Times New Roman"/>
                <w:color w:val="000000"/>
              </w:rPr>
              <w:t xml:space="preserve"> (</w:t>
            </w:r>
            <w:r w:rsidR="00426E51">
              <w:rPr>
                <w:rFonts w:eastAsia="Times New Roman"/>
                <w:color w:val="000000"/>
              </w:rPr>
              <w:t>7.40, 7.83</w:t>
            </w:r>
            <w:r w:rsidR="00F96A1B">
              <w:rPr>
                <w:rFonts w:eastAsia="Times New Roman"/>
                <w:color w:val="000000"/>
              </w:rPr>
              <w:t>)</w:t>
            </w:r>
          </w:p>
        </w:tc>
        <w:tc>
          <w:tcPr>
            <w:tcW w:w="1816" w:type="dxa"/>
            <w:vAlign w:val="bottom"/>
          </w:tcPr>
          <w:p w14:paraId="05516165" w14:textId="38CFE7B7" w:rsidR="00FF43B5" w:rsidRPr="00D5093E" w:rsidRDefault="00FF43B5" w:rsidP="002B2622">
            <w:pPr>
              <w:jc w:val="center"/>
              <w:rPr>
                <w:rFonts w:ascii="Times New Roman" w:hAnsi="Times New Roman"/>
              </w:rPr>
            </w:pPr>
            <w:r>
              <w:rPr>
                <w:rFonts w:eastAsia="Times New Roman"/>
                <w:color w:val="000000"/>
              </w:rPr>
              <w:t>1.38</w:t>
            </w:r>
            <w:r w:rsidR="00F96A1B">
              <w:rPr>
                <w:rFonts w:eastAsia="Times New Roman"/>
                <w:color w:val="000000"/>
              </w:rPr>
              <w:t xml:space="preserve"> (</w:t>
            </w:r>
            <w:r w:rsidR="009B1D00">
              <w:rPr>
                <w:rFonts w:eastAsia="Times New Roman"/>
                <w:color w:val="000000"/>
              </w:rPr>
              <w:t>0.98, 1.74</w:t>
            </w:r>
            <w:r w:rsidR="00F96A1B">
              <w:rPr>
                <w:rFonts w:eastAsia="Times New Roman"/>
                <w:color w:val="000000"/>
              </w:rPr>
              <w:t>)</w:t>
            </w:r>
          </w:p>
        </w:tc>
        <w:tc>
          <w:tcPr>
            <w:tcW w:w="1740" w:type="dxa"/>
            <w:vAlign w:val="bottom"/>
          </w:tcPr>
          <w:p w14:paraId="63FA8F17" w14:textId="7D8A1A94" w:rsidR="00FF43B5" w:rsidRPr="00D5093E" w:rsidRDefault="00FF43B5" w:rsidP="002B2622">
            <w:pPr>
              <w:jc w:val="center"/>
              <w:rPr>
                <w:rFonts w:ascii="Times New Roman" w:hAnsi="Times New Roman"/>
              </w:rPr>
            </w:pPr>
            <w:r>
              <w:rPr>
                <w:rFonts w:eastAsia="Times New Roman"/>
                <w:color w:val="000000"/>
              </w:rPr>
              <w:t>7.38</w:t>
            </w:r>
            <w:r w:rsidR="00F96A1B">
              <w:rPr>
                <w:rFonts w:eastAsia="Times New Roman"/>
                <w:color w:val="000000"/>
              </w:rPr>
              <w:t xml:space="preserve"> (</w:t>
            </w:r>
            <w:r w:rsidR="00FD5404">
              <w:rPr>
                <w:rFonts w:eastAsia="Times New Roman"/>
                <w:color w:val="000000"/>
              </w:rPr>
              <w:t>7.19, 7.57</w:t>
            </w:r>
            <w:r w:rsidR="00F96A1B">
              <w:rPr>
                <w:rFonts w:eastAsia="Times New Roman"/>
                <w:color w:val="000000"/>
              </w:rPr>
              <w:t>)</w:t>
            </w:r>
          </w:p>
        </w:tc>
      </w:tr>
      <w:tr w:rsidR="0005500F" w14:paraId="44C6736E" w14:textId="77777777" w:rsidTr="00177281">
        <w:trPr>
          <w:trHeight w:val="431"/>
        </w:trPr>
        <w:tc>
          <w:tcPr>
            <w:tcW w:w="1811" w:type="dxa"/>
          </w:tcPr>
          <w:p w14:paraId="0B04CB44" w14:textId="211BD0C5" w:rsidR="00FF43B5" w:rsidRPr="00D5093E" w:rsidRDefault="00FF43B5" w:rsidP="005120F4">
            <w:pPr>
              <w:rPr>
                <w:rFonts w:ascii="Times New Roman" w:hAnsi="Times New Roman"/>
              </w:rPr>
            </w:pPr>
            <w:r>
              <w:rPr>
                <w:rFonts w:ascii="Times New Roman" w:hAnsi="Times New Roman"/>
              </w:rPr>
              <w:t>55-64 years</w:t>
            </w:r>
          </w:p>
        </w:tc>
        <w:tc>
          <w:tcPr>
            <w:tcW w:w="1816" w:type="dxa"/>
            <w:vAlign w:val="bottom"/>
          </w:tcPr>
          <w:p w14:paraId="7ED4FCD7" w14:textId="506032BF"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505A63">
              <w:rPr>
                <w:rFonts w:eastAsia="Times New Roman"/>
                <w:color w:val="000000"/>
              </w:rPr>
              <w:t>1.48, 1.75</w:t>
            </w:r>
            <w:r w:rsidR="00F96A1B">
              <w:rPr>
                <w:rFonts w:eastAsia="Times New Roman"/>
                <w:color w:val="000000"/>
              </w:rPr>
              <w:t>)</w:t>
            </w:r>
          </w:p>
        </w:tc>
        <w:tc>
          <w:tcPr>
            <w:tcW w:w="1907" w:type="dxa"/>
            <w:vAlign w:val="bottom"/>
          </w:tcPr>
          <w:p w14:paraId="51F6A7AC" w14:textId="130594D4"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426E51">
              <w:rPr>
                <w:rFonts w:eastAsia="Times New Roman"/>
                <w:color w:val="000000"/>
              </w:rPr>
              <w:t>7.53, 7.71</w:t>
            </w:r>
            <w:r w:rsidR="00F96A1B">
              <w:rPr>
                <w:rFonts w:eastAsia="Times New Roman"/>
                <w:color w:val="000000"/>
              </w:rPr>
              <w:t>)</w:t>
            </w:r>
          </w:p>
        </w:tc>
        <w:tc>
          <w:tcPr>
            <w:tcW w:w="1816" w:type="dxa"/>
            <w:vAlign w:val="bottom"/>
          </w:tcPr>
          <w:p w14:paraId="23460232" w14:textId="575C70FC" w:rsidR="00FF43B5" w:rsidRPr="00D5093E" w:rsidRDefault="00FF43B5" w:rsidP="002B2622">
            <w:pPr>
              <w:jc w:val="center"/>
              <w:rPr>
                <w:rFonts w:ascii="Times New Roman" w:hAnsi="Times New Roman"/>
              </w:rPr>
            </w:pPr>
            <w:r>
              <w:rPr>
                <w:rFonts w:eastAsia="Times New Roman"/>
                <w:color w:val="000000"/>
              </w:rPr>
              <w:t>1.56</w:t>
            </w:r>
            <w:r w:rsidR="00F96A1B">
              <w:rPr>
                <w:rFonts w:eastAsia="Times New Roman"/>
                <w:color w:val="000000"/>
              </w:rPr>
              <w:t xml:space="preserve"> (</w:t>
            </w:r>
            <w:r w:rsidR="00953FD4">
              <w:rPr>
                <w:rFonts w:eastAsia="Times New Roman"/>
                <w:color w:val="000000"/>
              </w:rPr>
              <w:t>1.39, 1.74</w:t>
            </w:r>
            <w:r w:rsidR="00F96A1B">
              <w:rPr>
                <w:rFonts w:eastAsia="Times New Roman"/>
                <w:color w:val="000000"/>
              </w:rPr>
              <w:t>)</w:t>
            </w:r>
          </w:p>
        </w:tc>
        <w:tc>
          <w:tcPr>
            <w:tcW w:w="1740" w:type="dxa"/>
            <w:vAlign w:val="bottom"/>
          </w:tcPr>
          <w:p w14:paraId="7E8B659F" w14:textId="35436A9F" w:rsidR="00FF43B5" w:rsidRPr="00D5093E" w:rsidRDefault="00FF43B5" w:rsidP="002B2622">
            <w:pPr>
              <w:jc w:val="center"/>
              <w:rPr>
                <w:rFonts w:ascii="Times New Roman" w:hAnsi="Times New Roman"/>
              </w:rPr>
            </w:pPr>
            <w:r>
              <w:rPr>
                <w:rFonts w:eastAsia="Times New Roman"/>
                <w:color w:val="000000"/>
              </w:rPr>
              <w:t>7.56</w:t>
            </w:r>
            <w:r w:rsidR="00F96A1B">
              <w:rPr>
                <w:rFonts w:eastAsia="Times New Roman"/>
                <w:color w:val="000000"/>
              </w:rPr>
              <w:t xml:space="preserve"> (</w:t>
            </w:r>
            <w:r w:rsidR="00FD5404">
              <w:rPr>
                <w:rFonts w:eastAsia="Times New Roman"/>
                <w:color w:val="000000"/>
              </w:rPr>
              <w:t>7.47, 7.65</w:t>
            </w:r>
            <w:r w:rsidR="00F96A1B">
              <w:rPr>
                <w:rFonts w:eastAsia="Times New Roman"/>
                <w:color w:val="000000"/>
              </w:rPr>
              <w:t>)</w:t>
            </w:r>
          </w:p>
        </w:tc>
      </w:tr>
      <w:tr w:rsidR="00A4662F" w14:paraId="5C8DB135" w14:textId="77777777" w:rsidTr="00177281">
        <w:trPr>
          <w:trHeight w:val="450"/>
        </w:trPr>
        <w:tc>
          <w:tcPr>
            <w:tcW w:w="1811" w:type="dxa"/>
          </w:tcPr>
          <w:p w14:paraId="0C4727BE" w14:textId="7957CD97" w:rsidR="00FF43B5" w:rsidRPr="00D5093E" w:rsidRDefault="00FF43B5" w:rsidP="005120F4">
            <w:pPr>
              <w:rPr>
                <w:rFonts w:ascii="Times New Roman" w:hAnsi="Times New Roman"/>
              </w:rPr>
            </w:pPr>
            <w:r>
              <w:rPr>
                <w:rFonts w:ascii="Times New Roman" w:hAnsi="Times New Roman"/>
              </w:rPr>
              <w:t>65-74 years</w:t>
            </w:r>
          </w:p>
        </w:tc>
        <w:tc>
          <w:tcPr>
            <w:tcW w:w="1816" w:type="dxa"/>
            <w:vAlign w:val="bottom"/>
          </w:tcPr>
          <w:p w14:paraId="5C2A19B8" w14:textId="3517B4C0" w:rsidR="00FF43B5" w:rsidRPr="00D5093E" w:rsidRDefault="00FF43B5" w:rsidP="002B2622">
            <w:pPr>
              <w:jc w:val="center"/>
              <w:rPr>
                <w:rFonts w:ascii="Times New Roman" w:hAnsi="Times New Roman"/>
              </w:rPr>
            </w:pPr>
            <w:r>
              <w:rPr>
                <w:rFonts w:eastAsia="Times New Roman"/>
                <w:color w:val="000000"/>
              </w:rPr>
              <w:t>1.67</w:t>
            </w:r>
            <w:r w:rsidR="00F96A1B">
              <w:rPr>
                <w:rFonts w:eastAsia="Times New Roman"/>
                <w:color w:val="000000"/>
              </w:rPr>
              <w:t xml:space="preserve"> (</w:t>
            </w:r>
            <w:r w:rsidR="00505A63">
              <w:rPr>
                <w:rFonts w:eastAsia="Times New Roman"/>
                <w:color w:val="000000"/>
              </w:rPr>
              <w:t>1.61, 1.74</w:t>
            </w:r>
            <w:r w:rsidR="00F96A1B">
              <w:rPr>
                <w:rFonts w:eastAsia="Times New Roman"/>
                <w:color w:val="000000"/>
              </w:rPr>
              <w:t>)</w:t>
            </w:r>
          </w:p>
        </w:tc>
        <w:tc>
          <w:tcPr>
            <w:tcW w:w="1907" w:type="dxa"/>
            <w:vAlign w:val="bottom"/>
          </w:tcPr>
          <w:p w14:paraId="20CC6344" w14:textId="777B58BB" w:rsidR="00FF43B5" w:rsidRPr="00D5093E" w:rsidRDefault="00FF43B5" w:rsidP="002B2622">
            <w:pPr>
              <w:jc w:val="center"/>
              <w:rPr>
                <w:rFonts w:ascii="Times New Roman" w:hAnsi="Times New Roman"/>
              </w:rPr>
            </w:pPr>
            <w:r>
              <w:rPr>
                <w:rFonts w:eastAsia="Times New Roman"/>
                <w:color w:val="000000"/>
              </w:rPr>
              <w:t>7.67</w:t>
            </w:r>
            <w:r w:rsidR="00F96A1B">
              <w:rPr>
                <w:rFonts w:eastAsia="Times New Roman"/>
                <w:color w:val="000000"/>
              </w:rPr>
              <w:t xml:space="preserve"> (</w:t>
            </w:r>
            <w:r w:rsidR="00426E51">
              <w:rPr>
                <w:rFonts w:eastAsia="Times New Roman"/>
                <w:color w:val="000000"/>
              </w:rPr>
              <w:t>7.63, 7.72</w:t>
            </w:r>
            <w:r w:rsidR="00F96A1B">
              <w:rPr>
                <w:rFonts w:eastAsia="Times New Roman"/>
                <w:color w:val="000000"/>
              </w:rPr>
              <w:t>)</w:t>
            </w:r>
          </w:p>
        </w:tc>
        <w:tc>
          <w:tcPr>
            <w:tcW w:w="1816" w:type="dxa"/>
            <w:vAlign w:val="bottom"/>
          </w:tcPr>
          <w:p w14:paraId="30D1F48A" w14:textId="42822DC7"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860396">
              <w:rPr>
                <w:rFonts w:eastAsia="Times New Roman"/>
                <w:color w:val="000000"/>
              </w:rPr>
              <w:t>1.53, 1.71</w:t>
            </w:r>
            <w:r w:rsidR="00F96A1B">
              <w:rPr>
                <w:rFonts w:eastAsia="Times New Roman"/>
                <w:color w:val="000000"/>
              </w:rPr>
              <w:t>)</w:t>
            </w:r>
          </w:p>
        </w:tc>
        <w:tc>
          <w:tcPr>
            <w:tcW w:w="1740" w:type="dxa"/>
            <w:vAlign w:val="bottom"/>
          </w:tcPr>
          <w:p w14:paraId="5C08E6DE" w14:textId="39777741"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FD5404">
              <w:rPr>
                <w:rFonts w:eastAsia="Times New Roman"/>
                <w:color w:val="000000"/>
              </w:rPr>
              <w:t>7.57, 7.66</w:t>
            </w:r>
            <w:r w:rsidR="00F96A1B">
              <w:rPr>
                <w:rFonts w:eastAsia="Times New Roman"/>
                <w:color w:val="000000"/>
              </w:rPr>
              <w:t>)</w:t>
            </w:r>
          </w:p>
        </w:tc>
      </w:tr>
      <w:tr w:rsidR="00A4662F" w14:paraId="58196BFF" w14:textId="77777777" w:rsidTr="00177281">
        <w:trPr>
          <w:trHeight w:val="431"/>
        </w:trPr>
        <w:tc>
          <w:tcPr>
            <w:tcW w:w="1811" w:type="dxa"/>
          </w:tcPr>
          <w:p w14:paraId="42D420EF" w14:textId="387715B6" w:rsidR="00FF43B5" w:rsidRPr="00D5093E" w:rsidRDefault="00FF43B5" w:rsidP="005120F4">
            <w:pPr>
              <w:rPr>
                <w:rFonts w:ascii="Times New Roman" w:hAnsi="Times New Roman"/>
              </w:rPr>
            </w:pPr>
            <w:r>
              <w:rPr>
                <w:rFonts w:ascii="Times New Roman" w:hAnsi="Times New Roman"/>
              </w:rPr>
              <w:t>75-84 years</w:t>
            </w:r>
          </w:p>
        </w:tc>
        <w:tc>
          <w:tcPr>
            <w:tcW w:w="1816" w:type="dxa"/>
            <w:vAlign w:val="bottom"/>
          </w:tcPr>
          <w:p w14:paraId="1D56DC3F" w14:textId="06B80F05" w:rsidR="00FF43B5" w:rsidRPr="00D5093E" w:rsidRDefault="00FF43B5" w:rsidP="002B2622">
            <w:pPr>
              <w:jc w:val="center"/>
              <w:rPr>
                <w:rFonts w:ascii="Times New Roman" w:hAnsi="Times New Roman"/>
              </w:rPr>
            </w:pPr>
            <w:r>
              <w:rPr>
                <w:rFonts w:eastAsia="Times New Roman"/>
                <w:color w:val="000000"/>
              </w:rPr>
              <w:t>1.57</w:t>
            </w:r>
            <w:r w:rsidR="00F96A1B">
              <w:rPr>
                <w:rFonts w:eastAsia="Times New Roman"/>
                <w:color w:val="000000"/>
              </w:rPr>
              <w:t xml:space="preserve"> (</w:t>
            </w:r>
            <w:r w:rsidR="00505A63">
              <w:rPr>
                <w:rFonts w:eastAsia="Times New Roman"/>
                <w:color w:val="000000"/>
              </w:rPr>
              <w:t>1.53, 1.60</w:t>
            </w:r>
            <w:r w:rsidR="00F96A1B">
              <w:rPr>
                <w:rFonts w:eastAsia="Times New Roman"/>
                <w:color w:val="000000"/>
              </w:rPr>
              <w:t>)</w:t>
            </w:r>
          </w:p>
        </w:tc>
        <w:tc>
          <w:tcPr>
            <w:tcW w:w="1907" w:type="dxa"/>
            <w:vAlign w:val="bottom"/>
          </w:tcPr>
          <w:p w14:paraId="5F005321" w14:textId="1F091B09" w:rsidR="00FF43B5" w:rsidRPr="00D5093E" w:rsidRDefault="00FF43B5" w:rsidP="002B2622">
            <w:pPr>
              <w:jc w:val="center"/>
              <w:rPr>
                <w:rFonts w:ascii="Times New Roman" w:hAnsi="Times New Roman"/>
              </w:rPr>
            </w:pPr>
            <w:r>
              <w:rPr>
                <w:rFonts w:eastAsia="Times New Roman"/>
                <w:color w:val="000000"/>
              </w:rPr>
              <w:t>7.57</w:t>
            </w:r>
            <w:r w:rsidR="00F96A1B">
              <w:rPr>
                <w:rFonts w:eastAsia="Times New Roman"/>
                <w:color w:val="000000"/>
              </w:rPr>
              <w:t xml:space="preserve"> (</w:t>
            </w:r>
            <w:r w:rsidR="00426E51">
              <w:rPr>
                <w:rFonts w:eastAsia="Times New Roman"/>
                <w:color w:val="000000"/>
              </w:rPr>
              <w:t>7.54, 7.59</w:t>
            </w:r>
            <w:r w:rsidR="00F96A1B">
              <w:rPr>
                <w:rFonts w:eastAsia="Times New Roman"/>
                <w:color w:val="000000"/>
              </w:rPr>
              <w:t>)</w:t>
            </w:r>
          </w:p>
        </w:tc>
        <w:tc>
          <w:tcPr>
            <w:tcW w:w="1816" w:type="dxa"/>
            <w:vAlign w:val="bottom"/>
          </w:tcPr>
          <w:p w14:paraId="178046FB" w14:textId="48D5EA75" w:rsidR="00FF43B5" w:rsidRPr="00D5093E" w:rsidRDefault="00FF43B5" w:rsidP="002B2622">
            <w:pPr>
              <w:jc w:val="center"/>
              <w:rPr>
                <w:rFonts w:ascii="Times New Roman" w:hAnsi="Times New Roman"/>
              </w:rPr>
            </w:pPr>
            <w:r>
              <w:rPr>
                <w:rFonts w:eastAsia="Times New Roman"/>
                <w:color w:val="000000"/>
              </w:rPr>
              <w:t>1.55</w:t>
            </w:r>
            <w:r w:rsidR="00F96A1B">
              <w:rPr>
                <w:rFonts w:eastAsia="Times New Roman"/>
                <w:color w:val="000000"/>
              </w:rPr>
              <w:t xml:space="preserve"> (</w:t>
            </w:r>
            <w:r w:rsidR="00B61D40">
              <w:rPr>
                <w:rFonts w:eastAsia="Times New Roman"/>
                <w:color w:val="000000"/>
              </w:rPr>
              <w:t>1.51, 1.59</w:t>
            </w:r>
            <w:r w:rsidR="00F96A1B">
              <w:rPr>
                <w:rFonts w:eastAsia="Times New Roman"/>
                <w:color w:val="000000"/>
              </w:rPr>
              <w:t>)</w:t>
            </w:r>
          </w:p>
        </w:tc>
        <w:tc>
          <w:tcPr>
            <w:tcW w:w="1740" w:type="dxa"/>
            <w:vAlign w:val="bottom"/>
          </w:tcPr>
          <w:p w14:paraId="2A81FED1" w14:textId="54A5533D" w:rsidR="00FF43B5" w:rsidRPr="00D5093E" w:rsidRDefault="00FF43B5" w:rsidP="002B2622">
            <w:pPr>
              <w:jc w:val="center"/>
              <w:rPr>
                <w:rFonts w:ascii="Times New Roman" w:hAnsi="Times New Roman"/>
              </w:rPr>
            </w:pPr>
            <w:r>
              <w:rPr>
                <w:rFonts w:eastAsia="Times New Roman"/>
                <w:color w:val="000000"/>
              </w:rPr>
              <w:t>7.55</w:t>
            </w:r>
            <w:r w:rsidR="00F96A1B">
              <w:rPr>
                <w:rFonts w:eastAsia="Times New Roman"/>
                <w:color w:val="000000"/>
              </w:rPr>
              <w:t xml:space="preserve"> (</w:t>
            </w:r>
            <w:r w:rsidR="00FD5404">
              <w:rPr>
                <w:rFonts w:eastAsia="Times New Roman"/>
                <w:color w:val="000000"/>
              </w:rPr>
              <w:t>7.53, 7.58</w:t>
            </w:r>
            <w:r w:rsidR="00F96A1B">
              <w:rPr>
                <w:rFonts w:eastAsia="Times New Roman"/>
                <w:color w:val="000000"/>
              </w:rPr>
              <w:t>)</w:t>
            </w:r>
          </w:p>
        </w:tc>
      </w:tr>
      <w:tr w:rsidR="00A4662F" w14:paraId="45FF444D" w14:textId="77777777" w:rsidTr="00177281">
        <w:trPr>
          <w:trHeight w:val="429"/>
        </w:trPr>
        <w:tc>
          <w:tcPr>
            <w:tcW w:w="1811" w:type="dxa"/>
          </w:tcPr>
          <w:p w14:paraId="6250E7D5" w14:textId="4B88CAB2" w:rsidR="00FF43B5" w:rsidRPr="00D5093E" w:rsidRDefault="00FF43B5" w:rsidP="005120F4">
            <w:pPr>
              <w:rPr>
                <w:rFonts w:ascii="Times New Roman" w:hAnsi="Times New Roman"/>
              </w:rPr>
            </w:pPr>
            <w:r>
              <w:rPr>
                <w:rFonts w:ascii="Times New Roman" w:hAnsi="Times New Roman"/>
              </w:rPr>
              <w:t>85+ years</w:t>
            </w:r>
          </w:p>
        </w:tc>
        <w:tc>
          <w:tcPr>
            <w:tcW w:w="1816" w:type="dxa"/>
            <w:vAlign w:val="bottom"/>
          </w:tcPr>
          <w:p w14:paraId="1E37D4BC" w14:textId="2BD103B1"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505A63">
              <w:rPr>
                <w:rFonts w:eastAsia="Times New Roman"/>
                <w:color w:val="000000"/>
              </w:rPr>
              <w:t>1.42, 1.45</w:t>
            </w:r>
            <w:r w:rsidR="00F96A1B">
              <w:rPr>
                <w:rFonts w:eastAsia="Times New Roman"/>
                <w:color w:val="000000"/>
              </w:rPr>
              <w:t>)</w:t>
            </w:r>
          </w:p>
        </w:tc>
        <w:tc>
          <w:tcPr>
            <w:tcW w:w="1907" w:type="dxa"/>
            <w:vAlign w:val="bottom"/>
          </w:tcPr>
          <w:p w14:paraId="54DABA2F" w14:textId="439F796B"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426E51">
              <w:rPr>
                <w:rFonts w:eastAsia="Times New Roman"/>
                <w:color w:val="000000"/>
              </w:rPr>
              <w:t>7.42, 7.45</w:t>
            </w:r>
            <w:r w:rsidR="00F96A1B">
              <w:rPr>
                <w:rFonts w:eastAsia="Times New Roman"/>
                <w:color w:val="000000"/>
              </w:rPr>
              <w:t>)</w:t>
            </w:r>
          </w:p>
        </w:tc>
        <w:tc>
          <w:tcPr>
            <w:tcW w:w="1816" w:type="dxa"/>
            <w:vAlign w:val="bottom"/>
          </w:tcPr>
          <w:p w14:paraId="0FA93675" w14:textId="77755FE7"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2407AF">
              <w:rPr>
                <w:rFonts w:eastAsia="Times New Roman"/>
                <w:color w:val="000000"/>
              </w:rPr>
              <w:t>1.42, 1.46</w:t>
            </w:r>
            <w:r w:rsidR="00F96A1B">
              <w:rPr>
                <w:rFonts w:eastAsia="Times New Roman"/>
                <w:color w:val="000000"/>
              </w:rPr>
              <w:t>)</w:t>
            </w:r>
          </w:p>
        </w:tc>
        <w:tc>
          <w:tcPr>
            <w:tcW w:w="1740" w:type="dxa"/>
            <w:vAlign w:val="bottom"/>
          </w:tcPr>
          <w:p w14:paraId="662574D0" w14:textId="65773CAD"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FD5404">
              <w:rPr>
                <w:rFonts w:eastAsia="Times New Roman"/>
                <w:color w:val="000000"/>
              </w:rPr>
              <w:t>7.43, 7.45</w:t>
            </w:r>
            <w:r w:rsidR="00F96A1B">
              <w:rPr>
                <w:rFonts w:eastAsia="Times New Roman"/>
                <w:color w:val="000000"/>
              </w:rPr>
              <w:t>)</w:t>
            </w:r>
          </w:p>
        </w:tc>
      </w:tr>
    </w:tbl>
    <w:p w14:paraId="3022BDEB" w14:textId="77777777" w:rsidR="005120F4" w:rsidRDefault="005120F4" w:rsidP="005120F4"/>
    <w:p w14:paraId="0C106A40" w14:textId="77777777" w:rsidR="00E01502" w:rsidRDefault="00E01502" w:rsidP="005120F4"/>
    <w:p w14:paraId="6CC8DF28" w14:textId="77777777" w:rsidR="00E01502" w:rsidRDefault="00E01502" w:rsidP="005120F4"/>
    <w:p w14:paraId="7125ED6D" w14:textId="77777777" w:rsidR="00E01502" w:rsidRDefault="00E01502" w:rsidP="005120F4"/>
    <w:p w14:paraId="57125E04" w14:textId="77777777" w:rsidR="00E01502" w:rsidRDefault="00E01502" w:rsidP="005120F4"/>
    <w:p w14:paraId="76AD9D2F" w14:textId="77777777" w:rsidR="00E01502" w:rsidRDefault="00E01502" w:rsidP="005120F4"/>
    <w:p w14:paraId="7D741D31" w14:textId="77777777" w:rsidR="00E01502" w:rsidRDefault="00E01502" w:rsidP="005120F4"/>
    <w:p w14:paraId="6A90CA39" w14:textId="77777777" w:rsidR="00E01502" w:rsidRDefault="00E01502" w:rsidP="005120F4"/>
    <w:p w14:paraId="4FAADC6D" w14:textId="77777777" w:rsidR="00E01502" w:rsidRDefault="00E01502" w:rsidP="005120F4"/>
    <w:p w14:paraId="279862BE" w14:textId="77777777" w:rsidR="00E01502" w:rsidRDefault="00E01502" w:rsidP="005120F4"/>
    <w:p w14:paraId="6499DF6F" w14:textId="1328ED4D" w:rsidR="00E01502" w:rsidRDefault="00E01502" w:rsidP="00E01502">
      <w:pPr>
        <w:spacing w:line="480" w:lineRule="auto"/>
        <w:rPr>
          <w:rFonts w:ascii="Times New Roman" w:hAnsi="Times New Roman"/>
          <w:color w:val="000000" w:themeColor="text1"/>
          <w:sz w:val="24"/>
          <w:szCs w:val="24"/>
        </w:rPr>
      </w:pPr>
      <w:r>
        <w:rPr>
          <w:rFonts w:ascii="Times New Roman" w:hAnsi="Times New Roman"/>
          <w:b/>
          <w:color w:val="000000" w:themeColor="text1"/>
          <w:sz w:val="24"/>
          <w:szCs w:val="24"/>
        </w:rPr>
        <w:t>Table 2</w:t>
      </w:r>
      <w:r w:rsidRPr="004E0482">
        <w:rPr>
          <w:rFonts w:ascii="Times New Roman" w:hAnsi="Times New Roman"/>
          <w:b/>
          <w:color w:val="000000" w:themeColor="text1"/>
          <w:sz w:val="24"/>
          <w:szCs w:val="24"/>
        </w:rPr>
        <w:t>.</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Table of </w:t>
      </w:r>
      <w:r w:rsidRPr="004E0482">
        <w:rPr>
          <w:rFonts w:ascii="Times New Roman" w:hAnsi="Times New Roman"/>
          <w:color w:val="000000" w:themeColor="text1"/>
          <w:sz w:val="24"/>
          <w:szCs w:val="24"/>
        </w:rPr>
        <w:t xml:space="preserve">National seasonal excess mortality in </w:t>
      </w:r>
      <w:r>
        <w:rPr>
          <w:rFonts w:ascii="Times New Roman" w:hAnsi="Times New Roman"/>
          <w:color w:val="000000" w:themeColor="text1"/>
          <w:sz w:val="24"/>
          <w:szCs w:val="24"/>
        </w:rPr>
        <w:t xml:space="preserve">1982 and </w:t>
      </w:r>
      <w:r w:rsidRPr="004E0482">
        <w:rPr>
          <w:rFonts w:ascii="Times New Roman" w:hAnsi="Times New Roman"/>
          <w:color w:val="000000" w:themeColor="text1"/>
          <w:sz w:val="24"/>
          <w:szCs w:val="24"/>
        </w:rPr>
        <w:t xml:space="preserve">2013 </w:t>
      </w:r>
      <w:r>
        <w:rPr>
          <w:rFonts w:ascii="Times New Roman" w:hAnsi="Times New Roman"/>
          <w:color w:val="000000" w:themeColor="text1"/>
          <w:sz w:val="24"/>
          <w:szCs w:val="24"/>
        </w:rPr>
        <w:t>by sex and age group</w:t>
      </w:r>
      <w:r w:rsidRPr="004E0482">
        <w:rPr>
          <w:rFonts w:ascii="Times New Roman" w:hAnsi="Times New Roman"/>
          <w:color w:val="000000" w:themeColor="text1"/>
          <w:sz w:val="24"/>
          <w:szCs w:val="24"/>
        </w:rPr>
        <w:t>. Age-sex groups with a statistically significant change at the 5%</w:t>
      </w:r>
      <w:r>
        <w:rPr>
          <w:rFonts w:ascii="Times New Roman" w:hAnsi="Times New Roman"/>
          <w:color w:val="000000" w:themeColor="text1"/>
          <w:sz w:val="24"/>
          <w:szCs w:val="24"/>
        </w:rPr>
        <w:t xml:space="preserve"> level are highlighted in bold.</w:t>
      </w:r>
      <w:r w:rsidR="00293AA3">
        <w:rPr>
          <w:rFonts w:ascii="Times New Roman" w:hAnsi="Times New Roman"/>
          <w:color w:val="000000" w:themeColor="text1"/>
          <w:sz w:val="24"/>
          <w:szCs w:val="24"/>
        </w:rPr>
        <w:t xml:space="preserve"> </w:t>
      </w:r>
      <w:r w:rsidR="00293AA3" w:rsidRPr="003D18FA">
        <w:rPr>
          <w:rFonts w:ascii="Times New Roman" w:hAnsi="Times New Roman"/>
          <w:color w:val="000000" w:themeColor="text1"/>
          <w:sz w:val="24"/>
          <w:szCs w:val="24"/>
        </w:rPr>
        <w:t>Only age-sex groups with statistically significant 12-month seasonality are included.</w:t>
      </w:r>
    </w:p>
    <w:tbl>
      <w:tblPr>
        <w:tblStyle w:val="TableGrid"/>
        <w:tblW w:w="9009" w:type="dxa"/>
        <w:tblLook w:val="04A0" w:firstRow="1" w:lastRow="0" w:firstColumn="1" w:lastColumn="0" w:noHBand="0" w:noVBand="1"/>
      </w:tblPr>
      <w:tblGrid>
        <w:gridCol w:w="1287"/>
        <w:gridCol w:w="1287"/>
        <w:gridCol w:w="1287"/>
        <w:gridCol w:w="1287"/>
        <w:gridCol w:w="1287"/>
        <w:gridCol w:w="1287"/>
        <w:gridCol w:w="1287"/>
      </w:tblGrid>
      <w:tr w:rsidR="00ED555F" w14:paraId="2EE7E161" w14:textId="77777777" w:rsidTr="00344EA8">
        <w:trPr>
          <w:trHeight w:val="350"/>
        </w:trPr>
        <w:tc>
          <w:tcPr>
            <w:tcW w:w="1287" w:type="dxa"/>
          </w:tcPr>
          <w:p w14:paraId="3EE2A5C0" w14:textId="35ADA6AB" w:rsidR="00ED555F" w:rsidRDefault="00ED555F" w:rsidP="00E01502">
            <w:pPr>
              <w:spacing w:line="480" w:lineRule="auto"/>
              <w:rPr>
                <w:rFonts w:ascii="Times New Roman" w:hAnsi="Times New Roman"/>
                <w:color w:val="000000" w:themeColor="text1"/>
                <w:sz w:val="24"/>
                <w:szCs w:val="24"/>
              </w:rPr>
            </w:pPr>
            <w:r w:rsidRPr="00D5093E">
              <w:rPr>
                <w:rFonts w:ascii="Times New Roman" w:hAnsi="Times New Roman"/>
              </w:rPr>
              <w:t>Age group</w:t>
            </w:r>
          </w:p>
        </w:tc>
        <w:tc>
          <w:tcPr>
            <w:tcW w:w="3861" w:type="dxa"/>
            <w:gridSpan w:val="3"/>
          </w:tcPr>
          <w:p w14:paraId="144A8A63" w14:textId="60C1B5ED" w:rsidR="00ED555F" w:rsidRDefault="00ED555F" w:rsidP="00ED555F">
            <w:pPr>
              <w:spacing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Men</w:t>
            </w:r>
          </w:p>
        </w:tc>
        <w:tc>
          <w:tcPr>
            <w:tcW w:w="3861" w:type="dxa"/>
            <w:gridSpan w:val="3"/>
          </w:tcPr>
          <w:p w14:paraId="59A4283F" w14:textId="2D4A70C3" w:rsidR="00ED555F" w:rsidRDefault="00ED555F" w:rsidP="00ED555F">
            <w:pPr>
              <w:spacing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Women</w:t>
            </w:r>
          </w:p>
        </w:tc>
      </w:tr>
      <w:tr w:rsidR="00107D0B" w14:paraId="29E16894" w14:textId="77777777" w:rsidTr="00107D0B">
        <w:tc>
          <w:tcPr>
            <w:tcW w:w="1287" w:type="dxa"/>
          </w:tcPr>
          <w:p w14:paraId="73EBD62F" w14:textId="77777777" w:rsidR="00107D0B" w:rsidRDefault="00107D0B" w:rsidP="00E01502">
            <w:pPr>
              <w:spacing w:line="480" w:lineRule="auto"/>
              <w:rPr>
                <w:rFonts w:ascii="Times New Roman" w:hAnsi="Times New Roman"/>
                <w:color w:val="000000" w:themeColor="text1"/>
                <w:sz w:val="24"/>
                <w:szCs w:val="24"/>
              </w:rPr>
            </w:pPr>
          </w:p>
        </w:tc>
        <w:tc>
          <w:tcPr>
            <w:tcW w:w="1287" w:type="dxa"/>
          </w:tcPr>
          <w:p w14:paraId="10BE0D0C" w14:textId="449F2E28"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1982</w:t>
            </w:r>
          </w:p>
        </w:tc>
        <w:tc>
          <w:tcPr>
            <w:tcW w:w="1287" w:type="dxa"/>
          </w:tcPr>
          <w:p w14:paraId="660751C9" w14:textId="29BA86DF"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2013</w:t>
            </w:r>
          </w:p>
        </w:tc>
        <w:tc>
          <w:tcPr>
            <w:tcW w:w="1287" w:type="dxa"/>
          </w:tcPr>
          <w:p w14:paraId="41D97059" w14:textId="73D4D51A"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Change</w:t>
            </w:r>
          </w:p>
        </w:tc>
        <w:tc>
          <w:tcPr>
            <w:tcW w:w="1287" w:type="dxa"/>
          </w:tcPr>
          <w:p w14:paraId="4DB7E87D" w14:textId="47003A36"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1982</w:t>
            </w:r>
          </w:p>
        </w:tc>
        <w:tc>
          <w:tcPr>
            <w:tcW w:w="1287" w:type="dxa"/>
          </w:tcPr>
          <w:p w14:paraId="235EDB4E" w14:textId="6EC5F584"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2013</w:t>
            </w:r>
          </w:p>
        </w:tc>
        <w:tc>
          <w:tcPr>
            <w:tcW w:w="1287" w:type="dxa"/>
          </w:tcPr>
          <w:p w14:paraId="090FF54A" w14:textId="3B68C93B"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Change</w:t>
            </w:r>
          </w:p>
        </w:tc>
      </w:tr>
      <w:tr w:rsidR="00ED555F" w14:paraId="20C7CB5B" w14:textId="77777777" w:rsidTr="00CF0D66">
        <w:tc>
          <w:tcPr>
            <w:tcW w:w="1287" w:type="dxa"/>
          </w:tcPr>
          <w:p w14:paraId="323C67CE" w14:textId="61DFBBBF" w:rsidR="00ED555F" w:rsidRDefault="00ED555F" w:rsidP="00E01502">
            <w:pPr>
              <w:spacing w:line="480" w:lineRule="auto"/>
              <w:rPr>
                <w:rFonts w:ascii="Times New Roman" w:hAnsi="Times New Roman"/>
                <w:color w:val="000000" w:themeColor="text1"/>
                <w:sz w:val="24"/>
                <w:szCs w:val="24"/>
              </w:rPr>
            </w:pPr>
            <w:r w:rsidRPr="00D5093E">
              <w:rPr>
                <w:rFonts w:ascii="Times New Roman" w:hAnsi="Times New Roman"/>
              </w:rPr>
              <w:t>0-4 years</w:t>
            </w:r>
          </w:p>
        </w:tc>
        <w:tc>
          <w:tcPr>
            <w:tcW w:w="1287" w:type="dxa"/>
            <w:vAlign w:val="bottom"/>
          </w:tcPr>
          <w:p w14:paraId="4775D05B" w14:textId="62913F50"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13.4</w:t>
            </w:r>
          </w:p>
        </w:tc>
        <w:tc>
          <w:tcPr>
            <w:tcW w:w="1287" w:type="dxa"/>
            <w:vAlign w:val="bottom"/>
          </w:tcPr>
          <w:p w14:paraId="0DC6FDB1" w14:textId="7936C2AA"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0.2</w:t>
            </w:r>
          </w:p>
        </w:tc>
        <w:tc>
          <w:tcPr>
            <w:tcW w:w="1287" w:type="dxa"/>
            <w:vAlign w:val="bottom"/>
          </w:tcPr>
          <w:p w14:paraId="25FF1F7B" w14:textId="2946058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-13.2</w:t>
            </w:r>
          </w:p>
        </w:tc>
        <w:tc>
          <w:tcPr>
            <w:tcW w:w="1287" w:type="dxa"/>
            <w:vAlign w:val="bottom"/>
          </w:tcPr>
          <w:p w14:paraId="476783A8" w14:textId="5E161AA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9.2</w:t>
            </w:r>
          </w:p>
        </w:tc>
        <w:tc>
          <w:tcPr>
            <w:tcW w:w="1287" w:type="dxa"/>
            <w:vAlign w:val="bottom"/>
          </w:tcPr>
          <w:p w14:paraId="693292EE" w14:textId="11085BB2"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4.2</w:t>
            </w:r>
          </w:p>
        </w:tc>
        <w:tc>
          <w:tcPr>
            <w:tcW w:w="1287" w:type="dxa"/>
            <w:vAlign w:val="bottom"/>
          </w:tcPr>
          <w:p w14:paraId="543B9890" w14:textId="46DE6808"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-5</w:t>
            </w:r>
          </w:p>
        </w:tc>
      </w:tr>
      <w:tr w:rsidR="00ED555F" w14:paraId="629CCB26" w14:textId="77777777" w:rsidTr="00CF0D66">
        <w:tc>
          <w:tcPr>
            <w:tcW w:w="1287" w:type="dxa"/>
          </w:tcPr>
          <w:p w14:paraId="587A64E8" w14:textId="5F326F1E"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5-14 years</w:t>
            </w:r>
          </w:p>
        </w:tc>
        <w:tc>
          <w:tcPr>
            <w:tcW w:w="1287" w:type="dxa"/>
            <w:vAlign w:val="bottom"/>
          </w:tcPr>
          <w:p w14:paraId="2BD116E2" w14:textId="44D6F575"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37.1</w:t>
            </w:r>
          </w:p>
        </w:tc>
        <w:tc>
          <w:tcPr>
            <w:tcW w:w="1287" w:type="dxa"/>
            <w:vAlign w:val="bottom"/>
          </w:tcPr>
          <w:p w14:paraId="0F67B81E" w14:textId="05937388"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12.5</w:t>
            </w:r>
          </w:p>
        </w:tc>
        <w:tc>
          <w:tcPr>
            <w:tcW w:w="1287" w:type="dxa"/>
            <w:vAlign w:val="bottom"/>
          </w:tcPr>
          <w:p w14:paraId="190F0C7A" w14:textId="2BB1DE89"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-24.6</w:t>
            </w:r>
          </w:p>
        </w:tc>
        <w:tc>
          <w:tcPr>
            <w:tcW w:w="1287" w:type="dxa"/>
            <w:vAlign w:val="bottom"/>
          </w:tcPr>
          <w:p w14:paraId="715E52EC" w14:textId="0FEEDC43"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AA02730" w14:textId="78E873EF"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7D0C3539" w14:textId="2F60B4D4"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r>
      <w:tr w:rsidR="00ED555F" w14:paraId="148414E1" w14:textId="77777777" w:rsidTr="00CF0D66">
        <w:tc>
          <w:tcPr>
            <w:tcW w:w="1287" w:type="dxa"/>
          </w:tcPr>
          <w:p w14:paraId="012DCDDB" w14:textId="2CDDBED8"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15-24 years</w:t>
            </w:r>
          </w:p>
        </w:tc>
        <w:tc>
          <w:tcPr>
            <w:tcW w:w="1287" w:type="dxa"/>
            <w:vAlign w:val="bottom"/>
          </w:tcPr>
          <w:p w14:paraId="342A6026" w14:textId="04C3DCB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14.6</w:t>
            </w:r>
          </w:p>
        </w:tc>
        <w:tc>
          <w:tcPr>
            <w:tcW w:w="1287" w:type="dxa"/>
            <w:vAlign w:val="bottom"/>
          </w:tcPr>
          <w:p w14:paraId="58B7687F" w14:textId="68F6DD59"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7.3</w:t>
            </w:r>
          </w:p>
        </w:tc>
        <w:tc>
          <w:tcPr>
            <w:tcW w:w="1287" w:type="dxa"/>
            <w:vAlign w:val="bottom"/>
          </w:tcPr>
          <w:p w14:paraId="0F30B00C" w14:textId="2B7A05E1"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-7.3</w:t>
            </w:r>
          </w:p>
        </w:tc>
        <w:tc>
          <w:tcPr>
            <w:tcW w:w="1287" w:type="dxa"/>
            <w:vAlign w:val="bottom"/>
          </w:tcPr>
          <w:p w14:paraId="59DE8304" w14:textId="7B637BD2"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855154E" w14:textId="582AF2A3"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031F3DE9" w14:textId="5073B41B"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r>
      <w:tr w:rsidR="00ED555F" w14:paraId="54110239" w14:textId="77777777" w:rsidTr="00293AA3">
        <w:tc>
          <w:tcPr>
            <w:tcW w:w="1287" w:type="dxa"/>
          </w:tcPr>
          <w:p w14:paraId="6A17EE4C" w14:textId="51EF425A"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25-34 years</w:t>
            </w:r>
          </w:p>
        </w:tc>
        <w:tc>
          <w:tcPr>
            <w:tcW w:w="1287" w:type="dxa"/>
            <w:vAlign w:val="bottom"/>
          </w:tcPr>
          <w:p w14:paraId="2A21A52D" w14:textId="6196981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1.2</w:t>
            </w:r>
          </w:p>
        </w:tc>
        <w:tc>
          <w:tcPr>
            <w:tcW w:w="1287" w:type="dxa"/>
            <w:vAlign w:val="bottom"/>
          </w:tcPr>
          <w:p w14:paraId="67CA73FB" w14:textId="6956893E"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0.5</w:t>
            </w:r>
          </w:p>
        </w:tc>
        <w:tc>
          <w:tcPr>
            <w:tcW w:w="1287" w:type="dxa"/>
            <w:vAlign w:val="bottom"/>
          </w:tcPr>
          <w:p w14:paraId="5CD04CB5" w14:textId="58859443"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-0.7</w:t>
            </w:r>
          </w:p>
        </w:tc>
        <w:tc>
          <w:tcPr>
            <w:tcW w:w="1287" w:type="dxa"/>
            <w:vAlign w:val="bottom"/>
          </w:tcPr>
          <w:p w14:paraId="3E1BA481" w14:textId="1AB41907"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582C028" w14:textId="145D8422"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4128976" w14:textId="29B78FD5"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r>
      <w:tr w:rsidR="00ED555F" w14:paraId="5DFC670F" w14:textId="77777777" w:rsidTr="00CF0D66">
        <w:tc>
          <w:tcPr>
            <w:tcW w:w="1287" w:type="dxa"/>
          </w:tcPr>
          <w:p w14:paraId="1956E7F7" w14:textId="62D16763"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35-44 years</w:t>
            </w:r>
          </w:p>
        </w:tc>
        <w:tc>
          <w:tcPr>
            <w:tcW w:w="1287" w:type="dxa"/>
            <w:vAlign w:val="bottom"/>
          </w:tcPr>
          <w:p w14:paraId="2B8F151B" w14:textId="37DC0144"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8.8</w:t>
            </w:r>
          </w:p>
        </w:tc>
        <w:tc>
          <w:tcPr>
            <w:tcW w:w="1287" w:type="dxa"/>
            <w:vAlign w:val="bottom"/>
          </w:tcPr>
          <w:p w14:paraId="2B2982D4" w14:textId="1CFB566F"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728CC692" w14:textId="0EF2EC49"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1DAABACA" w14:textId="5F77077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10.2</w:t>
            </w:r>
          </w:p>
        </w:tc>
        <w:tc>
          <w:tcPr>
            <w:tcW w:w="1287" w:type="dxa"/>
            <w:vAlign w:val="bottom"/>
          </w:tcPr>
          <w:p w14:paraId="39CC92A7" w14:textId="74655E0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8.9</w:t>
            </w:r>
          </w:p>
        </w:tc>
        <w:tc>
          <w:tcPr>
            <w:tcW w:w="1287" w:type="dxa"/>
            <w:vAlign w:val="bottom"/>
          </w:tcPr>
          <w:p w14:paraId="7822DE24" w14:textId="152EB2CC"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w:t>
            </w:r>
          </w:p>
        </w:tc>
      </w:tr>
      <w:tr w:rsidR="00ED555F" w14:paraId="121314DE" w14:textId="77777777" w:rsidTr="00CF0D66">
        <w:tc>
          <w:tcPr>
            <w:tcW w:w="1287" w:type="dxa"/>
          </w:tcPr>
          <w:p w14:paraId="44485A99" w14:textId="16782200"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45-54 years</w:t>
            </w:r>
          </w:p>
        </w:tc>
        <w:tc>
          <w:tcPr>
            <w:tcW w:w="1287" w:type="dxa"/>
            <w:vAlign w:val="bottom"/>
          </w:tcPr>
          <w:p w14:paraId="370A8EA1" w14:textId="63E96303"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39.2</w:t>
            </w:r>
          </w:p>
        </w:tc>
        <w:tc>
          <w:tcPr>
            <w:tcW w:w="1287" w:type="dxa"/>
            <w:vAlign w:val="bottom"/>
          </w:tcPr>
          <w:p w14:paraId="2B0E8AB6" w14:textId="0B88631A"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12.6</w:t>
            </w:r>
          </w:p>
        </w:tc>
        <w:tc>
          <w:tcPr>
            <w:tcW w:w="1287" w:type="dxa"/>
            <w:vAlign w:val="bottom"/>
          </w:tcPr>
          <w:p w14:paraId="67EC21E3" w14:textId="4B5F58B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-26.6</w:t>
            </w:r>
          </w:p>
        </w:tc>
        <w:tc>
          <w:tcPr>
            <w:tcW w:w="1287" w:type="dxa"/>
            <w:vAlign w:val="bottom"/>
          </w:tcPr>
          <w:p w14:paraId="68DCDD06" w14:textId="6FD4320A"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9.5</w:t>
            </w:r>
          </w:p>
        </w:tc>
        <w:tc>
          <w:tcPr>
            <w:tcW w:w="1287" w:type="dxa"/>
            <w:vAlign w:val="bottom"/>
          </w:tcPr>
          <w:p w14:paraId="7C182E08" w14:textId="3A909634"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6.1</w:t>
            </w:r>
          </w:p>
        </w:tc>
        <w:tc>
          <w:tcPr>
            <w:tcW w:w="1287" w:type="dxa"/>
            <w:vAlign w:val="bottom"/>
          </w:tcPr>
          <w:p w14:paraId="46AAD69A" w14:textId="3B8E0C0F"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-3.4</w:t>
            </w:r>
          </w:p>
        </w:tc>
      </w:tr>
      <w:tr w:rsidR="00ED555F" w14:paraId="77F707FF" w14:textId="77777777" w:rsidTr="00CF0D66">
        <w:tc>
          <w:tcPr>
            <w:tcW w:w="1287" w:type="dxa"/>
          </w:tcPr>
          <w:p w14:paraId="74377248" w14:textId="19BD1618"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55-64 years</w:t>
            </w:r>
          </w:p>
        </w:tc>
        <w:tc>
          <w:tcPr>
            <w:tcW w:w="1287" w:type="dxa"/>
            <w:vAlign w:val="bottom"/>
          </w:tcPr>
          <w:p w14:paraId="01144711" w14:textId="0A4E9D56"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13.6</w:t>
            </w:r>
          </w:p>
        </w:tc>
        <w:tc>
          <w:tcPr>
            <w:tcW w:w="1287" w:type="dxa"/>
            <w:vAlign w:val="bottom"/>
          </w:tcPr>
          <w:p w14:paraId="01F7166B" w14:textId="04F6AB43"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11.4</w:t>
            </w:r>
          </w:p>
        </w:tc>
        <w:tc>
          <w:tcPr>
            <w:tcW w:w="1287" w:type="dxa"/>
            <w:vAlign w:val="bottom"/>
          </w:tcPr>
          <w:p w14:paraId="7F23C609" w14:textId="27F93AC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-2.2</w:t>
            </w:r>
          </w:p>
        </w:tc>
        <w:tc>
          <w:tcPr>
            <w:tcW w:w="1287" w:type="dxa"/>
            <w:vAlign w:val="bottom"/>
          </w:tcPr>
          <w:p w14:paraId="1A713155" w14:textId="57DF2A5F"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13.4</w:t>
            </w:r>
          </w:p>
        </w:tc>
        <w:tc>
          <w:tcPr>
            <w:tcW w:w="1287" w:type="dxa"/>
            <w:vAlign w:val="bottom"/>
          </w:tcPr>
          <w:p w14:paraId="037E3DF5" w14:textId="2769646B"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w:t>
            </w:r>
          </w:p>
        </w:tc>
        <w:tc>
          <w:tcPr>
            <w:tcW w:w="1287" w:type="dxa"/>
            <w:vAlign w:val="bottom"/>
          </w:tcPr>
          <w:p w14:paraId="1D1B9CB3" w14:textId="53716E05"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-0.4</w:t>
            </w:r>
          </w:p>
        </w:tc>
      </w:tr>
      <w:tr w:rsidR="00ED555F" w14:paraId="48B90D32" w14:textId="77777777" w:rsidTr="00CF0D66">
        <w:tc>
          <w:tcPr>
            <w:tcW w:w="1287" w:type="dxa"/>
          </w:tcPr>
          <w:p w14:paraId="3750C076" w14:textId="06056420"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65-74 years</w:t>
            </w:r>
          </w:p>
        </w:tc>
        <w:tc>
          <w:tcPr>
            <w:tcW w:w="1287" w:type="dxa"/>
            <w:vAlign w:val="bottom"/>
          </w:tcPr>
          <w:p w14:paraId="5AFABDF1" w14:textId="0614D39A"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17</w:t>
            </w:r>
          </w:p>
        </w:tc>
        <w:tc>
          <w:tcPr>
            <w:tcW w:w="1287" w:type="dxa"/>
            <w:vAlign w:val="bottom"/>
          </w:tcPr>
          <w:p w14:paraId="6055AD93" w14:textId="68067F8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15.2</w:t>
            </w:r>
          </w:p>
        </w:tc>
        <w:tc>
          <w:tcPr>
            <w:tcW w:w="1287" w:type="dxa"/>
            <w:vAlign w:val="bottom"/>
          </w:tcPr>
          <w:p w14:paraId="51F0D73D" w14:textId="52ACB96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-1.8</w:t>
            </w:r>
          </w:p>
        </w:tc>
        <w:tc>
          <w:tcPr>
            <w:tcW w:w="1287" w:type="dxa"/>
            <w:vAlign w:val="bottom"/>
          </w:tcPr>
          <w:p w14:paraId="1F7E1C26" w14:textId="113E118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16.3</w:t>
            </w:r>
          </w:p>
        </w:tc>
        <w:tc>
          <w:tcPr>
            <w:tcW w:w="1287" w:type="dxa"/>
            <w:vAlign w:val="bottom"/>
          </w:tcPr>
          <w:p w14:paraId="440AA13D" w14:textId="1533F5F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16.8</w:t>
            </w:r>
          </w:p>
        </w:tc>
        <w:tc>
          <w:tcPr>
            <w:tcW w:w="1287" w:type="dxa"/>
            <w:vAlign w:val="bottom"/>
          </w:tcPr>
          <w:p w14:paraId="66D88D48" w14:textId="41969619"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0.5</w:t>
            </w:r>
          </w:p>
        </w:tc>
      </w:tr>
      <w:tr w:rsidR="00ED555F" w14:paraId="67AC4ACE" w14:textId="77777777" w:rsidTr="00CF0D66">
        <w:tc>
          <w:tcPr>
            <w:tcW w:w="1287" w:type="dxa"/>
          </w:tcPr>
          <w:p w14:paraId="31799B95" w14:textId="57BEAB15" w:rsidR="00ED555F" w:rsidRDefault="00ED555F" w:rsidP="00E01502">
            <w:pPr>
              <w:spacing w:line="480" w:lineRule="auto"/>
              <w:rPr>
                <w:rFonts w:ascii="Times New Roman" w:hAnsi="Times New Roman"/>
              </w:rPr>
            </w:pPr>
            <w:r>
              <w:rPr>
                <w:rFonts w:ascii="Times New Roman" w:hAnsi="Times New Roman"/>
              </w:rPr>
              <w:t>75-84 years</w:t>
            </w:r>
          </w:p>
        </w:tc>
        <w:tc>
          <w:tcPr>
            <w:tcW w:w="1287" w:type="dxa"/>
            <w:vAlign w:val="bottom"/>
          </w:tcPr>
          <w:p w14:paraId="21527B79" w14:textId="5C56596B"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24.9</w:t>
            </w:r>
          </w:p>
        </w:tc>
        <w:tc>
          <w:tcPr>
            <w:tcW w:w="1287" w:type="dxa"/>
            <w:vAlign w:val="bottom"/>
          </w:tcPr>
          <w:p w14:paraId="74578A59" w14:textId="77B14AB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22.8</w:t>
            </w:r>
          </w:p>
        </w:tc>
        <w:tc>
          <w:tcPr>
            <w:tcW w:w="1287" w:type="dxa"/>
            <w:vAlign w:val="bottom"/>
          </w:tcPr>
          <w:p w14:paraId="5D637DC7" w14:textId="75DF175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-2.1</w:t>
            </w:r>
          </w:p>
        </w:tc>
        <w:tc>
          <w:tcPr>
            <w:tcW w:w="1287" w:type="dxa"/>
            <w:vAlign w:val="bottom"/>
          </w:tcPr>
          <w:p w14:paraId="4CDD2877" w14:textId="056EB602"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24.6</w:t>
            </w:r>
          </w:p>
        </w:tc>
        <w:tc>
          <w:tcPr>
            <w:tcW w:w="1287" w:type="dxa"/>
            <w:vAlign w:val="bottom"/>
          </w:tcPr>
          <w:p w14:paraId="5B6629A8" w14:textId="03491896"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23.5</w:t>
            </w:r>
          </w:p>
        </w:tc>
        <w:tc>
          <w:tcPr>
            <w:tcW w:w="1287" w:type="dxa"/>
            <w:vAlign w:val="bottom"/>
          </w:tcPr>
          <w:p w14:paraId="7958F65B" w14:textId="49092695"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-1.1</w:t>
            </w:r>
          </w:p>
        </w:tc>
      </w:tr>
      <w:tr w:rsidR="00ED555F" w14:paraId="2AAE93B0" w14:textId="77777777" w:rsidTr="00CF0D66">
        <w:tc>
          <w:tcPr>
            <w:tcW w:w="1287" w:type="dxa"/>
          </w:tcPr>
          <w:p w14:paraId="49AE7BB2" w14:textId="06648FB2" w:rsidR="00ED555F" w:rsidRDefault="00ED555F" w:rsidP="00E01502">
            <w:pPr>
              <w:spacing w:line="480" w:lineRule="auto"/>
              <w:rPr>
                <w:rFonts w:ascii="Times New Roman" w:hAnsi="Times New Roman"/>
              </w:rPr>
            </w:pPr>
            <w:r>
              <w:rPr>
                <w:rFonts w:ascii="Times New Roman" w:hAnsi="Times New Roman"/>
              </w:rPr>
              <w:t>85+ years</w:t>
            </w:r>
          </w:p>
        </w:tc>
        <w:tc>
          <w:tcPr>
            <w:tcW w:w="1287" w:type="dxa"/>
            <w:vAlign w:val="bottom"/>
          </w:tcPr>
          <w:p w14:paraId="45CC4563" w14:textId="678D31F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35</w:t>
            </w:r>
          </w:p>
        </w:tc>
        <w:tc>
          <w:tcPr>
            <w:tcW w:w="1287" w:type="dxa"/>
            <w:vAlign w:val="bottom"/>
          </w:tcPr>
          <w:p w14:paraId="488ECC1E" w14:textId="2EC1B90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28.8</w:t>
            </w:r>
          </w:p>
        </w:tc>
        <w:tc>
          <w:tcPr>
            <w:tcW w:w="1287" w:type="dxa"/>
            <w:vAlign w:val="bottom"/>
          </w:tcPr>
          <w:p w14:paraId="29397CFB" w14:textId="5A075B59"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-6.2</w:t>
            </w:r>
          </w:p>
        </w:tc>
        <w:tc>
          <w:tcPr>
            <w:tcW w:w="1287" w:type="dxa"/>
            <w:vAlign w:val="bottom"/>
          </w:tcPr>
          <w:p w14:paraId="1D7C7A1C" w14:textId="2640EC44"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34.5</w:t>
            </w:r>
          </w:p>
        </w:tc>
        <w:tc>
          <w:tcPr>
            <w:tcW w:w="1287" w:type="dxa"/>
            <w:vAlign w:val="bottom"/>
          </w:tcPr>
          <w:p w14:paraId="4B653E3E" w14:textId="23B4A1E8"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31.7</w:t>
            </w:r>
          </w:p>
        </w:tc>
        <w:tc>
          <w:tcPr>
            <w:tcW w:w="1287" w:type="dxa"/>
            <w:vAlign w:val="bottom"/>
          </w:tcPr>
          <w:p w14:paraId="0611A19A" w14:textId="7F19F26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-2.8</w:t>
            </w:r>
          </w:p>
        </w:tc>
      </w:tr>
    </w:tbl>
    <w:p w14:paraId="5512EF92" w14:textId="77777777" w:rsidR="00107D0B" w:rsidRPr="004E0482" w:rsidRDefault="00107D0B" w:rsidP="00E01502">
      <w:pPr>
        <w:spacing w:line="480" w:lineRule="auto"/>
        <w:rPr>
          <w:rFonts w:ascii="Times New Roman" w:hAnsi="Times New Roman"/>
          <w:color w:val="000000" w:themeColor="text1"/>
          <w:sz w:val="24"/>
          <w:szCs w:val="24"/>
        </w:rPr>
      </w:pPr>
    </w:p>
    <w:p w14:paraId="1C10E54C" w14:textId="25599428" w:rsidR="00E01502" w:rsidRPr="005120F4" w:rsidRDefault="00E01502" w:rsidP="005120F4"/>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6-12-14T22:37:00Z" w:initials="PRM">
    <w:p w14:paraId="4B8DB678" w14:textId="32F5AB38" w:rsidR="00666922" w:rsidRDefault="00666922">
      <w:pPr>
        <w:pStyle w:val="CommentText"/>
      </w:pPr>
      <w:r>
        <w:rPr>
          <w:rStyle w:val="CommentReference"/>
        </w:rPr>
        <w:annotationRef/>
      </w:r>
      <w:r>
        <w:t>Reference 2 is ‘The European Group’</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B8DB6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50&lt;/item&gt;&lt;item&gt;265&lt;/item&gt;&lt;item&gt;267&lt;/item&gt;&lt;item&gt;288&lt;/item&gt;&lt;item&gt;291&lt;/item&gt;&lt;item&gt;355&lt;/item&gt;&lt;item&gt;361&lt;/item&gt;&lt;item&gt;440&lt;/item&gt;&lt;item&gt;444&lt;/item&gt;&lt;item&gt;446&lt;/item&gt;&lt;item&gt;448&lt;/item&gt;&lt;item&gt;454&lt;/item&gt;&lt;item&gt;455&lt;/item&gt;&lt;item&gt;456&lt;/item&gt;&lt;item&gt;457&lt;/item&gt;&lt;item&gt;545&lt;/item&gt;&lt;item&gt;563&lt;/item&gt;&lt;item&gt;565&lt;/item&gt;&lt;item&gt;567&lt;/item&gt;&lt;item&gt;568&lt;/item&gt;&lt;item&gt;569&lt;/item&gt;&lt;item&gt;631&lt;/item&gt;&lt;item&gt;936&lt;/item&gt;&lt;item&gt;937&lt;/item&gt;&lt;item&gt;939&lt;/item&gt;&lt;item&gt;940&lt;/item&gt;&lt;/record-ids&gt;&lt;/item&gt;&lt;/Libraries&gt;"/>
  </w:docVars>
  <w:rsids>
    <w:rsidRoot w:val="00482D51"/>
    <w:rsid w:val="00002C90"/>
    <w:rsid w:val="000053C5"/>
    <w:rsid w:val="000109AC"/>
    <w:rsid w:val="00011D76"/>
    <w:rsid w:val="00013E3D"/>
    <w:rsid w:val="0001569A"/>
    <w:rsid w:val="00023B97"/>
    <w:rsid w:val="00024281"/>
    <w:rsid w:val="0002565E"/>
    <w:rsid w:val="0003152A"/>
    <w:rsid w:val="0003307E"/>
    <w:rsid w:val="00035C74"/>
    <w:rsid w:val="0004212A"/>
    <w:rsid w:val="00045836"/>
    <w:rsid w:val="000474A7"/>
    <w:rsid w:val="000475BD"/>
    <w:rsid w:val="00054424"/>
    <w:rsid w:val="0005500F"/>
    <w:rsid w:val="0005575A"/>
    <w:rsid w:val="000562C9"/>
    <w:rsid w:val="00056848"/>
    <w:rsid w:val="0006075B"/>
    <w:rsid w:val="00060CA5"/>
    <w:rsid w:val="00063A79"/>
    <w:rsid w:val="00063F37"/>
    <w:rsid w:val="000671F1"/>
    <w:rsid w:val="00074B24"/>
    <w:rsid w:val="000760B6"/>
    <w:rsid w:val="0007673F"/>
    <w:rsid w:val="00076B33"/>
    <w:rsid w:val="00076C18"/>
    <w:rsid w:val="00090550"/>
    <w:rsid w:val="000920C6"/>
    <w:rsid w:val="00094C5C"/>
    <w:rsid w:val="000A661A"/>
    <w:rsid w:val="000B25BA"/>
    <w:rsid w:val="000B2739"/>
    <w:rsid w:val="000B6495"/>
    <w:rsid w:val="000B7625"/>
    <w:rsid w:val="000B7DBF"/>
    <w:rsid w:val="000C0ECE"/>
    <w:rsid w:val="000C2D01"/>
    <w:rsid w:val="000C7277"/>
    <w:rsid w:val="000C7D48"/>
    <w:rsid w:val="000E084E"/>
    <w:rsid w:val="000E1528"/>
    <w:rsid w:val="000E7907"/>
    <w:rsid w:val="000F2C80"/>
    <w:rsid w:val="000F72E2"/>
    <w:rsid w:val="00102849"/>
    <w:rsid w:val="001030B3"/>
    <w:rsid w:val="00107D0B"/>
    <w:rsid w:val="00111002"/>
    <w:rsid w:val="00113607"/>
    <w:rsid w:val="00132C6C"/>
    <w:rsid w:val="00134BC3"/>
    <w:rsid w:val="00152476"/>
    <w:rsid w:val="001654F0"/>
    <w:rsid w:val="00167E56"/>
    <w:rsid w:val="0017087D"/>
    <w:rsid w:val="0017329C"/>
    <w:rsid w:val="0017419B"/>
    <w:rsid w:val="00177281"/>
    <w:rsid w:val="001776A2"/>
    <w:rsid w:val="0018033A"/>
    <w:rsid w:val="001804AC"/>
    <w:rsid w:val="001815D7"/>
    <w:rsid w:val="00184548"/>
    <w:rsid w:val="001849C7"/>
    <w:rsid w:val="001A257D"/>
    <w:rsid w:val="001A6832"/>
    <w:rsid w:val="001B23D1"/>
    <w:rsid w:val="001B6E57"/>
    <w:rsid w:val="001D20EA"/>
    <w:rsid w:val="001E064C"/>
    <w:rsid w:val="001E1544"/>
    <w:rsid w:val="001E3CED"/>
    <w:rsid w:val="001E6320"/>
    <w:rsid w:val="001F32FF"/>
    <w:rsid w:val="00200952"/>
    <w:rsid w:val="0020266B"/>
    <w:rsid w:val="002078C1"/>
    <w:rsid w:val="00216490"/>
    <w:rsid w:val="002208C6"/>
    <w:rsid w:val="002369F6"/>
    <w:rsid w:val="002407AF"/>
    <w:rsid w:val="00240EB4"/>
    <w:rsid w:val="0024125E"/>
    <w:rsid w:val="00242781"/>
    <w:rsid w:val="00244B6F"/>
    <w:rsid w:val="00253B85"/>
    <w:rsid w:val="00261272"/>
    <w:rsid w:val="00267F49"/>
    <w:rsid w:val="002719DF"/>
    <w:rsid w:val="002807DD"/>
    <w:rsid w:val="00284309"/>
    <w:rsid w:val="002921BE"/>
    <w:rsid w:val="00293AA3"/>
    <w:rsid w:val="0029437A"/>
    <w:rsid w:val="0029690A"/>
    <w:rsid w:val="00296A5E"/>
    <w:rsid w:val="002A01D0"/>
    <w:rsid w:val="002A70F9"/>
    <w:rsid w:val="002B00D0"/>
    <w:rsid w:val="002B2622"/>
    <w:rsid w:val="002B402F"/>
    <w:rsid w:val="002B434F"/>
    <w:rsid w:val="002B4877"/>
    <w:rsid w:val="002C2E8F"/>
    <w:rsid w:val="002C4E8C"/>
    <w:rsid w:val="002C5FB9"/>
    <w:rsid w:val="002C7535"/>
    <w:rsid w:val="002D344B"/>
    <w:rsid w:val="002D3732"/>
    <w:rsid w:val="002D522E"/>
    <w:rsid w:val="002E041E"/>
    <w:rsid w:val="002E39EC"/>
    <w:rsid w:val="002F4DC5"/>
    <w:rsid w:val="003015A0"/>
    <w:rsid w:val="0030285B"/>
    <w:rsid w:val="00305781"/>
    <w:rsid w:val="00305C2C"/>
    <w:rsid w:val="00311A6D"/>
    <w:rsid w:val="003179A2"/>
    <w:rsid w:val="0032104A"/>
    <w:rsid w:val="00324DAD"/>
    <w:rsid w:val="003324A5"/>
    <w:rsid w:val="0034168A"/>
    <w:rsid w:val="00343668"/>
    <w:rsid w:val="00344EA8"/>
    <w:rsid w:val="00345D0A"/>
    <w:rsid w:val="00354709"/>
    <w:rsid w:val="00355C9A"/>
    <w:rsid w:val="00356AD6"/>
    <w:rsid w:val="00365562"/>
    <w:rsid w:val="00373A9B"/>
    <w:rsid w:val="003809FF"/>
    <w:rsid w:val="00381442"/>
    <w:rsid w:val="00396EEE"/>
    <w:rsid w:val="0039751B"/>
    <w:rsid w:val="003A0B89"/>
    <w:rsid w:val="003A12B6"/>
    <w:rsid w:val="003A1F8F"/>
    <w:rsid w:val="003B2232"/>
    <w:rsid w:val="003B29FF"/>
    <w:rsid w:val="003C1BBC"/>
    <w:rsid w:val="003D0931"/>
    <w:rsid w:val="003D18FA"/>
    <w:rsid w:val="003D5890"/>
    <w:rsid w:val="003E1B4D"/>
    <w:rsid w:val="003E519C"/>
    <w:rsid w:val="003E730D"/>
    <w:rsid w:val="00417006"/>
    <w:rsid w:val="00420CA2"/>
    <w:rsid w:val="004233BA"/>
    <w:rsid w:val="00426E51"/>
    <w:rsid w:val="004278AA"/>
    <w:rsid w:val="00433EDB"/>
    <w:rsid w:val="00434577"/>
    <w:rsid w:val="004412C7"/>
    <w:rsid w:val="00460205"/>
    <w:rsid w:val="004625AD"/>
    <w:rsid w:val="0046623D"/>
    <w:rsid w:val="0047194E"/>
    <w:rsid w:val="00482D51"/>
    <w:rsid w:val="0048630A"/>
    <w:rsid w:val="004875C3"/>
    <w:rsid w:val="0049110E"/>
    <w:rsid w:val="004A5369"/>
    <w:rsid w:val="004A5B2C"/>
    <w:rsid w:val="004B1615"/>
    <w:rsid w:val="004C06A5"/>
    <w:rsid w:val="004C5A3B"/>
    <w:rsid w:val="004D29EF"/>
    <w:rsid w:val="004E0482"/>
    <w:rsid w:val="004E7E7C"/>
    <w:rsid w:val="004E7EC4"/>
    <w:rsid w:val="004F6749"/>
    <w:rsid w:val="004F7FD8"/>
    <w:rsid w:val="00505A63"/>
    <w:rsid w:val="00511D20"/>
    <w:rsid w:val="005120F4"/>
    <w:rsid w:val="00516C72"/>
    <w:rsid w:val="00520C4B"/>
    <w:rsid w:val="00524857"/>
    <w:rsid w:val="00527183"/>
    <w:rsid w:val="00534DEB"/>
    <w:rsid w:val="00537B28"/>
    <w:rsid w:val="0054241A"/>
    <w:rsid w:val="0055499D"/>
    <w:rsid w:val="00554ECC"/>
    <w:rsid w:val="00554FDB"/>
    <w:rsid w:val="00557CBD"/>
    <w:rsid w:val="005612BD"/>
    <w:rsid w:val="00563BDF"/>
    <w:rsid w:val="005835D4"/>
    <w:rsid w:val="00584A95"/>
    <w:rsid w:val="005853B5"/>
    <w:rsid w:val="00593BFA"/>
    <w:rsid w:val="00594465"/>
    <w:rsid w:val="005949B3"/>
    <w:rsid w:val="00597D5B"/>
    <w:rsid w:val="005A5DB0"/>
    <w:rsid w:val="005B11E3"/>
    <w:rsid w:val="005B5156"/>
    <w:rsid w:val="005B6F61"/>
    <w:rsid w:val="005C2358"/>
    <w:rsid w:val="005C2D0A"/>
    <w:rsid w:val="005D3E4E"/>
    <w:rsid w:val="005D4AFE"/>
    <w:rsid w:val="005E10E4"/>
    <w:rsid w:val="005E181A"/>
    <w:rsid w:val="005F1520"/>
    <w:rsid w:val="005F1606"/>
    <w:rsid w:val="005F49C5"/>
    <w:rsid w:val="005F5F8D"/>
    <w:rsid w:val="00600EE4"/>
    <w:rsid w:val="00601CF3"/>
    <w:rsid w:val="0060671F"/>
    <w:rsid w:val="00606FFC"/>
    <w:rsid w:val="006124E6"/>
    <w:rsid w:val="00635FE7"/>
    <w:rsid w:val="00641AF0"/>
    <w:rsid w:val="0064559D"/>
    <w:rsid w:val="00650681"/>
    <w:rsid w:val="00654329"/>
    <w:rsid w:val="00654A11"/>
    <w:rsid w:val="00654BB7"/>
    <w:rsid w:val="006557F6"/>
    <w:rsid w:val="00664B12"/>
    <w:rsid w:val="00665CC1"/>
    <w:rsid w:val="00666922"/>
    <w:rsid w:val="00667261"/>
    <w:rsid w:val="006758D4"/>
    <w:rsid w:val="00676B86"/>
    <w:rsid w:val="0067745B"/>
    <w:rsid w:val="0068648A"/>
    <w:rsid w:val="006A00CF"/>
    <w:rsid w:val="006A2543"/>
    <w:rsid w:val="006A39D8"/>
    <w:rsid w:val="006A3E8B"/>
    <w:rsid w:val="006A5851"/>
    <w:rsid w:val="006A7BEF"/>
    <w:rsid w:val="006B1E6A"/>
    <w:rsid w:val="006B356C"/>
    <w:rsid w:val="006C0352"/>
    <w:rsid w:val="006C0B3D"/>
    <w:rsid w:val="006D29D7"/>
    <w:rsid w:val="006D6127"/>
    <w:rsid w:val="006E4623"/>
    <w:rsid w:val="006F1CE1"/>
    <w:rsid w:val="006F297A"/>
    <w:rsid w:val="006F2D92"/>
    <w:rsid w:val="006F57C9"/>
    <w:rsid w:val="006F645D"/>
    <w:rsid w:val="006F7AAC"/>
    <w:rsid w:val="00707CD4"/>
    <w:rsid w:val="0071189E"/>
    <w:rsid w:val="00713FF4"/>
    <w:rsid w:val="00714D92"/>
    <w:rsid w:val="00717527"/>
    <w:rsid w:val="0072296E"/>
    <w:rsid w:val="00723770"/>
    <w:rsid w:val="00725C10"/>
    <w:rsid w:val="00731128"/>
    <w:rsid w:val="00742DE1"/>
    <w:rsid w:val="007436D7"/>
    <w:rsid w:val="0074650F"/>
    <w:rsid w:val="00750EC9"/>
    <w:rsid w:val="00752EE1"/>
    <w:rsid w:val="007560D4"/>
    <w:rsid w:val="0075782A"/>
    <w:rsid w:val="007611B8"/>
    <w:rsid w:val="0077413A"/>
    <w:rsid w:val="00781265"/>
    <w:rsid w:val="007860C4"/>
    <w:rsid w:val="00792165"/>
    <w:rsid w:val="00792C98"/>
    <w:rsid w:val="00793D6E"/>
    <w:rsid w:val="00795E96"/>
    <w:rsid w:val="007A74E1"/>
    <w:rsid w:val="007B2EED"/>
    <w:rsid w:val="007C5A4F"/>
    <w:rsid w:val="007D3C53"/>
    <w:rsid w:val="007F2E1E"/>
    <w:rsid w:val="007F7BFF"/>
    <w:rsid w:val="0080293E"/>
    <w:rsid w:val="00803355"/>
    <w:rsid w:val="00803FD0"/>
    <w:rsid w:val="0080737F"/>
    <w:rsid w:val="00814929"/>
    <w:rsid w:val="00820F50"/>
    <w:rsid w:val="008245F0"/>
    <w:rsid w:val="00831703"/>
    <w:rsid w:val="00833790"/>
    <w:rsid w:val="0083738D"/>
    <w:rsid w:val="00840791"/>
    <w:rsid w:val="0084095B"/>
    <w:rsid w:val="008453BA"/>
    <w:rsid w:val="00847AF8"/>
    <w:rsid w:val="00851E2E"/>
    <w:rsid w:val="00857C52"/>
    <w:rsid w:val="00860396"/>
    <w:rsid w:val="0086792C"/>
    <w:rsid w:val="00874124"/>
    <w:rsid w:val="008908FE"/>
    <w:rsid w:val="008946C6"/>
    <w:rsid w:val="008A526D"/>
    <w:rsid w:val="008A55E6"/>
    <w:rsid w:val="008A7468"/>
    <w:rsid w:val="008A785D"/>
    <w:rsid w:val="008C5119"/>
    <w:rsid w:val="008C720D"/>
    <w:rsid w:val="008D0F1B"/>
    <w:rsid w:val="008D5E3B"/>
    <w:rsid w:val="008D7F75"/>
    <w:rsid w:val="008E0770"/>
    <w:rsid w:val="008E0ADE"/>
    <w:rsid w:val="008E47B7"/>
    <w:rsid w:val="008E7EF9"/>
    <w:rsid w:val="00903AEA"/>
    <w:rsid w:val="00915FB9"/>
    <w:rsid w:val="009334A8"/>
    <w:rsid w:val="00935607"/>
    <w:rsid w:val="00936272"/>
    <w:rsid w:val="00937AF1"/>
    <w:rsid w:val="00940052"/>
    <w:rsid w:val="0094016A"/>
    <w:rsid w:val="00942A83"/>
    <w:rsid w:val="00953FD4"/>
    <w:rsid w:val="00954E5E"/>
    <w:rsid w:val="00960370"/>
    <w:rsid w:val="009607CA"/>
    <w:rsid w:val="00960E90"/>
    <w:rsid w:val="0096284F"/>
    <w:rsid w:val="00963563"/>
    <w:rsid w:val="00971550"/>
    <w:rsid w:val="00973DAF"/>
    <w:rsid w:val="00975FF9"/>
    <w:rsid w:val="0097680C"/>
    <w:rsid w:val="00981384"/>
    <w:rsid w:val="00981E5B"/>
    <w:rsid w:val="00981FCD"/>
    <w:rsid w:val="00984221"/>
    <w:rsid w:val="009865BF"/>
    <w:rsid w:val="0098685A"/>
    <w:rsid w:val="009868FE"/>
    <w:rsid w:val="009905A0"/>
    <w:rsid w:val="00990ED1"/>
    <w:rsid w:val="00991ED2"/>
    <w:rsid w:val="009A082B"/>
    <w:rsid w:val="009A3625"/>
    <w:rsid w:val="009A4ECC"/>
    <w:rsid w:val="009A78EF"/>
    <w:rsid w:val="009B07E8"/>
    <w:rsid w:val="009B1D00"/>
    <w:rsid w:val="009B275D"/>
    <w:rsid w:val="009D7B53"/>
    <w:rsid w:val="009E25B4"/>
    <w:rsid w:val="009E5A8C"/>
    <w:rsid w:val="009F2E5A"/>
    <w:rsid w:val="009F5D95"/>
    <w:rsid w:val="00A02A60"/>
    <w:rsid w:val="00A033FA"/>
    <w:rsid w:val="00A0468A"/>
    <w:rsid w:val="00A10491"/>
    <w:rsid w:val="00A131C2"/>
    <w:rsid w:val="00A2418A"/>
    <w:rsid w:val="00A2556E"/>
    <w:rsid w:val="00A347E7"/>
    <w:rsid w:val="00A36C23"/>
    <w:rsid w:val="00A40231"/>
    <w:rsid w:val="00A404A3"/>
    <w:rsid w:val="00A43D39"/>
    <w:rsid w:val="00A4662F"/>
    <w:rsid w:val="00A51046"/>
    <w:rsid w:val="00A53ECA"/>
    <w:rsid w:val="00A548AE"/>
    <w:rsid w:val="00A572FC"/>
    <w:rsid w:val="00A6434A"/>
    <w:rsid w:val="00A66275"/>
    <w:rsid w:val="00A662E3"/>
    <w:rsid w:val="00A66C68"/>
    <w:rsid w:val="00A67A78"/>
    <w:rsid w:val="00A714AB"/>
    <w:rsid w:val="00A718C6"/>
    <w:rsid w:val="00A74934"/>
    <w:rsid w:val="00A86B63"/>
    <w:rsid w:val="00A92ED5"/>
    <w:rsid w:val="00A96F0F"/>
    <w:rsid w:val="00AA1780"/>
    <w:rsid w:val="00AA7301"/>
    <w:rsid w:val="00AB01A1"/>
    <w:rsid w:val="00AC16D0"/>
    <w:rsid w:val="00AC6A94"/>
    <w:rsid w:val="00AD05A3"/>
    <w:rsid w:val="00AD3DC6"/>
    <w:rsid w:val="00AD5E23"/>
    <w:rsid w:val="00AE62E4"/>
    <w:rsid w:val="00AF1444"/>
    <w:rsid w:val="00AF52C5"/>
    <w:rsid w:val="00AF536A"/>
    <w:rsid w:val="00B01D71"/>
    <w:rsid w:val="00B02192"/>
    <w:rsid w:val="00B05D10"/>
    <w:rsid w:val="00B12C82"/>
    <w:rsid w:val="00B13E9E"/>
    <w:rsid w:val="00B1677E"/>
    <w:rsid w:val="00B17B65"/>
    <w:rsid w:val="00B23DAD"/>
    <w:rsid w:val="00B3245F"/>
    <w:rsid w:val="00B43778"/>
    <w:rsid w:val="00B60DA1"/>
    <w:rsid w:val="00B61D40"/>
    <w:rsid w:val="00B70F50"/>
    <w:rsid w:val="00B76107"/>
    <w:rsid w:val="00B76378"/>
    <w:rsid w:val="00B820DA"/>
    <w:rsid w:val="00B86A6F"/>
    <w:rsid w:val="00B922F3"/>
    <w:rsid w:val="00B92C48"/>
    <w:rsid w:val="00B95419"/>
    <w:rsid w:val="00B97C94"/>
    <w:rsid w:val="00BA2E2C"/>
    <w:rsid w:val="00BA416B"/>
    <w:rsid w:val="00BB0FD0"/>
    <w:rsid w:val="00BC1F64"/>
    <w:rsid w:val="00BC2F51"/>
    <w:rsid w:val="00BC441D"/>
    <w:rsid w:val="00BD30E9"/>
    <w:rsid w:val="00BE2134"/>
    <w:rsid w:val="00BE2768"/>
    <w:rsid w:val="00BE4231"/>
    <w:rsid w:val="00BE4709"/>
    <w:rsid w:val="00BE6CCC"/>
    <w:rsid w:val="00BE7C5B"/>
    <w:rsid w:val="00C040DD"/>
    <w:rsid w:val="00C04F00"/>
    <w:rsid w:val="00C174B2"/>
    <w:rsid w:val="00C23A06"/>
    <w:rsid w:val="00C24564"/>
    <w:rsid w:val="00C30172"/>
    <w:rsid w:val="00C357B0"/>
    <w:rsid w:val="00C362A6"/>
    <w:rsid w:val="00C42700"/>
    <w:rsid w:val="00C45215"/>
    <w:rsid w:val="00C55375"/>
    <w:rsid w:val="00C57E3D"/>
    <w:rsid w:val="00C67F19"/>
    <w:rsid w:val="00C7054A"/>
    <w:rsid w:val="00C81D59"/>
    <w:rsid w:val="00C82A04"/>
    <w:rsid w:val="00C84C2B"/>
    <w:rsid w:val="00C855CA"/>
    <w:rsid w:val="00C8599D"/>
    <w:rsid w:val="00C906D8"/>
    <w:rsid w:val="00C934B2"/>
    <w:rsid w:val="00CA0751"/>
    <w:rsid w:val="00CA086B"/>
    <w:rsid w:val="00CA2C82"/>
    <w:rsid w:val="00CA40A6"/>
    <w:rsid w:val="00CA6F73"/>
    <w:rsid w:val="00CB2B62"/>
    <w:rsid w:val="00CC15D5"/>
    <w:rsid w:val="00CC407B"/>
    <w:rsid w:val="00CE1DCB"/>
    <w:rsid w:val="00CE1EE0"/>
    <w:rsid w:val="00CE2B18"/>
    <w:rsid w:val="00CE64B3"/>
    <w:rsid w:val="00CF1263"/>
    <w:rsid w:val="00CF318B"/>
    <w:rsid w:val="00CF6E0F"/>
    <w:rsid w:val="00CF6E10"/>
    <w:rsid w:val="00D066CD"/>
    <w:rsid w:val="00D070E7"/>
    <w:rsid w:val="00D07ECE"/>
    <w:rsid w:val="00D12263"/>
    <w:rsid w:val="00D14DB1"/>
    <w:rsid w:val="00D1648B"/>
    <w:rsid w:val="00D20463"/>
    <w:rsid w:val="00D2556B"/>
    <w:rsid w:val="00D31264"/>
    <w:rsid w:val="00D34745"/>
    <w:rsid w:val="00D3514E"/>
    <w:rsid w:val="00D41405"/>
    <w:rsid w:val="00D5093E"/>
    <w:rsid w:val="00D627C4"/>
    <w:rsid w:val="00D64A46"/>
    <w:rsid w:val="00D64CF4"/>
    <w:rsid w:val="00D71354"/>
    <w:rsid w:val="00D773DD"/>
    <w:rsid w:val="00D92672"/>
    <w:rsid w:val="00D96263"/>
    <w:rsid w:val="00D96DE9"/>
    <w:rsid w:val="00DA0408"/>
    <w:rsid w:val="00DA492B"/>
    <w:rsid w:val="00DB7088"/>
    <w:rsid w:val="00DC265F"/>
    <w:rsid w:val="00DC2CF1"/>
    <w:rsid w:val="00DC473B"/>
    <w:rsid w:val="00DD010C"/>
    <w:rsid w:val="00DD4C07"/>
    <w:rsid w:val="00E01502"/>
    <w:rsid w:val="00E02AFE"/>
    <w:rsid w:val="00E068E0"/>
    <w:rsid w:val="00E07717"/>
    <w:rsid w:val="00E137F4"/>
    <w:rsid w:val="00E1778C"/>
    <w:rsid w:val="00E30146"/>
    <w:rsid w:val="00E30382"/>
    <w:rsid w:val="00E36439"/>
    <w:rsid w:val="00E40384"/>
    <w:rsid w:val="00E40C87"/>
    <w:rsid w:val="00E4479C"/>
    <w:rsid w:val="00E55163"/>
    <w:rsid w:val="00E55382"/>
    <w:rsid w:val="00E553D2"/>
    <w:rsid w:val="00E71FBD"/>
    <w:rsid w:val="00E72CAE"/>
    <w:rsid w:val="00E740F4"/>
    <w:rsid w:val="00E812B7"/>
    <w:rsid w:val="00E843B9"/>
    <w:rsid w:val="00E86FC3"/>
    <w:rsid w:val="00E87703"/>
    <w:rsid w:val="00E937AB"/>
    <w:rsid w:val="00E95D86"/>
    <w:rsid w:val="00EA7F08"/>
    <w:rsid w:val="00EB4BF9"/>
    <w:rsid w:val="00EC0049"/>
    <w:rsid w:val="00EC3131"/>
    <w:rsid w:val="00EC42D2"/>
    <w:rsid w:val="00EC50A5"/>
    <w:rsid w:val="00ED0407"/>
    <w:rsid w:val="00ED4CC2"/>
    <w:rsid w:val="00ED555F"/>
    <w:rsid w:val="00EF3D50"/>
    <w:rsid w:val="00F00B29"/>
    <w:rsid w:val="00F01B41"/>
    <w:rsid w:val="00F02A45"/>
    <w:rsid w:val="00F06034"/>
    <w:rsid w:val="00F11D04"/>
    <w:rsid w:val="00F147B2"/>
    <w:rsid w:val="00F15C6C"/>
    <w:rsid w:val="00F2319B"/>
    <w:rsid w:val="00F31625"/>
    <w:rsid w:val="00F35FBE"/>
    <w:rsid w:val="00F4128C"/>
    <w:rsid w:val="00F42B27"/>
    <w:rsid w:val="00F43484"/>
    <w:rsid w:val="00F45AAF"/>
    <w:rsid w:val="00F46F05"/>
    <w:rsid w:val="00F5138B"/>
    <w:rsid w:val="00F51CCD"/>
    <w:rsid w:val="00F60636"/>
    <w:rsid w:val="00F61742"/>
    <w:rsid w:val="00F6757E"/>
    <w:rsid w:val="00F70085"/>
    <w:rsid w:val="00F84E6D"/>
    <w:rsid w:val="00F911E8"/>
    <w:rsid w:val="00F96A1B"/>
    <w:rsid w:val="00FA0046"/>
    <w:rsid w:val="00FA722E"/>
    <w:rsid w:val="00FB1825"/>
    <w:rsid w:val="00FB35F9"/>
    <w:rsid w:val="00FB6911"/>
    <w:rsid w:val="00FB6A8E"/>
    <w:rsid w:val="00FD1A95"/>
    <w:rsid w:val="00FD5404"/>
    <w:rsid w:val="00FE46E5"/>
    <w:rsid w:val="00FE5FE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7234A10-715C-F54C-BF0E-7C0B41444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4859</Words>
  <Characters>27700</Characters>
  <Application>Microsoft Macintosh Word</Application>
  <DocSecurity>0</DocSecurity>
  <Lines>230</Lines>
  <Paragraphs>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There are some limitations to our study… e.g. all-cause mortality. Other papers </vt:lpstr>
      <vt:lpstr/>
      <vt:lpstr/>
      <vt:lpstr>Methods</vt:lpstr>
      <vt:lpstr>Data</vt:lpstr>
      <vt:lpstr>Statistical methods</vt:lpstr>
    </vt:vector>
  </TitlesOfParts>
  <LinksUpToDate>false</LinksUpToDate>
  <CharactersWithSpaces>32495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64</cp:revision>
  <dcterms:created xsi:type="dcterms:W3CDTF">2016-12-15T13:54:00Z</dcterms:created>
  <dcterms:modified xsi:type="dcterms:W3CDTF">2016-12-19T10:17:00Z</dcterms:modified>
</cp:coreProperties>
</file>