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EF3" w:rsidRDefault="004E5EF3" w:rsidP="004E5EF3">
      <w:pPr>
        <w:pStyle w:val="Title"/>
      </w:pPr>
      <w:r>
        <w:t>Ch 7 Impacts of Drought and Interventions on CT</w:t>
      </w:r>
    </w:p>
    <w:p w:rsidR="004E5EF3" w:rsidRPr="004E5EF3" w:rsidRDefault="004E5EF3" w:rsidP="004E5EF3"/>
    <w:p w:rsidR="004E5EF3" w:rsidRDefault="004E5EF3" w:rsidP="004E5EF3">
      <w:pPr>
        <w:pStyle w:val="Heading1"/>
      </w:pPr>
      <w:r>
        <w:t>Health</w:t>
      </w:r>
      <w:r>
        <w:rPr>
          <w:rFonts w:ascii="Arial" w:hAnsi="Arial" w:cs="Arial"/>
        </w:rPr>
        <w:t xml:space="preserve"> </w:t>
      </w:r>
      <w:r>
        <w:t>impacts</w:t>
      </w:r>
    </w:p>
    <w:p w:rsidR="004E5EF3" w:rsidRDefault="004E5EF3" w:rsidP="004E5EF3">
      <w:pPr>
        <w:pStyle w:val="NormalWeb"/>
        <w:numPr>
          <w:ilvl w:val="0"/>
          <w:numId w:val="1"/>
        </w:numPr>
        <w:spacing w:before="12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General health impacts overview (</w:t>
      </w:r>
      <w:hyperlink r:id="rId5" w:history="1">
        <w:r>
          <w:rPr>
            <w:rStyle w:val="Hyperlink"/>
            <w:rFonts w:ascii="Calibri" w:hAnsi="Calibri" w:cs="Calibri"/>
            <w:color w:val="1155CC"/>
            <w:sz w:val="22"/>
            <w:szCs w:val="22"/>
          </w:rPr>
          <w:t>link</w:t>
        </w:r>
      </w:hyperlink>
      <w:r>
        <w:rPr>
          <w:rFonts w:ascii="Calibri" w:hAnsi="Calibri" w:cs="Calibri"/>
          <w:color w:val="000000"/>
          <w:sz w:val="22"/>
          <w:szCs w:val="22"/>
        </w:rPr>
        <w:t>):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Malnutrition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Disease from poor water supplies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Psychological effects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Airborne disease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Vector-borne disease</w:t>
      </w:r>
    </w:p>
    <w:p w:rsidR="004E5EF3" w:rsidRDefault="004E5EF3" w:rsidP="004E5EF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Impacts on equivalent city-based studies (</w:t>
      </w:r>
      <w:r>
        <w:rPr>
          <w:rFonts w:ascii="Calibri" w:hAnsi="Calibri" w:cs="Calibri"/>
          <w:i/>
          <w:iCs/>
          <w:color w:val="000000"/>
          <w:sz w:val="22"/>
          <w:szCs w:val="22"/>
        </w:rPr>
        <w:t>ideas</w:t>
      </w:r>
      <w:r>
        <w:rPr>
          <w:rFonts w:ascii="Calibri" w:hAnsi="Calibri" w:cs="Calibri"/>
          <w:color w:val="000000"/>
          <w:sz w:val="22"/>
          <w:szCs w:val="22"/>
        </w:rPr>
        <w:t>?)</w:t>
      </w:r>
    </w:p>
    <w:p w:rsidR="004E5EF3" w:rsidRDefault="004E5EF3" w:rsidP="004E5EF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Impacts not manifested, but predicted as possibility by experts...</w:t>
      </w:r>
    </w:p>
    <w:p w:rsidR="004E5EF3" w:rsidRDefault="004E5EF3" w:rsidP="004E5EF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(Ref: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Dr.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Jo Barnes interview) interviewed around health impacts: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25 litres per person (day zero allocation) will not possible to keep household clean and safe from infections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Risk is not dying of thirst from day zero, but that people get sick with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diarrhea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or other water-borne diseases due to inability to keep household clean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Especially at risk is the vulnerable - babies, frail elderly people, chronic health conditions</w:t>
      </w:r>
    </w:p>
    <w:p w:rsidR="004E5EF3" w:rsidRDefault="004E5EF3" w:rsidP="004E5EF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Situation exasperated due to misinformation being spread through the media on how to treat food preparation when having access to little or no water e.g. recommending peeling fruit/veg rather than cleaning it 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Presence of grey water use and water storage in households - scooping water out of containers with dirty containers, cross contamination 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CCT published guidelines around safe greywater use in households to try to address this (ref: CCT greywater use).</w:t>
      </w:r>
    </w:p>
    <w:p w:rsidR="004E5EF3" w:rsidRDefault="004E5EF3" w:rsidP="004E5EF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Impacts on hospitals of “day zero” scenario (ref: Jo Barnes interview)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Health department reportedly had a plan in place for dealing with water not being available, but plans kept secret, not known outside of government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Hospitals classed as “strategic site” so in the event of day zero the city would attempt to continue to provide them with water</w:t>
      </w:r>
    </w:p>
    <w:p w:rsidR="004E5EF3" w:rsidRDefault="004E5EF3" w:rsidP="004E5EF3">
      <w:pPr>
        <w:pStyle w:val="NormalWeb"/>
        <w:numPr>
          <w:ilvl w:val="1"/>
          <w:numId w:val="1"/>
        </w:numPr>
        <w:spacing w:before="0" w:beforeAutospacing="0" w:after="12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Hospitals also prioritised to get “off the grid” through installation of boreholes</w:t>
      </w:r>
    </w:p>
    <w:p w:rsidR="004E5EF3" w:rsidRDefault="004E5EF3" w:rsidP="004E5EF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t>Economic</w:t>
      </w:r>
      <w:r>
        <w:rPr>
          <w:rFonts w:ascii="Arial" w:hAnsi="Arial" w:cs="Arial"/>
        </w:rPr>
        <w:t xml:space="preserve"> </w:t>
      </w:r>
      <w:r>
        <w:t>impacts</w:t>
      </w:r>
    </w:p>
    <w:p w:rsidR="004E5EF3" w:rsidRDefault="004E5EF3" w:rsidP="004E5EF3">
      <w:pPr>
        <w:pStyle w:val="Heading2"/>
      </w:pPr>
      <w:r>
        <w:t>Tourism</w:t>
      </w:r>
    </w:p>
    <w:p w:rsidR="004E5EF3" w:rsidRDefault="004E5EF3" w:rsidP="004E5EF3">
      <w:pPr>
        <w:pStyle w:val="NormalWeb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Worth around 10% of South Africa’s economic output (via total contribution) and supports about 10% of total employment (1.5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millon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(</w:t>
      </w:r>
      <w:hyperlink r:id="rId6" w:history="1">
        <w:r>
          <w:rPr>
            <w:rStyle w:val="Hyperlink"/>
            <w:rFonts w:ascii="Calibri" w:hAnsi="Calibri" w:cs="Calibri"/>
            <w:color w:val="1155CC"/>
            <w:sz w:val="22"/>
            <w:szCs w:val="22"/>
          </w:rPr>
          <w:t>link</w:t>
        </w:r>
      </w:hyperlink>
      <w:r>
        <w:rPr>
          <w:rFonts w:ascii="Calibri" w:hAnsi="Calibri" w:cs="Calibri"/>
          <w:color w:val="000000"/>
          <w:sz w:val="22"/>
          <w:szCs w:val="22"/>
        </w:rPr>
        <w:t>)</w:t>
      </w:r>
    </w:p>
    <w:p w:rsidR="004E5EF3" w:rsidRDefault="004E5EF3" w:rsidP="004E5EF3">
      <w:pPr>
        <w:pStyle w:val="NormalWeb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Anecdotal stories of cancellations due to worry about hotel policies etc.</w:t>
      </w:r>
    </w:p>
    <w:p w:rsidR="004E5EF3" w:rsidRDefault="004E5EF3" w:rsidP="004E5EF3">
      <w:pPr>
        <w:pStyle w:val="NormalWeb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Conflicting reports of increase in visitors (</w:t>
      </w:r>
      <w:hyperlink r:id="rId7" w:history="1">
        <w:r>
          <w:rPr>
            <w:rStyle w:val="Hyperlink"/>
            <w:rFonts w:ascii="Calibri" w:hAnsi="Calibri" w:cs="Calibri"/>
            <w:color w:val="1155CC"/>
            <w:sz w:val="22"/>
            <w:szCs w:val="22"/>
          </w:rPr>
          <w:t>link</w:t>
        </w:r>
      </w:hyperlink>
      <w:r>
        <w:rPr>
          <w:rFonts w:ascii="Calibri" w:hAnsi="Calibri" w:cs="Calibri"/>
          <w:color w:val="000000"/>
          <w:sz w:val="22"/>
          <w:szCs w:val="22"/>
        </w:rPr>
        <w:t>), plateau of numbers (</w:t>
      </w:r>
      <w:hyperlink r:id="rId8" w:history="1">
        <w:r>
          <w:rPr>
            <w:rStyle w:val="Hyperlink"/>
            <w:rFonts w:ascii="Calibri" w:hAnsi="Calibri" w:cs="Calibri"/>
            <w:color w:val="1155CC"/>
            <w:sz w:val="22"/>
            <w:szCs w:val="22"/>
          </w:rPr>
          <w:t>link</w:t>
        </w:r>
      </w:hyperlink>
      <w:r>
        <w:rPr>
          <w:rFonts w:ascii="Calibri" w:hAnsi="Calibri" w:cs="Calibri"/>
          <w:color w:val="000000"/>
          <w:sz w:val="22"/>
          <w:szCs w:val="22"/>
        </w:rPr>
        <w:t>),  to decrease in numbers (</w:t>
      </w:r>
      <w:hyperlink r:id="rId9" w:history="1">
        <w:r>
          <w:rPr>
            <w:rStyle w:val="Hyperlink"/>
            <w:rFonts w:ascii="Calibri" w:hAnsi="Calibri" w:cs="Calibri"/>
            <w:color w:val="1155CC"/>
            <w:sz w:val="22"/>
            <w:szCs w:val="22"/>
          </w:rPr>
          <w:t>link</w:t>
        </w:r>
      </w:hyperlink>
      <w:r>
        <w:rPr>
          <w:rFonts w:ascii="Calibri" w:hAnsi="Calibri" w:cs="Calibri"/>
          <w:color w:val="000000"/>
          <w:sz w:val="22"/>
          <w:szCs w:val="22"/>
        </w:rPr>
        <w:t xml:space="preserve">). </w:t>
      </w:r>
    </w:p>
    <w:p w:rsidR="004E5EF3" w:rsidRDefault="004E5EF3" w:rsidP="004E5EF3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:rsidR="004E5EF3" w:rsidRDefault="004E5EF3" w:rsidP="004E5EF3">
      <w:pPr>
        <w:pStyle w:val="Heading2"/>
      </w:pPr>
      <w:r>
        <w:lastRenderedPageBreak/>
        <w:t xml:space="preserve">Agriculture </w:t>
      </w:r>
    </w:p>
    <w:p w:rsidR="004E5EF3" w:rsidRDefault="004E5EF3" w:rsidP="004E5EF3">
      <w:pPr>
        <w:pStyle w:val="NormalWeb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(ref DM how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wc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farmers affected by drought)</w:t>
      </w:r>
    </w:p>
    <w:p w:rsidR="004E5EF3" w:rsidRDefault="004E5EF3" w:rsidP="004E5EF3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Impact on employment: 215,000 employees in the agricultural sector in the area, 75% seasonal workers that are particularly vulnerable to changes in production</w:t>
      </w:r>
    </w:p>
    <w:p w:rsidR="004E5EF3" w:rsidRDefault="004E5EF3" w:rsidP="004E5EF3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Main commodity in WC is horticulture, fruit, veg, wine as well as meat, dairy, wheat, canola, barley. All crops require irrigation during the summer season</w:t>
      </w:r>
    </w:p>
    <w:p w:rsidR="004E5EF3" w:rsidRDefault="004E5EF3" w:rsidP="004E5EF3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Behaviour change in farmers - water hoarding in advance of depletion of resources vs. donation of excess water to city coffers</w:t>
      </w:r>
    </w:p>
    <w:p w:rsidR="004E5EF3" w:rsidRDefault="004E5EF3" w:rsidP="004E5EF3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Reduced crops/harvest = reduced employment of seasonal workers = social unrest</w:t>
      </w:r>
    </w:p>
    <w:p w:rsidR="004E5EF3" w:rsidRDefault="004E5EF3" w:rsidP="004E5EF3">
      <w:pPr>
        <w:pStyle w:val="NormalWeb"/>
        <w:numPr>
          <w:ilvl w:val="2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(ref DM WC drought impact)</w:t>
      </w:r>
    </w:p>
    <w:p w:rsidR="004E5EF3" w:rsidRDefault="004E5EF3" w:rsidP="004E5EF3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30230 job losses in agriculture sector</w:t>
      </w:r>
    </w:p>
    <w:p w:rsidR="004E5EF3" w:rsidRDefault="004E5EF3" w:rsidP="004E5EF3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20.4% drop in production between 2016/17 and 2017/18 in wine grapes, table grapes, pome and stone fruit, citrus, alternative fruit, major vegetables and grapes</w:t>
      </w:r>
    </w:p>
    <w:p w:rsidR="004E5EF3" w:rsidRDefault="004E5EF3" w:rsidP="004E5EF3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R5.9 billion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loss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in Gross Value Add in industry</w:t>
      </w:r>
    </w:p>
    <w:p w:rsidR="004E5EF3" w:rsidRDefault="004E5EF3" w:rsidP="004E5EF3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Longer term impacts expected to last for 8-10 years</w:t>
      </w:r>
    </w:p>
    <w:p w:rsidR="004E5EF3" w:rsidRDefault="004E5EF3" w:rsidP="004E5EF3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Particular impact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on emerging farmers without resources to sustain unprofitable years or invest in alternative water sources</w:t>
      </w:r>
    </w:p>
    <w:p w:rsidR="004E5EF3" w:rsidRDefault="004E5EF3" w:rsidP="004E5EF3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:rsidR="004E5EF3" w:rsidRDefault="004E5EF3" w:rsidP="004E5EF3">
      <w:pPr>
        <w:pStyle w:val="Heading2"/>
      </w:pPr>
      <w:r>
        <w:t>Other Industries</w:t>
      </w:r>
    </w:p>
    <w:p w:rsidR="004E5EF3" w:rsidRDefault="004E5EF3" w:rsidP="004E5EF3">
      <w:pPr>
        <w:pStyle w:val="NormalWeb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Other specialised commercial businesses impacted by the drought, with some benefiting and others suffering. Businesses that thrived were, for example, producers of water tanks, borehole or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wellpoint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installers and bottled water sales. On the other hand, a decreasing demand for plants due to restrictions on using municipal water saw nurseries shutting down or restocking with water-wise plants.</w:t>
      </w:r>
    </w:p>
    <w:p w:rsidR="004E5EF3" w:rsidRPr="004E5EF3" w:rsidRDefault="004E5EF3" w:rsidP="004E5EF3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:rsidR="004E5EF3" w:rsidRDefault="004E5EF3" w:rsidP="004E5EF3">
      <w:pPr>
        <w:pStyle w:val="Heading1"/>
      </w:pPr>
      <w:r>
        <w:t>Impact on finances of water department</w:t>
      </w:r>
    </w:p>
    <w:p w:rsidR="004E5EF3" w:rsidRDefault="004E5EF3" w:rsidP="004E5EF3">
      <w:pPr>
        <w:pStyle w:val="NormalWeb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Costs of investment in infrastructure</w:t>
      </w:r>
    </w:p>
    <w:p w:rsidR="004E5EF3" w:rsidRDefault="004E5EF3" w:rsidP="004E5EF3">
      <w:pPr>
        <w:pStyle w:val="NormalWeb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Costs of loss of income due to reduced water use</w:t>
      </w:r>
    </w:p>
    <w:p w:rsidR="004E5EF3" w:rsidRDefault="004E5EF3" w:rsidP="004E5EF3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:rsidR="004E5EF3" w:rsidRDefault="004E5EF3" w:rsidP="004E5EF3">
      <w:pPr>
        <w:pStyle w:val="Heading1"/>
      </w:pPr>
      <w:r>
        <w:t>Innovation in the time of crisis</w:t>
      </w:r>
    </w:p>
    <w:p w:rsidR="004E5EF3" w:rsidRDefault="004E5EF3" w:rsidP="004E5EF3">
      <w:pPr>
        <w:pStyle w:val="NormalWeb"/>
        <w:spacing w:before="0" w:beforeAutospacing="0" w:after="12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??</w:t>
      </w:r>
    </w:p>
    <w:p w:rsidR="004E5EF3" w:rsidRDefault="004E5EF3" w:rsidP="004E5EF3">
      <w:pPr>
        <w:pStyle w:val="NormalWeb"/>
        <w:spacing w:before="0" w:beforeAutospacing="0" w:after="12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bookmarkStart w:id="0" w:name="_GoBack"/>
      <w:bookmarkEnd w:id="0"/>
    </w:p>
    <w:p w:rsidR="004E5EF3" w:rsidRDefault="004E5EF3" w:rsidP="004E5EF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t>Differential of impacts behaviour on different strata of society (rich/poor/black/white)</w:t>
      </w:r>
    </w:p>
    <w:p w:rsidR="004E5EF3" w:rsidRDefault="004E5EF3" w:rsidP="004E5EF3">
      <w:pPr>
        <w:pStyle w:val="NormalWeb"/>
        <w:numPr>
          <w:ilvl w:val="0"/>
          <w:numId w:val="4"/>
        </w:numPr>
        <w:spacing w:before="12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 of water in poor vs. wealthy households in CT? Informal dwellings take up 4% of use but make up ?? of population</w:t>
      </w:r>
    </w:p>
    <w:p w:rsidR="004E5EF3" w:rsidRDefault="004E5EF3" w:rsidP="004E5EF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Targeting poorer households for WMDs?</w:t>
      </w:r>
    </w:p>
    <w:p w:rsidR="004E5EF3" w:rsidRDefault="004E5EF3" w:rsidP="004E5EF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Indigent households?</w:t>
      </w:r>
    </w:p>
    <w:p w:rsidR="004E5EF3" w:rsidRDefault="004E5EF3" w:rsidP="004E5EF3">
      <w:pPr>
        <w:pStyle w:val="NormalWeb"/>
        <w:numPr>
          <w:ilvl w:val="0"/>
          <w:numId w:val="4"/>
        </w:numPr>
        <w:spacing w:before="0" w:beforeAutospacing="0" w:after="12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Ability to invest in water-saving household infrastructure/alternative sources of water (boreholes)</w:t>
      </w:r>
    </w:p>
    <w:p w:rsidR="00421DF1" w:rsidRDefault="00421DF1"/>
    <w:sectPr w:rsidR="00421DF1" w:rsidSect="0003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337DC"/>
    <w:multiLevelType w:val="multilevel"/>
    <w:tmpl w:val="70C0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74C39"/>
    <w:multiLevelType w:val="multilevel"/>
    <w:tmpl w:val="C89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F752B"/>
    <w:multiLevelType w:val="multilevel"/>
    <w:tmpl w:val="A5BA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F3"/>
    <w:rsid w:val="00036321"/>
    <w:rsid w:val="003E092D"/>
    <w:rsid w:val="00421DF1"/>
    <w:rsid w:val="004E5EF3"/>
    <w:rsid w:val="00601CA7"/>
    <w:rsid w:val="00FD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C7DF"/>
  <w15:chartTrackingRefBased/>
  <w15:docId w15:val="{0C6C6616-D801-4F75-9548-C3A482B0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5EF3"/>
  </w:style>
  <w:style w:type="paragraph" w:styleId="Heading1">
    <w:name w:val="heading 1"/>
    <w:basedOn w:val="Normal"/>
    <w:next w:val="Normal"/>
    <w:link w:val="Heading1Char"/>
    <w:uiPriority w:val="9"/>
    <w:qFormat/>
    <w:rsid w:val="004E5E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E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5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E5EF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E5E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E5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5E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12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dingeconomics.com/south-africa/tourist-arrival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apetownetc.com/news/city-records-increase-in-tourism-for-decemb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ttc.org/-/media/files/reports/economic-impact-research/countries-2017/southafrica2017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currents.plos.org/disasters/article/dis-13-0001-health-effects-of-drought-a-systematic-review-of-the-evidenc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k.reuters.com/article/uk-safrica-drought-tourism/cape-towns-water-crisis-hitting-tourism-officials-idUKKBN1FN0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Mclaren</dc:creator>
  <cp:keywords/>
  <dc:description/>
  <cp:lastModifiedBy>Megan Mclaren</cp:lastModifiedBy>
  <cp:revision>1</cp:revision>
  <dcterms:created xsi:type="dcterms:W3CDTF">2018-07-24T10:31:00Z</dcterms:created>
  <dcterms:modified xsi:type="dcterms:W3CDTF">2018-07-24T10:33:00Z</dcterms:modified>
</cp:coreProperties>
</file>