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5840E5C1"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D84D4F">
        <w:rPr>
          <w:color w:val="000000" w:themeColor="text1"/>
        </w:rPr>
        <w:t xml:space="preserv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r w:rsidR="00D84D4F">
        <w:rPr>
          <w:color w:val="000000" w:themeColor="text1"/>
        </w:rPr>
        <w:t xml:space="preserve">Chicago </w:t>
      </w:r>
      <w:r w:rsidR="004F7F00">
        <w:rPr>
          <w:color w:val="000000" w:themeColor="text1"/>
        </w:rPr>
        <w:t xml:space="preserve">would </w:t>
      </w:r>
      <w:r w:rsidR="000C761D">
        <w:rPr>
          <w:color w:val="000000" w:themeColor="text1"/>
        </w:rPr>
        <w:t>engender</w:t>
      </w:r>
      <w:r w:rsidR="004F7F00">
        <w:rPr>
          <w:color w:val="000000" w:themeColor="text1"/>
        </w:rPr>
        <w:t xml:space="preserve"> extreme situations</w:t>
      </w:r>
      <w:r w:rsidR="00D21FA0">
        <w:rPr>
          <w:color w:val="000000" w:themeColor="text1"/>
        </w:rPr>
        <w:t xml:space="preserve"> </w:t>
      </w:r>
      <w:r w:rsidR="004F7F00">
        <w:rPr>
          <w:color w:val="000000" w:themeColor="text1"/>
        </w:rPr>
        <w:t>and cause</w:t>
      </w:r>
      <w:r w:rsidR="00D21FA0">
        <w:rPr>
          <w:color w:val="000000" w:themeColor="text1"/>
        </w:rPr>
        <w:t xml:space="preserve"> </w:t>
      </w:r>
      <w:r w:rsidR="004F7F00">
        <w:rPr>
          <w:color w:val="000000" w:themeColor="text1"/>
        </w:rPr>
        <w:t xml:space="preserve">thousands </w:t>
      </w:r>
      <w:r w:rsidR="00D21FA0">
        <w:rPr>
          <w:color w:val="000000" w:themeColor="text1"/>
        </w:rPr>
        <w:t>of deaths</w:t>
      </w:r>
      <w:r w:rsidR="002C3205">
        <w:rPr>
          <w:color w:val="000000" w:themeColor="text1"/>
        </w:rPr>
        <w:t>. Our study</w:t>
      </w:r>
      <w:r w:rsidR="007A0B16">
        <w:rPr>
          <w:color w:val="000000" w:themeColor="text1"/>
        </w:rPr>
        <w:t>,</w:t>
      </w:r>
      <w:r w:rsidR="009E0A2F">
        <w:rPr>
          <w:color w:val="000000" w:themeColor="text1"/>
        </w:rPr>
        <w:fldChar w:fldCharType="begin" w:fldLock="1"/>
      </w:r>
      <w:r w:rsidR="00F67684">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1&lt;/sup&gt;","plainTextFormattedCitation":"1","previouslyFormattedCitation":"&lt;sup&gt;1&lt;/sup&gt;"},"properties":{"noteIndex":0},"schema":"https://github.com/citation-style-language/schema/raw/master/csl-citation.json"}</w:instrText>
      </w:r>
      <w:r w:rsidR="009E0A2F">
        <w:rPr>
          <w:color w:val="000000" w:themeColor="text1"/>
        </w:rPr>
        <w:fldChar w:fldCharType="separate"/>
      </w:r>
      <w:r w:rsidR="009E0A2F" w:rsidRPr="009E0A2F">
        <w:rPr>
          <w:noProof/>
          <w:color w:val="000000" w:themeColor="text1"/>
          <w:vertAlign w:val="superscript"/>
        </w:rPr>
        <w:t>1</w:t>
      </w:r>
      <w:r w:rsidR="009E0A2F">
        <w:rPr>
          <w:color w:val="000000" w:themeColor="text1"/>
        </w:rPr>
        <w:fldChar w:fldCharType="end"/>
      </w:r>
      <w:r w:rsidR="007A0B16">
        <w:rPr>
          <w:color w:val="000000" w:themeColor="text1"/>
        </w:rPr>
        <w:t xml:space="preserve"> and another recent analysis,</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lt;/sup&gt;","plainTextFormattedCitation":"2","previouslyFormattedCitation":"&lt;sup&gt;2&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w:t>
      </w:r>
      <w:r w:rsidR="00987EF6">
        <w:rPr>
          <w:color w:val="000000" w:themeColor="text1"/>
        </w:rPr>
        <w:fldChar w:fldCharType="end"/>
      </w:r>
      <w:r w:rsidR="002C3205">
        <w:rPr>
          <w:color w:val="000000" w:themeColor="text1"/>
        </w:rPr>
        <w:t xml:space="preserve"> </w:t>
      </w:r>
      <w:r w:rsidR="00AB3AE1">
        <w:rPr>
          <w:color w:val="000000" w:themeColor="text1"/>
        </w:rPr>
        <w:t>used innovative design</w:t>
      </w:r>
      <w:r w:rsidR="00F67B09">
        <w:rPr>
          <w:color w:val="000000" w:themeColor="text1"/>
        </w:rPr>
        <w:t>s</w:t>
      </w:r>
      <w:r w:rsidR="00AB3AE1">
        <w:rPr>
          <w:color w:val="000000" w:themeColor="text1"/>
        </w:rPr>
        <w:t xml:space="preserve">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w:t>
      </w:r>
      <w:r w:rsidR="00B31339">
        <w:rPr>
          <w:color w:val="000000" w:themeColor="text1"/>
        </w:rPr>
        <w:lastRenderedPageBreak/>
        <w:t xml:space="preserve">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F67684">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3,4&lt;/sup&gt;","plainTextFormattedCitation":"3,4","previouslyFormattedCitation":"&lt;sup&gt;3,4&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3,4</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F67684">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5&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5</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3DC4555B" w:rsidR="002C64F6" w:rsidRDefault="00590E12" w:rsidP="002C64F6">
      <w:pPr>
        <w:spacing w:line="480" w:lineRule="auto"/>
        <w:jc w:val="both"/>
        <w:outlineLvl w:val="0"/>
        <w:rPr>
          <w:color w:val="000000" w:themeColor="text1"/>
        </w:rPr>
      </w:pPr>
      <w:r w:rsidRPr="00590E12">
        <w:rPr>
          <w:color w:val="000000" w:themeColor="text1"/>
        </w:rPr>
        <w:t xml:space="preserve">As incorrectly stated by Mitchell and colleagues, computational considerations had no influence on the choice to analyse monthly mean temperature. </w:t>
      </w:r>
      <w:r w:rsidR="007A0B16">
        <w:rPr>
          <w:color w:val="000000" w:themeColor="text1"/>
        </w:rPr>
        <w:t>Rather, i</w:t>
      </w:r>
      <w:r w:rsidR="00BF6E46">
        <w:rPr>
          <w:color w:val="000000" w:themeColor="text1"/>
        </w:rPr>
        <w:t>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F67684">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6&lt;/sup&gt;","plainTextFormattedCitation":"6","previouslyFormattedCitation":"&lt;sup&gt;6&lt;/sup&gt;"},"properties":{"noteIndex":0},"schema":"https://github.com/citation-style-language/schema/raw/master/csl-citation.json"}</w:instrText>
      </w:r>
      <w:r w:rsidR="00D97182">
        <w:rPr>
          <w:color w:val="000000" w:themeColor="text1"/>
        </w:rPr>
        <w:fldChar w:fldCharType="separate"/>
      </w:r>
      <w:r w:rsidR="009E0A2F" w:rsidRPr="009E0A2F">
        <w:rPr>
          <w:noProof/>
          <w:color w:val="000000" w:themeColor="text1"/>
          <w:vertAlign w:val="superscript"/>
        </w:rPr>
        <w:t>6</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0FF44FD6"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987EF6">
        <w:rPr>
          <w:color w:val="000000" w:themeColor="text1"/>
        </w:rPr>
        <w:t>.</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Prevention","id":"ITEM-2","issued":{"date-parts":[["2018"]]},"title":"Climate change, weather and road deaths","type":"article-journal"},"uris":["http://www.mendeley.com/documents/?uuid=2805dd90-a6e0-4ea1-ad7e-03291693f0d1"]}],"mendeley":{"formattedCitation":"&lt;sup&gt;2,7&lt;/sup&gt;","plainTextFormattedCitation":"2,7","previouslyFormattedCitation":"&lt;sup&gt;2,7&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2,7</w:t>
      </w:r>
      <w:r w:rsidR="00987EF6">
        <w:rPr>
          <w:color w:val="000000" w:themeColor="text1"/>
        </w:rPr>
        <w:fldChar w:fldCharType="end"/>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69FD8119"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based on data from ERA5</w:t>
      </w:r>
      <w:r w:rsidR="00FD4477">
        <w:rPr>
          <w:color w:val="000000" w:themeColor="text1"/>
        </w:rPr>
        <w:t>, nor with precipitation.</w:t>
      </w:r>
      <w:r w:rsidR="002C5F6A">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2C5F6A">
        <w:rPr>
          <w:color w:val="000000" w:themeColor="text1"/>
        </w:rPr>
        <w:fldChar w:fldCharType="separate"/>
      </w:r>
      <w:r w:rsidR="009E0A2F" w:rsidRPr="009E0A2F">
        <w:rPr>
          <w:noProof/>
          <w:color w:val="000000" w:themeColor="text1"/>
          <w:vertAlign w:val="superscript"/>
        </w:rPr>
        <w:t>7</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C76841">
        <w:rPr>
          <w:color w:val="000000" w:themeColor="text1"/>
        </w:rPr>
        <w:fldChar w:fldCharType="separate"/>
      </w:r>
      <w:r w:rsidR="009E0A2F" w:rsidRPr="009E0A2F">
        <w:rPr>
          <w:noProof/>
          <w:color w:val="000000" w:themeColor="text1"/>
          <w:vertAlign w:val="superscript"/>
        </w:rPr>
        <w:t>7</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58CCD06F" w:rsidR="00B201BD" w:rsidRDefault="00EC75D7" w:rsidP="00613BCB">
      <w:pPr>
        <w:spacing w:line="480" w:lineRule="auto"/>
        <w:jc w:val="both"/>
        <w:outlineLvl w:val="0"/>
        <w:rPr>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 and 2016 age-</w:t>
      </w:r>
      <w:r w:rsidR="00133139">
        <w:rPr>
          <w:color w:val="000000" w:themeColor="text1"/>
        </w:rPr>
        <w:t xml:space="preserve"> and sex-</w:t>
      </w:r>
      <w:r w:rsidR="009F50A8">
        <w:rPr>
          <w:color w:val="000000" w:themeColor="text1"/>
        </w:rPr>
        <w:t>specific death rates</w:t>
      </w:r>
      <w:r w:rsidR="001F2346">
        <w:rPr>
          <w:color w:val="000000" w:themeColor="text1"/>
        </w:rPr>
        <w:t xml:space="preserve">, </w:t>
      </w:r>
      <w:r>
        <w:rPr>
          <w:color w:val="000000" w:themeColor="text1"/>
        </w:rPr>
        <w:t>carefully reported 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 xml:space="preserve">The choice of counterfactual exposure in our illustrative example </w:t>
      </w:r>
      <w:r w:rsidR="009437BD">
        <w:rPr>
          <w:color w:val="000000" w:themeColor="text1"/>
        </w:rPr>
        <w:t xml:space="preserve">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F67684">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4,8&lt;/sup&gt;","plainTextFormattedCitation":"4,8","previouslyFormattedCitation":"&lt;sup&gt;4,8&lt;/sup&gt;"},"properties":{"noteIndex":0},"schema":"https://github.com/citation-style-language/schema/raw/master/csl-citation.json"}</w:instrText>
      </w:r>
      <w:r w:rsidR="00E52CA0">
        <w:rPr>
          <w:color w:val="000000" w:themeColor="text1"/>
        </w:rPr>
        <w:fldChar w:fldCharType="separate"/>
      </w:r>
      <w:r w:rsidR="009E0A2F" w:rsidRPr="009E0A2F">
        <w:rPr>
          <w:noProof/>
          <w:color w:val="000000" w:themeColor="text1"/>
          <w:vertAlign w:val="superscript"/>
        </w:rPr>
        <w:t>4,8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F67684">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9&lt;/sup&gt;","plainTextFormattedCitation":"9","previouslyFormattedCitation":"&lt;sup&gt;9&lt;/sup&gt;"},"properties":{"noteIndex":0},"schema":"https://github.com/citation-style-language/schema/raw/master/csl-citation.json"}</w:instrText>
      </w:r>
      <w:r w:rsidR="002D2C6E">
        <w:rPr>
          <w:color w:val="000000" w:themeColor="text1"/>
        </w:rPr>
        <w:fldChar w:fldCharType="separate"/>
      </w:r>
      <w:r w:rsidR="009E0A2F" w:rsidRPr="009E0A2F">
        <w:rPr>
          <w:noProof/>
          <w:color w:val="000000" w:themeColor="text1"/>
          <w:vertAlign w:val="superscript"/>
        </w:rPr>
        <w:t>9</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F67684">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10&lt;/sup&gt;","plainTextFormattedCitation":"10","previouslyFormattedCitation":"&lt;sup&gt;10&lt;/sup&gt;"},"properties":{"noteIndex":0},"schema":"https://github.com/citation-style-language/schema/raw/master/csl-citation.json"}</w:instrText>
      </w:r>
      <w:r w:rsidR="00301071">
        <w:rPr>
          <w:color w:val="000000" w:themeColor="text1"/>
        </w:rPr>
        <w:fldChar w:fldCharType="separate"/>
      </w:r>
      <w:r w:rsidR="009E0A2F" w:rsidRPr="009E0A2F">
        <w:rPr>
          <w:noProof/>
          <w:color w:val="000000" w:themeColor="text1"/>
          <w:vertAlign w:val="superscript"/>
        </w:rPr>
        <w:t>10</w:t>
      </w:r>
      <w:r w:rsidR="00301071">
        <w:rPr>
          <w:color w:val="000000" w:themeColor="text1"/>
        </w:rPr>
        <w:fldChar w:fldCharType="end"/>
      </w:r>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F67684">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11&lt;/sup&gt;","plainTextFormattedCitation":"11","previouslyFormattedCitation":"&lt;sup&gt;11&lt;/sup&gt;"},"properties":{"noteIndex":0},"schema":"https://github.com/citation-style-language/schema/raw/master/csl-citation.json"}</w:instrText>
      </w:r>
      <w:r w:rsidR="00F979B0">
        <w:rPr>
          <w:color w:val="000000" w:themeColor="text1"/>
        </w:rPr>
        <w:fldChar w:fldCharType="separate"/>
      </w:r>
      <w:r w:rsidR="009E0A2F" w:rsidRPr="009E0A2F">
        <w:rPr>
          <w:noProof/>
          <w:color w:val="000000" w:themeColor="text1"/>
          <w:vertAlign w:val="superscript"/>
        </w:rPr>
        <w:t>11</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42F8D7A" w14:textId="7F6CE6A4" w:rsidR="00F67684" w:rsidRPr="00F67684" w:rsidRDefault="00A62CA7" w:rsidP="00F67684">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F67684" w:rsidRPr="00F67684">
        <w:rPr>
          <w:noProof/>
        </w:rPr>
        <w:t>1.</w:t>
      </w:r>
      <w:r w:rsidR="00F67684" w:rsidRPr="00F67684">
        <w:rPr>
          <w:noProof/>
        </w:rPr>
        <w:tab/>
        <w:t xml:space="preserve">Parks, R. M. </w:t>
      </w:r>
      <w:r w:rsidR="00F67684" w:rsidRPr="00F67684">
        <w:rPr>
          <w:i/>
          <w:iCs/>
          <w:noProof/>
        </w:rPr>
        <w:t>et al.</w:t>
      </w:r>
      <w:r w:rsidR="00F67684" w:rsidRPr="00F67684">
        <w:rPr>
          <w:noProof/>
        </w:rPr>
        <w:t xml:space="preserve"> Anomalously warm temperatures are associated with increased injury deaths. </w:t>
      </w:r>
      <w:r w:rsidR="00F67684" w:rsidRPr="00F67684">
        <w:rPr>
          <w:i/>
          <w:iCs/>
          <w:noProof/>
        </w:rPr>
        <w:t>Nat. Med.</w:t>
      </w:r>
      <w:r w:rsidR="00F67684" w:rsidRPr="00F67684">
        <w:rPr>
          <w:noProof/>
        </w:rPr>
        <w:t xml:space="preserve"> </w:t>
      </w:r>
      <w:r w:rsidR="00F67684" w:rsidRPr="00F67684">
        <w:rPr>
          <w:b/>
          <w:bCs/>
          <w:noProof/>
        </w:rPr>
        <w:t>26</w:t>
      </w:r>
      <w:r w:rsidR="00F67684" w:rsidRPr="00F67684">
        <w:rPr>
          <w:noProof/>
        </w:rPr>
        <w:t>, 65–70 (2020).</w:t>
      </w:r>
    </w:p>
    <w:p w14:paraId="1F5360B5" w14:textId="77777777" w:rsidR="00F67684" w:rsidRPr="00F67684" w:rsidRDefault="00F67684" w:rsidP="00F67684">
      <w:pPr>
        <w:widowControl w:val="0"/>
        <w:autoSpaceDE w:val="0"/>
        <w:autoSpaceDN w:val="0"/>
        <w:adjustRightInd w:val="0"/>
        <w:ind w:left="640" w:hanging="640"/>
        <w:rPr>
          <w:noProof/>
        </w:rPr>
      </w:pPr>
      <w:r w:rsidRPr="00F67684">
        <w:rPr>
          <w:noProof/>
        </w:rPr>
        <w:t>2.</w:t>
      </w:r>
      <w:r w:rsidRPr="00F67684">
        <w:rPr>
          <w:noProof/>
        </w:rPr>
        <w:tab/>
        <w:t xml:space="preserve">Burke, M. </w:t>
      </w:r>
      <w:r w:rsidRPr="00F67684">
        <w:rPr>
          <w:i/>
          <w:iCs/>
          <w:noProof/>
        </w:rPr>
        <w:t>et al.</w:t>
      </w:r>
      <w:r w:rsidRPr="00F67684">
        <w:rPr>
          <w:noProof/>
        </w:rPr>
        <w:t xml:space="preserve"> Higher temperatures increase suicide rates in the United States and Mexico. </w:t>
      </w:r>
      <w:r w:rsidRPr="00F67684">
        <w:rPr>
          <w:i/>
          <w:iCs/>
          <w:noProof/>
        </w:rPr>
        <w:t>Nat. Clim. Chang.</w:t>
      </w:r>
      <w:r w:rsidRPr="00F67684">
        <w:rPr>
          <w:noProof/>
        </w:rPr>
        <w:t xml:space="preserve"> (2018). doi:10.1038/s41558-018-0222-x</w:t>
      </w:r>
    </w:p>
    <w:p w14:paraId="5CB1BBFF" w14:textId="77777777" w:rsidR="00F67684" w:rsidRPr="00F67684" w:rsidRDefault="00F67684" w:rsidP="00F67684">
      <w:pPr>
        <w:widowControl w:val="0"/>
        <w:autoSpaceDE w:val="0"/>
        <w:autoSpaceDN w:val="0"/>
        <w:adjustRightInd w:val="0"/>
        <w:ind w:left="640" w:hanging="640"/>
        <w:rPr>
          <w:noProof/>
        </w:rPr>
      </w:pPr>
      <w:r w:rsidRPr="00F67684">
        <w:rPr>
          <w:noProof/>
        </w:rPr>
        <w:t>3.</w:t>
      </w:r>
      <w:r w:rsidRPr="00F67684">
        <w:rPr>
          <w:noProof/>
        </w:rPr>
        <w:tab/>
        <w:t xml:space="preserve">Pope, C. A., Ezzati, M. &amp; Dockery, D. W. Fine-particulate air pollution and life expectancy in the United States. </w:t>
      </w:r>
      <w:r w:rsidRPr="00F67684">
        <w:rPr>
          <w:i/>
          <w:iCs/>
          <w:noProof/>
        </w:rPr>
        <w:t>N. Engl. J. Med.</w:t>
      </w:r>
      <w:r w:rsidRPr="00F67684">
        <w:rPr>
          <w:noProof/>
        </w:rPr>
        <w:t xml:space="preserve"> (2009). doi:10.1056/nejmsa0805646</w:t>
      </w:r>
    </w:p>
    <w:p w14:paraId="298600FA" w14:textId="77777777" w:rsidR="00F67684" w:rsidRPr="00F67684" w:rsidRDefault="00F67684" w:rsidP="00F67684">
      <w:pPr>
        <w:widowControl w:val="0"/>
        <w:autoSpaceDE w:val="0"/>
        <w:autoSpaceDN w:val="0"/>
        <w:adjustRightInd w:val="0"/>
        <w:ind w:left="640" w:hanging="640"/>
        <w:rPr>
          <w:noProof/>
        </w:rPr>
      </w:pPr>
      <w:r w:rsidRPr="00F67684">
        <w:rPr>
          <w:noProof/>
        </w:rPr>
        <w:t>4.</w:t>
      </w:r>
      <w:r w:rsidRPr="00F67684">
        <w:rPr>
          <w:noProof/>
        </w:rPr>
        <w:tab/>
        <w:t xml:space="preserve">Bennett, J. E. </w:t>
      </w:r>
      <w:r w:rsidRPr="00F67684">
        <w:rPr>
          <w:i/>
          <w:iCs/>
          <w:noProof/>
        </w:rPr>
        <w:t>et al.</w:t>
      </w:r>
      <w:r w:rsidRPr="00F67684">
        <w:rPr>
          <w:noProof/>
        </w:rPr>
        <w:t xml:space="preserve"> National and county life expectancy loss from particulate matter pollution in the USA. </w:t>
      </w:r>
      <w:r w:rsidRPr="00F67684">
        <w:rPr>
          <w:i/>
          <w:iCs/>
          <w:noProof/>
        </w:rPr>
        <w:t>PLOS Med.</w:t>
      </w:r>
      <w:r w:rsidRPr="00F67684">
        <w:rPr>
          <w:noProof/>
        </w:rPr>
        <w:t xml:space="preserve"> (2019).</w:t>
      </w:r>
    </w:p>
    <w:p w14:paraId="14E03A69" w14:textId="77777777" w:rsidR="00F67684" w:rsidRPr="00F67684" w:rsidRDefault="00F67684" w:rsidP="00F67684">
      <w:pPr>
        <w:widowControl w:val="0"/>
        <w:autoSpaceDE w:val="0"/>
        <w:autoSpaceDN w:val="0"/>
        <w:adjustRightInd w:val="0"/>
        <w:ind w:left="640" w:hanging="640"/>
        <w:rPr>
          <w:noProof/>
        </w:rPr>
      </w:pPr>
      <w:r w:rsidRPr="00F67684">
        <w:rPr>
          <w:noProof/>
        </w:rPr>
        <w:t>5.</w:t>
      </w:r>
      <w:r w:rsidRPr="00F67684">
        <w:rPr>
          <w:noProof/>
        </w:rPr>
        <w:tab/>
        <w:t xml:space="preserve">Kuulasmaa, K. </w:t>
      </w:r>
      <w:r w:rsidRPr="00F67684">
        <w:rPr>
          <w:i/>
          <w:iCs/>
          <w:noProof/>
        </w:rPr>
        <w:t>et al.</w:t>
      </w:r>
      <w:r w:rsidRPr="00F67684">
        <w:rPr>
          <w:noProof/>
        </w:rPr>
        <w:t xml:space="preserve"> Estimation of contribution of changes in classic risk factors to trends in coronary-event rates across the WHO MONICA Project populations. </w:t>
      </w:r>
      <w:r w:rsidRPr="00F67684">
        <w:rPr>
          <w:i/>
          <w:iCs/>
          <w:noProof/>
        </w:rPr>
        <w:t>Lancet</w:t>
      </w:r>
      <w:r w:rsidRPr="00F67684">
        <w:rPr>
          <w:noProof/>
        </w:rPr>
        <w:t xml:space="preserve"> (2000). doi:10.1016/S0140-6736(99)11180-2</w:t>
      </w:r>
    </w:p>
    <w:p w14:paraId="792D7B79" w14:textId="77777777" w:rsidR="00F67684" w:rsidRPr="00F67684" w:rsidRDefault="00F67684" w:rsidP="00F67684">
      <w:pPr>
        <w:widowControl w:val="0"/>
        <w:autoSpaceDE w:val="0"/>
        <w:autoSpaceDN w:val="0"/>
        <w:adjustRightInd w:val="0"/>
        <w:ind w:left="640" w:hanging="640"/>
        <w:rPr>
          <w:noProof/>
        </w:rPr>
      </w:pPr>
      <w:r w:rsidRPr="00F67684">
        <w:rPr>
          <w:noProof/>
        </w:rPr>
        <w:t>6.</w:t>
      </w:r>
      <w:r w:rsidRPr="00F67684">
        <w:rPr>
          <w:noProof/>
        </w:rPr>
        <w:tab/>
        <w:t xml:space="preserve">Baldwin, J. W., Dessy, J. B., Vecchi, G. A. &amp; Oppenheimer, M. Temporally Compound Heat Wave Events and Global Warming: An Emerging Hazard. </w:t>
      </w:r>
      <w:r w:rsidRPr="00F67684">
        <w:rPr>
          <w:i/>
          <w:iCs/>
          <w:noProof/>
        </w:rPr>
        <w:t>Earth’s Futur.</w:t>
      </w:r>
      <w:r w:rsidRPr="00F67684">
        <w:rPr>
          <w:noProof/>
        </w:rPr>
        <w:t xml:space="preserve"> (2019). doi:10.1029/2018EF000989</w:t>
      </w:r>
    </w:p>
    <w:p w14:paraId="60E6CD09" w14:textId="77777777" w:rsidR="00F67684" w:rsidRPr="00F67684" w:rsidRDefault="00F67684" w:rsidP="00F67684">
      <w:pPr>
        <w:widowControl w:val="0"/>
        <w:autoSpaceDE w:val="0"/>
        <w:autoSpaceDN w:val="0"/>
        <w:adjustRightInd w:val="0"/>
        <w:ind w:left="640" w:hanging="640"/>
        <w:rPr>
          <w:noProof/>
        </w:rPr>
      </w:pPr>
      <w:r w:rsidRPr="00F67684">
        <w:rPr>
          <w:noProof/>
        </w:rPr>
        <w:t>7.</w:t>
      </w:r>
      <w:r w:rsidRPr="00F67684">
        <w:rPr>
          <w:noProof/>
        </w:rPr>
        <w:tab/>
        <w:t xml:space="preserve">Robertson, L. Climate change, weather and road deaths. </w:t>
      </w:r>
      <w:r w:rsidRPr="00F67684">
        <w:rPr>
          <w:i/>
          <w:iCs/>
          <w:noProof/>
        </w:rPr>
        <w:t>Inj. Prev.</w:t>
      </w:r>
      <w:r w:rsidRPr="00F67684">
        <w:rPr>
          <w:noProof/>
        </w:rPr>
        <w:t xml:space="preserve"> (2018). doi:10.1136/injuryprev-2017-042419</w:t>
      </w:r>
    </w:p>
    <w:p w14:paraId="1154CAAF" w14:textId="77777777" w:rsidR="00F67684" w:rsidRPr="00F67684" w:rsidRDefault="00F67684" w:rsidP="00F67684">
      <w:pPr>
        <w:widowControl w:val="0"/>
        <w:autoSpaceDE w:val="0"/>
        <w:autoSpaceDN w:val="0"/>
        <w:adjustRightInd w:val="0"/>
        <w:ind w:left="640" w:hanging="640"/>
        <w:rPr>
          <w:noProof/>
        </w:rPr>
      </w:pPr>
      <w:r w:rsidRPr="00F67684">
        <w:rPr>
          <w:noProof/>
        </w:rPr>
        <w:t>8.</w:t>
      </w:r>
      <w:r w:rsidRPr="00F67684">
        <w:rPr>
          <w:noProof/>
        </w:rPr>
        <w:tab/>
        <w:t xml:space="preserve">Cohen, A. J. </w:t>
      </w:r>
      <w:r w:rsidRPr="00F67684">
        <w:rPr>
          <w:i/>
          <w:iCs/>
          <w:noProof/>
        </w:rPr>
        <w:t>et al.</w:t>
      </w:r>
      <w:r w:rsidRPr="00F67684">
        <w:rPr>
          <w:noProof/>
        </w:rPr>
        <w:t xml:space="preserve"> Estimates and 25-year trends of the global burden of disease attributable to ambient air pollution: an analysis of data from the Global Burden of Diseases Study 2015. </w:t>
      </w:r>
      <w:r w:rsidRPr="00F67684">
        <w:rPr>
          <w:i/>
          <w:iCs/>
          <w:noProof/>
        </w:rPr>
        <w:t>Lancet</w:t>
      </w:r>
      <w:r w:rsidRPr="00F67684">
        <w:rPr>
          <w:noProof/>
        </w:rPr>
        <w:t xml:space="preserve"> (2017). doi:10.1016/S0140-6736(17)30505-6</w:t>
      </w:r>
    </w:p>
    <w:p w14:paraId="7CF04B13" w14:textId="77777777" w:rsidR="00F67684" w:rsidRPr="00F67684" w:rsidRDefault="00F67684" w:rsidP="00F67684">
      <w:pPr>
        <w:widowControl w:val="0"/>
        <w:autoSpaceDE w:val="0"/>
        <w:autoSpaceDN w:val="0"/>
        <w:adjustRightInd w:val="0"/>
        <w:ind w:left="640" w:hanging="640"/>
        <w:rPr>
          <w:noProof/>
        </w:rPr>
      </w:pPr>
      <w:r w:rsidRPr="00F67684">
        <w:rPr>
          <w:noProof/>
        </w:rPr>
        <w:t>9.</w:t>
      </w:r>
      <w:r w:rsidRPr="00F67684">
        <w:rPr>
          <w:noProof/>
        </w:rPr>
        <w:tab/>
        <w:t xml:space="preserve">Murray, C. J. L., Ezzati, M., Lopez, A. D., Rodgers, A. &amp; Vander Hoorn, S. Comparative quantification of health risks: Conceptual framework and methodological issues. </w:t>
      </w:r>
      <w:r w:rsidRPr="00F67684">
        <w:rPr>
          <w:i/>
          <w:iCs/>
          <w:noProof/>
        </w:rPr>
        <w:t>Population Health Metrics</w:t>
      </w:r>
      <w:r w:rsidRPr="00F67684">
        <w:rPr>
          <w:noProof/>
        </w:rPr>
        <w:t xml:space="preserve"> (2003). doi:10.1186/1478-7954-1-1</w:t>
      </w:r>
    </w:p>
    <w:p w14:paraId="297D1E40" w14:textId="77777777" w:rsidR="00F67684" w:rsidRPr="00F67684" w:rsidRDefault="00F67684" w:rsidP="00F67684">
      <w:pPr>
        <w:widowControl w:val="0"/>
        <w:autoSpaceDE w:val="0"/>
        <w:autoSpaceDN w:val="0"/>
        <w:adjustRightInd w:val="0"/>
        <w:ind w:left="640" w:hanging="640"/>
        <w:rPr>
          <w:noProof/>
        </w:rPr>
      </w:pPr>
      <w:r w:rsidRPr="00F67684">
        <w:rPr>
          <w:noProof/>
        </w:rPr>
        <w:t>10.</w:t>
      </w:r>
      <w:r w:rsidRPr="00F67684">
        <w:rPr>
          <w:noProof/>
        </w:rPr>
        <w:tab/>
        <w:t xml:space="preserve">Bailis, R., Ezzati, M. &amp; Kammen, D. M. Mortality and greenhouse gas impacts of biomass and petroleum energy futures in Africa. </w:t>
      </w:r>
      <w:r w:rsidRPr="00F67684">
        <w:rPr>
          <w:i/>
          <w:iCs/>
          <w:noProof/>
        </w:rPr>
        <w:t>Science (80-. ).</w:t>
      </w:r>
      <w:r w:rsidRPr="00F67684">
        <w:rPr>
          <w:noProof/>
        </w:rPr>
        <w:t xml:space="preserve"> (2005). doi:10.1126/science.1106881</w:t>
      </w:r>
    </w:p>
    <w:p w14:paraId="3FFE4AF3" w14:textId="77777777" w:rsidR="00F67684" w:rsidRPr="00F67684" w:rsidRDefault="00F67684" w:rsidP="00F67684">
      <w:pPr>
        <w:widowControl w:val="0"/>
        <w:autoSpaceDE w:val="0"/>
        <w:autoSpaceDN w:val="0"/>
        <w:adjustRightInd w:val="0"/>
        <w:ind w:left="640" w:hanging="640"/>
        <w:rPr>
          <w:noProof/>
        </w:rPr>
      </w:pPr>
      <w:r w:rsidRPr="00F67684">
        <w:rPr>
          <w:noProof/>
        </w:rPr>
        <w:t>11.</w:t>
      </w:r>
      <w:r w:rsidRPr="00F67684">
        <w:rPr>
          <w:noProof/>
        </w:rPr>
        <w:tab/>
        <w:t xml:space="preserve">Foreman, K. J., Li, G., Best, N. &amp; Ezzati, M. Small area forecasts of cause-specific mortality: application of a Bayesian hierarchical model to US vital registration data. </w:t>
      </w:r>
      <w:r w:rsidRPr="00F67684">
        <w:rPr>
          <w:i/>
          <w:iCs/>
          <w:noProof/>
        </w:rPr>
        <w:t>J. R. Stat. Soc. Ser. C Appl. Stat.</w:t>
      </w:r>
      <w:r w:rsidRPr="00F67684">
        <w:rPr>
          <w:noProof/>
        </w:rPr>
        <w:t xml:space="preserve"> (2017). doi:10.1111/rssc.12157</w:t>
      </w:r>
    </w:p>
    <w:p w14:paraId="4C890BA2" w14:textId="198E33FB" w:rsidR="002C64F6" w:rsidRDefault="00A62CA7" w:rsidP="00F67684">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DADB53" w14:textId="77777777" w:rsidR="00957A1A" w:rsidRDefault="00957A1A">
      <w:r>
        <w:separator/>
      </w:r>
    </w:p>
  </w:endnote>
  <w:endnote w:type="continuationSeparator" w:id="0">
    <w:p w14:paraId="012AA080" w14:textId="77777777" w:rsidR="00957A1A" w:rsidRDefault="00957A1A">
      <w:r>
        <w:continuationSeparator/>
      </w:r>
    </w:p>
  </w:endnote>
  <w:endnote w:type="continuationNotice" w:id="1">
    <w:p w14:paraId="72071989" w14:textId="77777777" w:rsidR="00957A1A" w:rsidRDefault="00957A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8EA60B" w14:textId="77777777" w:rsidR="00957A1A" w:rsidRDefault="00957A1A">
      <w:r>
        <w:separator/>
      </w:r>
    </w:p>
  </w:footnote>
  <w:footnote w:type="continuationSeparator" w:id="0">
    <w:p w14:paraId="3E107C7D" w14:textId="77777777" w:rsidR="00957A1A" w:rsidRDefault="00957A1A">
      <w:r>
        <w:continuationSeparator/>
      </w:r>
    </w:p>
  </w:footnote>
  <w:footnote w:type="continuationNotice" w:id="1">
    <w:p w14:paraId="0E08BE7F" w14:textId="77777777" w:rsidR="00957A1A" w:rsidRDefault="00957A1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5740"/>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0952"/>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4E0"/>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0E12"/>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09B6"/>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038"/>
    <w:rsid w:val="00653262"/>
    <w:rsid w:val="00655141"/>
    <w:rsid w:val="00660AAE"/>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840"/>
    <w:rsid w:val="00796EEF"/>
    <w:rsid w:val="00796FAD"/>
    <w:rsid w:val="007A0B16"/>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1BB5"/>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A1A"/>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87EF6"/>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0A2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5E0"/>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4D4F"/>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8CC"/>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2C2"/>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67684"/>
    <w:rsid w:val="00F67B09"/>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5E5F2-007F-254E-8226-9D629B554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6675</Words>
  <Characters>38049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8</cp:revision>
  <cp:lastPrinted>2019-04-24T23:05:00Z</cp:lastPrinted>
  <dcterms:created xsi:type="dcterms:W3CDTF">2020-05-15T18:35:00Z</dcterms:created>
  <dcterms:modified xsi:type="dcterms:W3CDTF">2020-05-15T18:40:00Z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