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23C54501" w14:textId="77777777" w:rsidR="00E142BB" w:rsidRDefault="00102468" w:rsidP="00061A3A">
          <w:pPr>
            <w:pStyle w:val="TOCHeading"/>
            <w:suppressLineNumbers/>
            <w:rPr>
              <w:noProof/>
            </w:rPr>
          </w:pPr>
          <w:r>
            <w:t>Ta</w:t>
          </w:r>
          <w:bookmarkStart w:id="0" w:name="_GoBack"/>
          <w:bookmarkEnd w:id="0"/>
          <w:r>
            <w:t>ble of Conten</w:t>
          </w:r>
          <w:r w:rsidR="00234781">
            <w:t>ts</w:t>
          </w:r>
          <w:r w:rsidRPr="00755632">
            <w:rPr>
              <w:rFonts w:ascii="Calibri" w:hAnsi="Calibri"/>
              <w:b w:val="0"/>
              <w:bCs w:val="0"/>
              <w:sz w:val="24"/>
              <w:szCs w:val="24"/>
            </w:rPr>
            <w:fldChar w:fldCharType="begin"/>
          </w:r>
          <w:r w:rsidRPr="00755632">
            <w:rPr>
              <w:rFonts w:ascii="Calibri" w:hAnsi="Calibri"/>
            </w:rPr>
            <w:instrText xml:space="preserve"> TOC \o "1-3" \h \z \u </w:instrText>
          </w:r>
          <w:r w:rsidRPr="00755632">
            <w:rPr>
              <w:rFonts w:ascii="Calibri" w:hAnsi="Calibri"/>
              <w:b w:val="0"/>
              <w:bCs w:val="0"/>
              <w:sz w:val="24"/>
              <w:szCs w:val="24"/>
            </w:rPr>
            <w:fldChar w:fldCharType="separate"/>
          </w:r>
        </w:p>
        <w:p w14:paraId="61F4FF5E" w14:textId="6A514D5C" w:rsidR="00E142BB" w:rsidRDefault="00E142BB">
          <w:pPr>
            <w:pStyle w:val="TOC2"/>
            <w:tabs>
              <w:tab w:val="right" w:leader="dot" w:pos="9010"/>
            </w:tabs>
            <w:rPr>
              <w:rFonts w:eastAsiaTheme="minorEastAsia" w:cstheme="minorBidi"/>
              <w:b w:val="0"/>
              <w:bCs w:val="0"/>
              <w:noProof/>
              <w:sz w:val="24"/>
              <w:szCs w:val="24"/>
            </w:rPr>
          </w:pPr>
          <w:hyperlink w:anchor="_Toc6171723" w:history="1">
            <w:r w:rsidRPr="00C62511">
              <w:rPr>
                <w:rStyle w:val="Hyperlink"/>
                <w:noProof/>
              </w:rPr>
              <w:t>List of figures</w:t>
            </w:r>
            <w:r>
              <w:rPr>
                <w:noProof/>
                <w:webHidden/>
              </w:rPr>
              <w:tab/>
            </w:r>
            <w:r>
              <w:rPr>
                <w:noProof/>
                <w:webHidden/>
              </w:rPr>
              <w:fldChar w:fldCharType="begin"/>
            </w:r>
            <w:r>
              <w:rPr>
                <w:noProof/>
                <w:webHidden/>
              </w:rPr>
              <w:instrText xml:space="preserve"> PAGEREF _Toc6171723 \h </w:instrText>
            </w:r>
            <w:r>
              <w:rPr>
                <w:noProof/>
                <w:webHidden/>
              </w:rPr>
            </w:r>
            <w:r>
              <w:rPr>
                <w:noProof/>
                <w:webHidden/>
              </w:rPr>
              <w:fldChar w:fldCharType="separate"/>
            </w:r>
            <w:r>
              <w:rPr>
                <w:noProof/>
                <w:webHidden/>
              </w:rPr>
              <w:t>1</w:t>
            </w:r>
            <w:r>
              <w:rPr>
                <w:noProof/>
                <w:webHidden/>
              </w:rPr>
              <w:fldChar w:fldCharType="end"/>
            </w:r>
          </w:hyperlink>
        </w:p>
        <w:p w14:paraId="0EF5A858" w14:textId="47289ECC" w:rsidR="00E142BB" w:rsidRDefault="00E142BB">
          <w:pPr>
            <w:pStyle w:val="TOC2"/>
            <w:tabs>
              <w:tab w:val="right" w:leader="dot" w:pos="9010"/>
            </w:tabs>
            <w:rPr>
              <w:rFonts w:eastAsiaTheme="minorEastAsia" w:cstheme="minorBidi"/>
              <w:b w:val="0"/>
              <w:bCs w:val="0"/>
              <w:noProof/>
              <w:sz w:val="24"/>
              <w:szCs w:val="24"/>
            </w:rPr>
          </w:pPr>
          <w:hyperlink w:anchor="_Toc6171724" w:history="1">
            <w:r w:rsidRPr="00C62511">
              <w:rPr>
                <w:rStyle w:val="Hyperlink"/>
                <w:noProof/>
              </w:rPr>
              <w:t>List of tables</w:t>
            </w:r>
            <w:r>
              <w:rPr>
                <w:noProof/>
                <w:webHidden/>
              </w:rPr>
              <w:tab/>
            </w:r>
            <w:r>
              <w:rPr>
                <w:noProof/>
                <w:webHidden/>
              </w:rPr>
              <w:fldChar w:fldCharType="begin"/>
            </w:r>
            <w:r>
              <w:rPr>
                <w:noProof/>
                <w:webHidden/>
              </w:rPr>
              <w:instrText xml:space="preserve"> PAGEREF _Toc6171724 \h </w:instrText>
            </w:r>
            <w:r>
              <w:rPr>
                <w:noProof/>
                <w:webHidden/>
              </w:rPr>
            </w:r>
            <w:r>
              <w:rPr>
                <w:noProof/>
                <w:webHidden/>
              </w:rPr>
              <w:fldChar w:fldCharType="separate"/>
            </w:r>
            <w:r>
              <w:rPr>
                <w:noProof/>
                <w:webHidden/>
              </w:rPr>
              <w:t>1</w:t>
            </w:r>
            <w:r>
              <w:rPr>
                <w:noProof/>
                <w:webHidden/>
              </w:rPr>
              <w:fldChar w:fldCharType="end"/>
            </w:r>
          </w:hyperlink>
        </w:p>
        <w:p w14:paraId="014800BA" w14:textId="0DA70596" w:rsidR="00E142BB" w:rsidRDefault="00E142BB">
          <w:pPr>
            <w:pStyle w:val="TOC2"/>
            <w:tabs>
              <w:tab w:val="right" w:leader="dot" w:pos="9010"/>
            </w:tabs>
            <w:rPr>
              <w:rFonts w:eastAsiaTheme="minorEastAsia" w:cstheme="minorBidi"/>
              <w:b w:val="0"/>
              <w:bCs w:val="0"/>
              <w:noProof/>
              <w:sz w:val="24"/>
              <w:szCs w:val="24"/>
            </w:rPr>
          </w:pPr>
          <w:hyperlink w:anchor="_Toc6171725" w:history="1">
            <w:r w:rsidRPr="00C62511">
              <w:rPr>
                <w:rStyle w:val="Hyperlink"/>
                <w:noProof/>
              </w:rPr>
              <w:t>List of equations</w:t>
            </w:r>
            <w:r>
              <w:rPr>
                <w:noProof/>
                <w:webHidden/>
              </w:rPr>
              <w:tab/>
            </w:r>
            <w:r>
              <w:rPr>
                <w:noProof/>
                <w:webHidden/>
              </w:rPr>
              <w:fldChar w:fldCharType="begin"/>
            </w:r>
            <w:r>
              <w:rPr>
                <w:noProof/>
                <w:webHidden/>
              </w:rPr>
              <w:instrText xml:space="preserve"> PAGEREF _Toc6171725 \h </w:instrText>
            </w:r>
            <w:r>
              <w:rPr>
                <w:noProof/>
                <w:webHidden/>
              </w:rPr>
            </w:r>
            <w:r>
              <w:rPr>
                <w:noProof/>
                <w:webHidden/>
              </w:rPr>
              <w:fldChar w:fldCharType="separate"/>
            </w:r>
            <w:r>
              <w:rPr>
                <w:noProof/>
                <w:webHidden/>
              </w:rPr>
              <w:t>1</w:t>
            </w:r>
            <w:r>
              <w:rPr>
                <w:noProof/>
                <w:webHidden/>
              </w:rPr>
              <w:fldChar w:fldCharType="end"/>
            </w:r>
          </w:hyperlink>
        </w:p>
        <w:p w14:paraId="4250A15C" w14:textId="07FA78CE" w:rsidR="00E142BB" w:rsidRDefault="00E142BB">
          <w:pPr>
            <w:pStyle w:val="TOC1"/>
            <w:rPr>
              <w:rFonts w:eastAsiaTheme="minorEastAsia" w:cstheme="minorBidi"/>
              <w:b w:val="0"/>
              <w:bCs w:val="0"/>
              <w:noProof/>
            </w:rPr>
          </w:pPr>
          <w:hyperlink w:anchor="_Toc6171726" w:history="1">
            <w:r w:rsidRPr="00C62511">
              <w:rPr>
                <w:rStyle w:val="Hyperlink"/>
                <w:noProof/>
              </w:rPr>
              <w:t>1. Anomalous temperature and injury mortality in the USA: age-, sex- and state-specific impacts</w:t>
            </w:r>
            <w:r>
              <w:rPr>
                <w:noProof/>
                <w:webHidden/>
              </w:rPr>
              <w:tab/>
            </w:r>
            <w:r>
              <w:rPr>
                <w:noProof/>
                <w:webHidden/>
              </w:rPr>
              <w:fldChar w:fldCharType="begin"/>
            </w:r>
            <w:r>
              <w:rPr>
                <w:noProof/>
                <w:webHidden/>
              </w:rPr>
              <w:instrText xml:space="preserve"> PAGEREF _Toc6171726 \h </w:instrText>
            </w:r>
            <w:r>
              <w:rPr>
                <w:noProof/>
                <w:webHidden/>
              </w:rPr>
            </w:r>
            <w:r>
              <w:rPr>
                <w:noProof/>
                <w:webHidden/>
              </w:rPr>
              <w:fldChar w:fldCharType="separate"/>
            </w:r>
            <w:r>
              <w:rPr>
                <w:noProof/>
                <w:webHidden/>
              </w:rPr>
              <w:t>2</w:t>
            </w:r>
            <w:r>
              <w:rPr>
                <w:noProof/>
                <w:webHidden/>
              </w:rPr>
              <w:fldChar w:fldCharType="end"/>
            </w:r>
          </w:hyperlink>
        </w:p>
        <w:p w14:paraId="2A4B0C55" w14:textId="23152EA8" w:rsidR="00E142BB" w:rsidRDefault="00E142BB">
          <w:pPr>
            <w:pStyle w:val="TOC2"/>
            <w:tabs>
              <w:tab w:val="right" w:leader="dot" w:pos="9010"/>
            </w:tabs>
            <w:rPr>
              <w:rFonts w:eastAsiaTheme="minorEastAsia" w:cstheme="minorBidi"/>
              <w:b w:val="0"/>
              <w:bCs w:val="0"/>
              <w:noProof/>
              <w:sz w:val="24"/>
              <w:szCs w:val="24"/>
            </w:rPr>
          </w:pPr>
          <w:hyperlink w:anchor="_Toc6171727" w:history="1">
            <w:r w:rsidRPr="00C62511">
              <w:rPr>
                <w:rStyle w:val="Hyperlink"/>
                <w:noProof/>
              </w:rPr>
              <w:t>Overview</w:t>
            </w:r>
            <w:r>
              <w:rPr>
                <w:noProof/>
                <w:webHidden/>
              </w:rPr>
              <w:tab/>
            </w:r>
            <w:r>
              <w:rPr>
                <w:noProof/>
                <w:webHidden/>
              </w:rPr>
              <w:fldChar w:fldCharType="begin"/>
            </w:r>
            <w:r>
              <w:rPr>
                <w:noProof/>
                <w:webHidden/>
              </w:rPr>
              <w:instrText xml:space="preserve"> PAGEREF _Toc6171727 \h </w:instrText>
            </w:r>
            <w:r>
              <w:rPr>
                <w:noProof/>
                <w:webHidden/>
              </w:rPr>
            </w:r>
            <w:r>
              <w:rPr>
                <w:noProof/>
                <w:webHidden/>
              </w:rPr>
              <w:fldChar w:fldCharType="separate"/>
            </w:r>
            <w:r>
              <w:rPr>
                <w:noProof/>
                <w:webHidden/>
              </w:rPr>
              <w:t>2</w:t>
            </w:r>
            <w:r>
              <w:rPr>
                <w:noProof/>
                <w:webHidden/>
              </w:rPr>
              <w:fldChar w:fldCharType="end"/>
            </w:r>
          </w:hyperlink>
        </w:p>
        <w:p w14:paraId="1C24E9E1" w14:textId="6012482F" w:rsidR="00E142BB" w:rsidRDefault="00E142BB">
          <w:pPr>
            <w:pStyle w:val="TOC2"/>
            <w:tabs>
              <w:tab w:val="right" w:leader="dot" w:pos="9010"/>
            </w:tabs>
            <w:rPr>
              <w:rFonts w:eastAsiaTheme="minorEastAsia" w:cstheme="minorBidi"/>
              <w:b w:val="0"/>
              <w:bCs w:val="0"/>
              <w:noProof/>
              <w:sz w:val="24"/>
              <w:szCs w:val="24"/>
            </w:rPr>
          </w:pPr>
          <w:hyperlink w:anchor="_Toc6171728" w:history="1">
            <w:r w:rsidRPr="00C62511">
              <w:rPr>
                <w:rStyle w:val="Hyperlink"/>
                <w:noProof/>
              </w:rPr>
              <w:t>Introduction</w:t>
            </w:r>
            <w:r>
              <w:rPr>
                <w:noProof/>
                <w:webHidden/>
              </w:rPr>
              <w:tab/>
            </w:r>
            <w:r>
              <w:rPr>
                <w:noProof/>
                <w:webHidden/>
              </w:rPr>
              <w:fldChar w:fldCharType="begin"/>
            </w:r>
            <w:r>
              <w:rPr>
                <w:noProof/>
                <w:webHidden/>
              </w:rPr>
              <w:instrText xml:space="preserve"> PAGEREF _Toc6171728 \h </w:instrText>
            </w:r>
            <w:r>
              <w:rPr>
                <w:noProof/>
                <w:webHidden/>
              </w:rPr>
            </w:r>
            <w:r>
              <w:rPr>
                <w:noProof/>
                <w:webHidden/>
              </w:rPr>
              <w:fldChar w:fldCharType="separate"/>
            </w:r>
            <w:r>
              <w:rPr>
                <w:noProof/>
                <w:webHidden/>
              </w:rPr>
              <w:t>2</w:t>
            </w:r>
            <w:r>
              <w:rPr>
                <w:noProof/>
                <w:webHidden/>
              </w:rPr>
              <w:fldChar w:fldCharType="end"/>
            </w:r>
          </w:hyperlink>
        </w:p>
        <w:p w14:paraId="4F2D1DC7" w14:textId="6588B3F1" w:rsidR="00E142BB" w:rsidRDefault="00E142BB">
          <w:pPr>
            <w:pStyle w:val="TOC2"/>
            <w:tabs>
              <w:tab w:val="right" w:leader="dot" w:pos="9010"/>
            </w:tabs>
            <w:rPr>
              <w:rFonts w:eastAsiaTheme="minorEastAsia" w:cstheme="minorBidi"/>
              <w:b w:val="0"/>
              <w:bCs w:val="0"/>
              <w:noProof/>
              <w:sz w:val="24"/>
              <w:szCs w:val="24"/>
            </w:rPr>
          </w:pPr>
          <w:hyperlink w:anchor="_Toc6171729" w:history="1">
            <w:r w:rsidRPr="00C62511">
              <w:rPr>
                <w:rStyle w:val="Hyperlink"/>
                <w:noProof/>
              </w:rPr>
              <w:t>Data</w:t>
            </w:r>
            <w:r>
              <w:rPr>
                <w:noProof/>
                <w:webHidden/>
              </w:rPr>
              <w:tab/>
            </w:r>
            <w:r>
              <w:rPr>
                <w:noProof/>
                <w:webHidden/>
              </w:rPr>
              <w:fldChar w:fldCharType="begin"/>
            </w:r>
            <w:r>
              <w:rPr>
                <w:noProof/>
                <w:webHidden/>
              </w:rPr>
              <w:instrText xml:space="preserve"> PAGEREF _Toc6171729 \h </w:instrText>
            </w:r>
            <w:r>
              <w:rPr>
                <w:noProof/>
                <w:webHidden/>
              </w:rPr>
            </w:r>
            <w:r>
              <w:rPr>
                <w:noProof/>
                <w:webHidden/>
              </w:rPr>
              <w:fldChar w:fldCharType="separate"/>
            </w:r>
            <w:r>
              <w:rPr>
                <w:noProof/>
                <w:webHidden/>
              </w:rPr>
              <w:t>3</w:t>
            </w:r>
            <w:r>
              <w:rPr>
                <w:noProof/>
                <w:webHidden/>
              </w:rPr>
              <w:fldChar w:fldCharType="end"/>
            </w:r>
          </w:hyperlink>
        </w:p>
        <w:p w14:paraId="10DC283F" w14:textId="691BCA6D" w:rsidR="00E142BB" w:rsidRDefault="00E142BB">
          <w:pPr>
            <w:pStyle w:val="TOC2"/>
            <w:tabs>
              <w:tab w:val="right" w:leader="dot" w:pos="9010"/>
            </w:tabs>
            <w:rPr>
              <w:rFonts w:eastAsiaTheme="minorEastAsia" w:cstheme="minorBidi"/>
              <w:b w:val="0"/>
              <w:bCs w:val="0"/>
              <w:noProof/>
              <w:sz w:val="24"/>
              <w:szCs w:val="24"/>
            </w:rPr>
          </w:pPr>
          <w:hyperlink w:anchor="_Toc6171730" w:history="1">
            <w:r w:rsidRPr="00C62511">
              <w:rPr>
                <w:rStyle w:val="Hyperlink"/>
                <w:noProof/>
              </w:rPr>
              <w:t>Statistical methods</w:t>
            </w:r>
            <w:r>
              <w:rPr>
                <w:noProof/>
                <w:webHidden/>
              </w:rPr>
              <w:tab/>
            </w:r>
            <w:r>
              <w:rPr>
                <w:noProof/>
                <w:webHidden/>
              </w:rPr>
              <w:fldChar w:fldCharType="begin"/>
            </w:r>
            <w:r>
              <w:rPr>
                <w:noProof/>
                <w:webHidden/>
              </w:rPr>
              <w:instrText xml:space="preserve"> PAGEREF _Toc6171730 \h </w:instrText>
            </w:r>
            <w:r>
              <w:rPr>
                <w:noProof/>
                <w:webHidden/>
              </w:rPr>
            </w:r>
            <w:r>
              <w:rPr>
                <w:noProof/>
                <w:webHidden/>
              </w:rPr>
              <w:fldChar w:fldCharType="separate"/>
            </w:r>
            <w:r>
              <w:rPr>
                <w:noProof/>
                <w:webHidden/>
              </w:rPr>
              <w:t>5</w:t>
            </w:r>
            <w:r>
              <w:rPr>
                <w:noProof/>
                <w:webHidden/>
              </w:rPr>
              <w:fldChar w:fldCharType="end"/>
            </w:r>
          </w:hyperlink>
        </w:p>
        <w:p w14:paraId="6900C144" w14:textId="5C893050" w:rsidR="00E142BB" w:rsidRDefault="00E142BB">
          <w:pPr>
            <w:pStyle w:val="TOC2"/>
            <w:tabs>
              <w:tab w:val="right" w:leader="dot" w:pos="9010"/>
            </w:tabs>
            <w:rPr>
              <w:rFonts w:eastAsiaTheme="minorEastAsia" w:cstheme="minorBidi"/>
              <w:b w:val="0"/>
              <w:bCs w:val="0"/>
              <w:noProof/>
              <w:sz w:val="24"/>
              <w:szCs w:val="24"/>
            </w:rPr>
          </w:pPr>
          <w:hyperlink w:anchor="_Toc6171731" w:history="1">
            <w:r w:rsidRPr="00C62511">
              <w:rPr>
                <w:rStyle w:val="Hyperlink"/>
                <w:noProof/>
              </w:rPr>
              <w:t>Results</w:t>
            </w:r>
            <w:r>
              <w:rPr>
                <w:noProof/>
                <w:webHidden/>
              </w:rPr>
              <w:tab/>
            </w:r>
            <w:r>
              <w:rPr>
                <w:noProof/>
                <w:webHidden/>
              </w:rPr>
              <w:fldChar w:fldCharType="begin"/>
            </w:r>
            <w:r>
              <w:rPr>
                <w:noProof/>
                <w:webHidden/>
              </w:rPr>
              <w:instrText xml:space="preserve"> PAGEREF _Toc6171731 \h </w:instrText>
            </w:r>
            <w:r>
              <w:rPr>
                <w:noProof/>
                <w:webHidden/>
              </w:rPr>
            </w:r>
            <w:r>
              <w:rPr>
                <w:noProof/>
                <w:webHidden/>
              </w:rPr>
              <w:fldChar w:fldCharType="separate"/>
            </w:r>
            <w:r>
              <w:rPr>
                <w:noProof/>
                <w:webHidden/>
              </w:rPr>
              <w:t>9</w:t>
            </w:r>
            <w:r>
              <w:rPr>
                <w:noProof/>
                <w:webHidden/>
              </w:rPr>
              <w:fldChar w:fldCharType="end"/>
            </w:r>
          </w:hyperlink>
        </w:p>
        <w:p w14:paraId="5D033960" w14:textId="0B6090F5" w:rsidR="00E142BB" w:rsidRDefault="00E142BB">
          <w:pPr>
            <w:pStyle w:val="TOC2"/>
            <w:tabs>
              <w:tab w:val="right" w:leader="dot" w:pos="9010"/>
            </w:tabs>
            <w:rPr>
              <w:rFonts w:eastAsiaTheme="minorEastAsia" w:cstheme="minorBidi"/>
              <w:b w:val="0"/>
              <w:bCs w:val="0"/>
              <w:noProof/>
              <w:sz w:val="24"/>
              <w:szCs w:val="24"/>
            </w:rPr>
          </w:pPr>
          <w:hyperlink w:anchor="_Toc6171732" w:history="1">
            <w:r w:rsidRPr="00C62511">
              <w:rPr>
                <w:rStyle w:val="Hyperlink"/>
                <w:noProof/>
              </w:rPr>
              <w:t>Discussion</w:t>
            </w:r>
            <w:r>
              <w:rPr>
                <w:noProof/>
                <w:webHidden/>
              </w:rPr>
              <w:tab/>
            </w:r>
            <w:r>
              <w:rPr>
                <w:noProof/>
                <w:webHidden/>
              </w:rPr>
              <w:fldChar w:fldCharType="begin"/>
            </w:r>
            <w:r>
              <w:rPr>
                <w:noProof/>
                <w:webHidden/>
              </w:rPr>
              <w:instrText xml:space="preserve"> PAGEREF _Toc6171732 \h </w:instrText>
            </w:r>
            <w:r>
              <w:rPr>
                <w:noProof/>
                <w:webHidden/>
              </w:rPr>
            </w:r>
            <w:r>
              <w:rPr>
                <w:noProof/>
                <w:webHidden/>
              </w:rPr>
              <w:fldChar w:fldCharType="separate"/>
            </w:r>
            <w:r>
              <w:rPr>
                <w:noProof/>
                <w:webHidden/>
              </w:rPr>
              <w:t>11</w:t>
            </w:r>
            <w:r>
              <w:rPr>
                <w:noProof/>
                <w:webHidden/>
              </w:rPr>
              <w:fldChar w:fldCharType="end"/>
            </w:r>
          </w:hyperlink>
        </w:p>
        <w:p w14:paraId="5FBCF263" w14:textId="378012DD" w:rsidR="00E142BB" w:rsidRDefault="00E142BB">
          <w:pPr>
            <w:pStyle w:val="TOC2"/>
            <w:tabs>
              <w:tab w:val="right" w:leader="dot" w:pos="9010"/>
            </w:tabs>
            <w:rPr>
              <w:rFonts w:eastAsiaTheme="minorEastAsia" w:cstheme="minorBidi"/>
              <w:b w:val="0"/>
              <w:bCs w:val="0"/>
              <w:noProof/>
              <w:sz w:val="24"/>
              <w:szCs w:val="24"/>
            </w:rPr>
          </w:pPr>
          <w:hyperlink w:anchor="_Toc6171733" w:history="1">
            <w:r w:rsidRPr="00C62511">
              <w:rPr>
                <w:rStyle w:val="Hyperlink"/>
                <w:noProof/>
              </w:rPr>
              <w:t>References</w:t>
            </w:r>
            <w:r>
              <w:rPr>
                <w:noProof/>
                <w:webHidden/>
              </w:rPr>
              <w:tab/>
            </w:r>
            <w:r>
              <w:rPr>
                <w:noProof/>
                <w:webHidden/>
              </w:rPr>
              <w:fldChar w:fldCharType="begin"/>
            </w:r>
            <w:r>
              <w:rPr>
                <w:noProof/>
                <w:webHidden/>
              </w:rPr>
              <w:instrText xml:space="preserve"> PAGEREF _Toc6171733 \h </w:instrText>
            </w:r>
            <w:r>
              <w:rPr>
                <w:noProof/>
                <w:webHidden/>
              </w:rPr>
            </w:r>
            <w:r>
              <w:rPr>
                <w:noProof/>
                <w:webHidden/>
              </w:rPr>
              <w:fldChar w:fldCharType="separate"/>
            </w:r>
            <w:r>
              <w:rPr>
                <w:noProof/>
                <w:webHidden/>
              </w:rPr>
              <w:t>14</w:t>
            </w:r>
            <w:r>
              <w:rPr>
                <w:noProof/>
                <w:webHidden/>
              </w:rPr>
              <w:fldChar w:fldCharType="end"/>
            </w:r>
          </w:hyperlink>
        </w:p>
        <w:p w14:paraId="4E1CF970" w14:textId="3E19A5EB" w:rsidR="00B82FF5" w:rsidRPr="00755632" w:rsidRDefault="00102468" w:rsidP="00061A3A">
          <w:pPr>
            <w:suppressLineNumbers/>
            <w:rPr>
              <w:noProof/>
            </w:rPr>
          </w:pPr>
          <w:r w:rsidRPr="00755632">
            <w:rPr>
              <w:b/>
              <w:bCs/>
              <w:noProof/>
            </w:rPr>
            <w:fldChar w:fldCharType="end"/>
          </w:r>
        </w:p>
      </w:sdtContent>
    </w:sdt>
    <w:p w14:paraId="14BDFF52" w14:textId="77777777" w:rsidR="006851BD" w:rsidRDefault="00061A3A" w:rsidP="00061A3A">
      <w:pPr>
        <w:pStyle w:val="Heading2"/>
        <w:suppressLineNumbers/>
        <w:rPr>
          <w:noProof/>
        </w:rPr>
      </w:pPr>
      <w:bookmarkStart w:id="1" w:name="_Toc6171723"/>
      <w:r>
        <w:t xml:space="preserve">List of </w:t>
      </w:r>
      <w:r w:rsidR="009E7EC8">
        <w:t>f</w:t>
      </w:r>
      <w:r>
        <w:t>igures</w:t>
      </w:r>
      <w:bookmarkEnd w:id="1"/>
      <w:r w:rsidR="00B82FF5" w:rsidRPr="00755632">
        <w:rPr>
          <w:rFonts w:ascii="Calibri" w:eastAsia="Calibri" w:hAnsi="Calibri" w:cs="Times New Roman"/>
          <w:color w:val="auto"/>
          <w:sz w:val="22"/>
          <w:szCs w:val="22"/>
        </w:rPr>
        <w:fldChar w:fldCharType="begin"/>
      </w:r>
      <w:r w:rsidR="00B82FF5" w:rsidRPr="00755632">
        <w:instrText xml:space="preserve"> TOC \h \z \c "Figure" </w:instrText>
      </w:r>
      <w:r w:rsidR="00B82FF5" w:rsidRPr="00755632">
        <w:rPr>
          <w:rFonts w:ascii="Calibri" w:eastAsia="Calibri" w:hAnsi="Calibri" w:cs="Times New Roman"/>
          <w:color w:val="auto"/>
          <w:sz w:val="22"/>
          <w:szCs w:val="22"/>
        </w:rPr>
        <w:fldChar w:fldCharType="separate"/>
      </w:r>
    </w:p>
    <w:p w14:paraId="6BD35CDE" w14:textId="76F87015" w:rsidR="00BB73E3" w:rsidRDefault="006851BD" w:rsidP="006851BD">
      <w:r>
        <w:rPr>
          <w:noProof/>
          <w:lang w:val="en-US"/>
        </w:rPr>
        <w:t>No table of figures entries found.</w:t>
      </w:r>
      <w:r w:rsidR="00B82FF5" w:rsidRPr="00755632">
        <w:fldChar w:fldCharType="end"/>
      </w:r>
    </w:p>
    <w:p w14:paraId="70DF581C" w14:textId="77777777" w:rsidR="004B4DC1" w:rsidRDefault="00061A3A" w:rsidP="005660AA">
      <w:pPr>
        <w:pStyle w:val="Heading2"/>
        <w:suppressLineNumbers/>
        <w:rPr>
          <w:noProof/>
        </w:rPr>
      </w:pPr>
      <w:bookmarkStart w:id="2" w:name="_Toc6171724"/>
      <w:r>
        <w:t xml:space="preserve">List of </w:t>
      </w:r>
      <w:r w:rsidR="009E7EC8">
        <w:t>t</w:t>
      </w:r>
      <w:r>
        <w:t>ables</w:t>
      </w:r>
      <w:bookmarkEnd w:id="2"/>
      <w:r w:rsidR="00B82FF5" w:rsidRPr="00755632">
        <w:fldChar w:fldCharType="begin"/>
      </w:r>
      <w:r w:rsidR="00B82FF5" w:rsidRPr="00755632">
        <w:instrText xml:space="preserve"> TOC \h \z \c "Table" </w:instrText>
      </w:r>
      <w:r w:rsidR="00B82FF5" w:rsidRPr="00755632">
        <w:fldChar w:fldCharType="separate"/>
      </w:r>
    </w:p>
    <w:p w14:paraId="0AEF514B" w14:textId="27AA872D" w:rsidR="001A4B51" w:rsidRDefault="004B4DC1" w:rsidP="006851BD">
      <w:r>
        <w:rPr>
          <w:noProof/>
          <w:lang w:val="en-US"/>
        </w:rPr>
        <w:t>No table of figures entries found.</w:t>
      </w:r>
      <w:r w:rsidR="00B82FF5" w:rsidRPr="00755632">
        <w:fldChar w:fldCharType="end"/>
      </w:r>
    </w:p>
    <w:p w14:paraId="0B23770C" w14:textId="77777777" w:rsidR="002D35A5" w:rsidRDefault="001A4B51" w:rsidP="001A4B51">
      <w:pPr>
        <w:pStyle w:val="Heading2"/>
      </w:pPr>
      <w:bookmarkStart w:id="3" w:name="_Toc6171725"/>
      <w:r>
        <w:t>List of equations</w:t>
      </w:r>
      <w:bookmarkEnd w:id="3"/>
    </w:p>
    <w:p w14:paraId="02019DD7" w14:textId="6AD99147" w:rsidR="006675AE" w:rsidRDefault="002D35A5" w:rsidP="006851BD">
      <w:r>
        <w:fldChar w:fldCharType="begin"/>
      </w:r>
      <w:r>
        <w:instrText xml:space="preserve"> TOC \h \z \c "Equation" </w:instrText>
      </w:r>
      <w:r>
        <w:fldChar w:fldCharType="separate"/>
      </w:r>
      <w:r w:rsidR="004B4DC1">
        <w:rPr>
          <w:noProof/>
          <w:lang w:val="en-US"/>
        </w:rPr>
        <w:t>No table of figures entries found.</w:t>
      </w:r>
      <w:r>
        <w:fldChar w:fldCharType="end"/>
      </w:r>
      <w:r w:rsidR="00C0748B" w:rsidRPr="00755632">
        <w:br w:type="page"/>
      </w:r>
    </w:p>
    <w:p w14:paraId="661D8067" w14:textId="1539F6F4" w:rsidR="004B4DC1" w:rsidRDefault="004B4DC1" w:rsidP="004B4DC1">
      <w:pPr>
        <w:pStyle w:val="Heading1"/>
      </w:pPr>
      <w:bookmarkStart w:id="4" w:name="_Toc6045006"/>
      <w:bookmarkStart w:id="5" w:name="_Toc6171726"/>
      <w:r>
        <w:lastRenderedPageBreak/>
        <w:t>1. A</w:t>
      </w:r>
      <w:r w:rsidRPr="00636C9B">
        <w:t xml:space="preserve">nomalous temperature </w:t>
      </w:r>
      <w:r>
        <w:t>and</w:t>
      </w:r>
      <w:r w:rsidRPr="00636C9B">
        <w:t xml:space="preserve"> injury mortality in the USA</w:t>
      </w:r>
      <w:r>
        <w:t>: age-, sex- and state-specific impacts</w:t>
      </w:r>
      <w:bookmarkEnd w:id="5"/>
    </w:p>
    <w:p w14:paraId="6A6B2026" w14:textId="77777777" w:rsidR="006675AE" w:rsidRDefault="006675AE" w:rsidP="006675AE">
      <w:pPr>
        <w:pStyle w:val="Heading2"/>
      </w:pPr>
    </w:p>
    <w:p w14:paraId="1310F75B" w14:textId="46DB6980" w:rsidR="006675AE" w:rsidRPr="00127064" w:rsidRDefault="006675AE" w:rsidP="006675AE">
      <w:pPr>
        <w:pStyle w:val="Heading2"/>
      </w:pPr>
      <w:bookmarkStart w:id="6" w:name="_Toc6171727"/>
      <w:r w:rsidRPr="00127064">
        <w:t>Overview</w:t>
      </w:r>
      <w:bookmarkEnd w:id="4"/>
      <w:bookmarkEnd w:id="6"/>
    </w:p>
    <w:p w14:paraId="646EA9F8" w14:textId="32958151" w:rsidR="00B971FF" w:rsidRDefault="00161129" w:rsidP="00113E25">
      <w:pPr>
        <w:spacing w:line="480" w:lineRule="auto"/>
        <w:ind w:firstLine="720"/>
        <w:jc w:val="both"/>
        <w:rPr>
          <w:rFonts w:cs="Calibri"/>
          <w:sz w:val="24"/>
          <w:szCs w:val="24"/>
        </w:rPr>
      </w:pPr>
      <w:bookmarkStart w:id="7" w:name="_Toc6045007"/>
      <w:r w:rsidRPr="000377CB">
        <w:rPr>
          <w:rFonts w:cs="Calibri"/>
          <w:sz w:val="24"/>
          <w:szCs w:val="24"/>
        </w:rPr>
        <w:t>Temperatures which deviate from long-term norms will be more frequent as the global climate changes, and may be associated with adverse health consequences</w:t>
      </w:r>
      <w:r w:rsidR="0001634A" w:rsidRPr="000377CB">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2015)","previouslyFormattedCitation":"&lt;sup&gt;1&lt;/sup&gt;"},"properties":{"noteIndex":0},"schema":"https://github.com/citation-style-language/schema/raw/master/csl-citation.json"}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(Gasparrini et al., 2015)</w:t>
      </w:r>
      <w:r w:rsidRPr="000377CB">
        <w:rPr>
          <w:rFonts w:cs="Calibri"/>
          <w:sz w:val="24"/>
          <w:szCs w:val="24"/>
        </w:rPr>
        <w:fldChar w:fldCharType="end"/>
      </w:r>
      <w:r w:rsidR="0001634A" w:rsidRPr="000377CB">
        <w:rPr>
          <w:rFonts w:cs="Calibri"/>
          <w:sz w:val="24"/>
          <w:szCs w:val="24"/>
        </w:rPr>
        <w:t>.</w:t>
      </w:r>
      <w:r w:rsidRPr="000377CB">
        <w:rPr>
          <w:rFonts w:cs="Calibri"/>
          <w:sz w:val="24"/>
          <w:szCs w:val="24"/>
        </w:rPr>
        <w:t xml:space="preserve"> There is limited data on how such deviations affect deaths from different injuries, especially by type of injury, month of year, age and sex. Here, we used data on mortality and temperature over a 37-year period (1980-2016) in the entire contiguous United States and formulated a Bayesian spatio-temporal model to estimate how deviations from the long-term norm of mean monthly temperature (anomalous temperatures) affect deaths from different injuries by age groups and sex. We found that a 1°C anomalously warm year would be associated with an estimated 941 (95% credible interval 831, 1053) additional injury deaths. 87% of deaths in males would be concentrated in adolescent to middle ages. These excess deaths would comprise of increases in drowning, transport injuries, assault and intentional self-harm offset partly by an overall decline in falls in older ages. The findings demonstrate the need for targeted public health interventions against injuries during periods of anomalously high temperatures, especially as these episodes increase with global climate change.</w:t>
      </w:r>
      <w:bookmarkStart w:id="8" w:name="_Toc6045013"/>
      <w:bookmarkEnd w:id="7"/>
    </w:p>
    <w:p w14:paraId="2C8ED6BF" w14:textId="49C97810" w:rsidR="000377CB" w:rsidRPr="000377CB" w:rsidRDefault="000377CB" w:rsidP="000377CB">
      <w:pPr>
        <w:pStyle w:val="Heading2"/>
        <w:rPr>
          <w:rFonts w:ascii="Calibri" w:hAnsi="Calibri"/>
        </w:rPr>
      </w:pPr>
      <w:bookmarkStart w:id="9" w:name="_Toc6171728"/>
      <w:r>
        <w:t>Introduction</w:t>
      </w:r>
      <w:bookmarkEnd w:id="9"/>
    </w:p>
    <w:p w14:paraId="573AC6C2" w14:textId="3F1F7F7B" w:rsidR="00B971FF" w:rsidRDefault="00B971FF" w:rsidP="00E06158">
      <w:pPr>
        <w:spacing w:line="480" w:lineRule="auto"/>
        <w:ind w:firstLine="720"/>
        <w:jc w:val="both"/>
        <w:rPr>
          <w:rFonts w:cs="Calibri"/>
          <w:color w:val="000000" w:themeColor="text1"/>
          <w:sz w:val="24"/>
          <w:szCs w:val="24"/>
        </w:rPr>
      </w:pPr>
      <w:r w:rsidRPr="000377CB">
        <w:rPr>
          <w:rFonts w:cs="Calibri"/>
          <w:color w:val="000000" w:themeColor="text1"/>
          <w:sz w:val="24"/>
          <w:szCs w:val="24"/>
        </w:rPr>
        <w:t>The potential health impacts of anthropogenic climate change are one of the key drivers for efforts to mitigate greenhouse gas emissions and for pursuing adaptation measures. Current assessments of the health effects of climate change largely focus on parasitic and infectious diseases, and cardiorespiratory and other chronic diseases</w:t>
      </w:r>
      <w:r w:rsidR="00F546CD">
        <w:rPr>
          <w:rFonts w:cs="Calibri"/>
          <w:color w:val="000000" w:themeColor="text1"/>
          <w:sz w:val="24"/>
          <w:szCs w:val="24"/>
        </w:rPr>
        <w:t xml:space="preserve"> </w:t>
      </w:r>
      <w:r w:rsidRPr="000377CB">
        <w:rPr>
          <w:rFonts w:cs="Calibri"/>
          <w:color w:val="000000" w:themeColor="text1"/>
          <w:sz w:val="24"/>
          <w:szCs w:val="24"/>
        </w:rPr>
        <w:fldChar w:fldCharType="begin" w:fldLock="1"/>
      </w:r>
      <w:r w:rsidR="0001634A" w:rsidRPr="000377CB">
        <w:rPr>
          <w:rFonts w:cs="Calibri"/>
          <w:color w:val="000000" w:themeColor="text1"/>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Woodruff, &amp; Hales, 2006; Smith et al., 2015; Watts et al., 2018)","plainTextFormattedCitation":"(Gasparrini et al., 2017; Haines &amp; Ebi, 2019; Huang et al., 2011; McMichael, Woodruff, &amp; Hales, 2006; Smith et al., 2015; Watts et al., 2018)","previouslyFormattedCitation":"&lt;sup&gt;2–7&lt;/sup&gt;"},"properties":{"noteIndex":0},"schema":"https://github.com/citation-style-language/schema/raw/master/csl-citation.json"}</w:instrText>
      </w:r>
      <w:r w:rsidRPr="000377CB">
        <w:rPr>
          <w:rFonts w:cs="Calibri"/>
          <w:color w:val="000000" w:themeColor="text1"/>
          <w:sz w:val="24"/>
          <w:szCs w:val="24"/>
        </w:rPr>
        <w:fldChar w:fldCharType="separate"/>
      </w:r>
      <w:r w:rsidR="0001634A" w:rsidRPr="000377CB">
        <w:rPr>
          <w:rFonts w:cs="Calibri"/>
          <w:noProof/>
          <w:color w:val="000000" w:themeColor="text1"/>
          <w:sz w:val="24"/>
          <w:szCs w:val="24"/>
        </w:rPr>
        <w:t xml:space="preserve">(Gasparrini et al., 2017; Haines &amp; Ebi, 2019; Huang et al., 2011; McMichael, Woodruff, &amp; Hales, 2006; </w:t>
      </w:r>
      <w:r w:rsidR="0001634A" w:rsidRPr="000377CB">
        <w:rPr>
          <w:rFonts w:cs="Calibri"/>
          <w:noProof/>
          <w:color w:val="000000" w:themeColor="text1"/>
          <w:sz w:val="24"/>
          <w:szCs w:val="24"/>
        </w:rPr>
        <w:lastRenderedPageBreak/>
        <w:t>Smith et al., 2015; Watts et al., 2018)</w:t>
      </w:r>
      <w:r w:rsidRPr="000377CB">
        <w:rPr>
          <w:rFonts w:cs="Calibri"/>
          <w:color w:val="000000" w:themeColor="text1"/>
          <w:sz w:val="24"/>
          <w:szCs w:val="24"/>
        </w:rPr>
        <w:fldChar w:fldCharType="end"/>
      </w:r>
      <w:r w:rsidR="00412C47">
        <w:rPr>
          <w:rFonts w:cs="Calibri"/>
          <w:color w:val="000000" w:themeColor="text1"/>
          <w:sz w:val="24"/>
          <w:szCs w:val="24"/>
        </w:rPr>
        <w:t>.</w:t>
      </w:r>
      <w:r w:rsidRPr="000377CB">
        <w:rPr>
          <w:rFonts w:cs="Calibri"/>
          <w:color w:val="000000" w:themeColor="text1"/>
          <w:sz w:val="24"/>
          <w:szCs w:val="24"/>
        </w:rPr>
        <w:t xml:space="preserve"> Less research has been conducted on injuries</w:t>
      </w:r>
      <w:r w:rsidR="00F546CD">
        <w:rPr>
          <w:rFonts w:cs="Calibri"/>
          <w:color w:val="000000" w:themeColor="text1"/>
          <w:sz w:val="24"/>
          <w:szCs w:val="24"/>
        </w:rPr>
        <w:t xml:space="preserve"> </w:t>
      </w:r>
      <w:r w:rsidRPr="000377CB">
        <w:rPr>
          <w:rFonts w:cs="Calibri"/>
          <w:color w:val="000000" w:themeColor="text1"/>
          <w:sz w:val="24"/>
          <w:szCs w:val="24"/>
        </w:rPr>
        <w:fldChar w:fldCharType="begin" w:fldLock="1"/>
      </w:r>
      <w:r w:rsidR="0001634A" w:rsidRPr="000377CB">
        <w:rPr>
          <w:rFonts w:cs="Calibri"/>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2007)","previouslyFormattedCitation":"&lt;sup&gt;8–10&lt;/sup&gt;"},"properties":{"noteIndex":0},"schema":"https://github.com/citation-style-language/schema/raw/master/csl-citation.json"}</w:instrText>
      </w:r>
      <w:r w:rsidRPr="000377CB">
        <w:rPr>
          <w:rFonts w:cs="Calibri"/>
          <w:color w:val="000000" w:themeColor="text1"/>
          <w:sz w:val="24"/>
          <w:szCs w:val="24"/>
        </w:rPr>
        <w:fldChar w:fldCharType="separate"/>
      </w:r>
      <w:r w:rsidR="0001634A" w:rsidRPr="000377CB">
        <w:rPr>
          <w:rFonts w:cs="Calibri"/>
          <w:noProof/>
          <w:color w:val="000000" w:themeColor="text1"/>
          <w:sz w:val="24"/>
          <w:szCs w:val="24"/>
        </w:rPr>
        <w:t>(Burke et al., 2018; Orru &amp; Åström, 2017; Rey et al., 2007)</w:t>
      </w:r>
      <w:r w:rsidRPr="000377CB">
        <w:rPr>
          <w:rFonts w:cs="Calibri"/>
          <w:color w:val="000000" w:themeColor="text1"/>
          <w:sz w:val="24"/>
          <w:szCs w:val="24"/>
        </w:rPr>
        <w:fldChar w:fldCharType="end"/>
      </w:r>
      <w:r w:rsidR="00B16BB3">
        <w:rPr>
          <w:rFonts w:cs="Calibri"/>
          <w:sz w:val="24"/>
          <w:szCs w:val="24"/>
        </w:rPr>
        <w:t xml:space="preserve">, </w:t>
      </w:r>
      <w:r w:rsidRPr="000377CB">
        <w:rPr>
          <w:rFonts w:cs="Calibri"/>
          <w:color w:val="000000" w:themeColor="text1"/>
          <w:sz w:val="24"/>
          <w:szCs w:val="24"/>
        </w:rPr>
        <w:t>especially in a consistent way across injury types and demographic subgroups of the population, even though death rates from injuries vary seasonally</w:t>
      </w:r>
      <w:r w:rsidR="00F546CD">
        <w:rPr>
          <w:rFonts w:cs="Calibri"/>
          <w:color w:val="000000" w:themeColor="text1"/>
          <w:sz w:val="24"/>
          <w:szCs w:val="24"/>
        </w:rPr>
        <w:t xml:space="preserve"> </w:t>
      </w:r>
      <w:r w:rsidRPr="000377CB">
        <w:rPr>
          <w:rFonts w:cs="Calibri"/>
          <w:color w:val="000000" w:themeColor="text1"/>
          <w:sz w:val="24"/>
          <w:szCs w:val="24"/>
        </w:rPr>
        <w:fldChar w:fldCharType="begin" w:fldLock="1"/>
      </w:r>
      <w:r w:rsidR="0001634A" w:rsidRPr="000377CB">
        <w:rPr>
          <w:rFonts w:cs="Calibri"/>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2004)","previouslyFormattedCitation":"&lt;sup&gt;11,12&lt;/sup&gt;"},"properties":{"noteIndex":0},"schema":"https://github.com/citation-style-language/schema/raw/master/csl-citation.json"}</w:instrText>
      </w:r>
      <w:r w:rsidRPr="000377CB">
        <w:rPr>
          <w:rFonts w:cs="Calibri"/>
          <w:color w:val="000000" w:themeColor="text1"/>
          <w:sz w:val="24"/>
          <w:szCs w:val="24"/>
        </w:rPr>
        <w:fldChar w:fldCharType="separate"/>
      </w:r>
      <w:r w:rsidR="0001634A" w:rsidRPr="000377CB">
        <w:rPr>
          <w:rFonts w:cs="Calibri"/>
          <w:noProof/>
          <w:color w:val="000000" w:themeColor="text1"/>
          <w:sz w:val="24"/>
          <w:szCs w:val="24"/>
        </w:rPr>
        <w:t>(Parks, Bennett, Foreman, Toumi, &amp; Ezzati, 2018; Rau, 2004)</w:t>
      </w:r>
      <w:r w:rsidRPr="000377CB">
        <w:rPr>
          <w:rFonts w:cs="Calibri"/>
          <w:color w:val="000000" w:themeColor="text1"/>
          <w:sz w:val="24"/>
          <w:szCs w:val="24"/>
        </w:rPr>
        <w:fldChar w:fldCharType="end"/>
      </w:r>
      <w:r w:rsidR="00CE59B7">
        <w:rPr>
          <w:rFonts w:cs="Calibri"/>
          <w:color w:val="000000" w:themeColor="text1"/>
          <w:sz w:val="24"/>
          <w:szCs w:val="24"/>
        </w:rPr>
        <w:t>,</w:t>
      </w:r>
      <w:r w:rsidRPr="000377CB">
        <w:rPr>
          <w:rFonts w:cs="Calibri"/>
          <w:color w:val="000000" w:themeColor="text1"/>
          <w:sz w:val="24"/>
          <w:szCs w:val="24"/>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366A6D2C" w14:textId="7FABEA47" w:rsidR="00E06158" w:rsidRPr="000377CB" w:rsidRDefault="00281101" w:rsidP="00281101">
      <w:pPr>
        <w:pStyle w:val="Heading2"/>
        <w:rPr>
          <w:rFonts w:ascii="Calibri" w:hAnsi="Calibri"/>
        </w:rPr>
      </w:pPr>
      <w:bookmarkStart w:id="10" w:name="_Toc6171729"/>
      <w:r>
        <w:t>Data</w:t>
      </w:r>
      <w:bookmarkEnd w:id="10"/>
    </w:p>
    <w:p w14:paraId="480B6BA4" w14:textId="4DB8FA2B" w:rsidR="00CB5EEE" w:rsidRPr="006851BD" w:rsidRDefault="00B971FF" w:rsidP="006851BD">
      <w:pPr>
        <w:spacing w:line="480" w:lineRule="auto"/>
        <w:ind w:firstLine="720"/>
        <w:jc w:val="both"/>
        <w:rPr>
          <w:rFonts w:cs="Calibri"/>
          <w:color w:val="000000" w:themeColor="text1"/>
          <w:sz w:val="24"/>
          <w:szCs w:val="24"/>
        </w:rPr>
      </w:pPr>
      <w:r w:rsidRPr="000377CB">
        <w:rPr>
          <w:rFonts w:cs="Calibri"/>
          <w:color w:val="000000" w:themeColor="text1"/>
          <w:sz w:val="24"/>
          <w:szCs w:val="24"/>
        </w:rPr>
        <w:t>We used vital registration data on all injury deaths in the contiguous USA</w:t>
      </w:r>
      <w:r w:rsidRPr="000377CB">
        <w:rPr>
          <w:rFonts w:cs="Calibri"/>
          <w:sz w:val="24"/>
          <w:szCs w:val="24"/>
        </w:rPr>
        <w:t xml:space="preserve"> </w:t>
      </w:r>
      <w:r w:rsidRPr="000377CB">
        <w:rPr>
          <w:rFonts w:cs="Calibri"/>
          <w:color w:val="000000" w:themeColor="text1"/>
          <w:sz w:val="24"/>
          <w:szCs w:val="24"/>
        </w:rPr>
        <w:t>from 1980 to 2016, with information on sex, age at death, underlying cause of death and state of residence. During this period, 4,006,454 boys and men and 1,757,862 girls and women died from an injury in the contiguous USA (i.e., excluding Alaska and Hawaii), accounting for 9.2% and 4.2% of all male and female deaths respectively.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5BD91F86" w14:textId="52B66923" w:rsidR="00CB5EEE" w:rsidRPr="000377CB" w:rsidRDefault="00CB5EEE" w:rsidP="006851BD">
      <w:pPr>
        <w:spacing w:line="480" w:lineRule="auto"/>
        <w:ind w:firstLine="720"/>
        <w:jc w:val="both"/>
        <w:rPr>
          <w:rStyle w:val="apple-style-span"/>
          <w:rFonts w:cs="Calibri"/>
          <w:color w:val="000000" w:themeColor="text1"/>
          <w:sz w:val="24"/>
          <w:szCs w:val="24"/>
        </w:rPr>
      </w:pPr>
      <w:r w:rsidRPr="000377CB">
        <w:rPr>
          <w:rStyle w:val="apple-style-span"/>
          <w:rFonts w:cs="Calibri"/>
          <w:color w:val="000000" w:themeColor="text1"/>
          <w:sz w:val="24"/>
          <w:szCs w:val="24"/>
        </w:rPr>
        <w:t>We used data on deaths by sex, age, underlying cause of death and state of residence in the contiguous USA from 1980 to 2016 through the National Center for Health Statistics (NCHS) (</w:t>
      </w:r>
      <w:hyperlink r:id="rId8" w:history="1">
        <w:r w:rsidRPr="000377CB">
          <w:rPr>
            <w:rStyle w:val="Hyperlink"/>
            <w:rFonts w:cs="Calibri"/>
            <w:sz w:val="24"/>
            <w:szCs w:val="24"/>
          </w:rPr>
          <w:t>https://www.cdc.gov/nchs/nvss/dvs_data_release.htm</w:t>
        </w:r>
      </w:hyperlink>
      <w:r w:rsidRPr="000377CB">
        <w:rPr>
          <w:rStyle w:val="apple-style-span"/>
          <w:rFonts w:cs="Calibri"/>
          <w:color w:val="000000" w:themeColor="text1"/>
          <w:sz w:val="24"/>
          <w:szCs w:val="24"/>
        </w:rPr>
        <w:t xml:space="preserve">) and on population from the NCHS bridged-race dataset </w:t>
      </w:r>
      <w:r w:rsidRPr="000377CB">
        <w:rPr>
          <w:rFonts w:cs="Calibri"/>
          <w:color w:val="000000" w:themeColor="text1"/>
          <w:sz w:val="24"/>
          <w:szCs w:val="24"/>
        </w:rPr>
        <w:t>for 1990 to 2016 (</w:t>
      </w:r>
      <w:hyperlink r:id="rId9" w:history="1">
        <w:r w:rsidRPr="000377CB">
          <w:rPr>
            <w:rStyle w:val="Hyperlink"/>
            <w:rFonts w:cs="Calibri"/>
            <w:sz w:val="24"/>
            <w:szCs w:val="24"/>
          </w:rPr>
          <w:t>https://www.cdc.gov/nchs/nvss/bridged_race.htm</w:t>
        </w:r>
      </w:hyperlink>
      <w:r w:rsidRPr="000377CB">
        <w:rPr>
          <w:rFonts w:cs="Calibri"/>
          <w:color w:val="000000" w:themeColor="text1"/>
          <w:sz w:val="24"/>
          <w:szCs w:val="24"/>
        </w:rPr>
        <w:t>) and from the US Census Bureau prior to 1990 (</w:t>
      </w:r>
      <w:hyperlink r:id="rId10" w:history="1">
        <w:r w:rsidRPr="000377CB">
          <w:rPr>
            <w:rStyle w:val="Hyperlink"/>
            <w:rFonts w:cs="Calibri"/>
            <w:sz w:val="24"/>
            <w:szCs w:val="24"/>
          </w:rPr>
          <w:t>https://www.census.gov/data/developers/data-sets/popest-popproj/popest.html</w:t>
        </w:r>
      </w:hyperlink>
      <w:r w:rsidRPr="000377CB">
        <w:rPr>
          <w:rStyle w:val="Hyperlink"/>
          <w:rFonts w:cs="Calibri"/>
          <w:sz w:val="24"/>
          <w:szCs w:val="24"/>
        </w:rPr>
        <w:t>)</w:t>
      </w:r>
      <w:r w:rsidRPr="000377CB">
        <w:rPr>
          <w:rFonts w:cs="Calibri"/>
          <w:color w:val="000000" w:themeColor="text1"/>
          <w:sz w:val="24"/>
          <w:szCs w:val="24"/>
        </w:rPr>
        <w:t xml:space="preserve">. </w:t>
      </w:r>
      <w:r w:rsidRPr="000377CB">
        <w:rPr>
          <w:rFonts w:cs="Calibri"/>
          <w:color w:val="000000" w:themeColor="text1"/>
          <w:sz w:val="24"/>
          <w:szCs w:val="24"/>
        </w:rPr>
        <w:lastRenderedPageBreak/>
        <w:t>We calculated monthly population counts through linear interpolation, assigning each yearly count to July.</w:t>
      </w:r>
    </w:p>
    <w:p w14:paraId="630415C8" w14:textId="1D7C09C2" w:rsidR="00CB5EEE" w:rsidRPr="000377CB" w:rsidRDefault="00CB5EEE" w:rsidP="00E729FA">
      <w:pPr>
        <w:spacing w:line="480" w:lineRule="auto"/>
        <w:ind w:firstLine="720"/>
        <w:jc w:val="both"/>
        <w:rPr>
          <w:rFonts w:cs="Calibri"/>
          <w:color w:val="000000" w:themeColor="text1"/>
          <w:sz w:val="24"/>
          <w:szCs w:val="24"/>
        </w:rPr>
      </w:pPr>
      <w:r w:rsidRPr="000377CB">
        <w:rPr>
          <w:rFonts w:cs="Calibri"/>
          <w:color w:val="000000" w:themeColor="text1"/>
          <w:sz w:val="24"/>
          <w:szCs w:val="24"/>
        </w:rPr>
        <w:t>The underlying cause of death was coded according to the international classification of diseases (ICD) system (9</w:t>
      </w:r>
      <w:r w:rsidRPr="000377CB">
        <w:rPr>
          <w:rFonts w:cs="Calibri"/>
          <w:color w:val="000000" w:themeColor="text1"/>
          <w:sz w:val="24"/>
          <w:szCs w:val="24"/>
          <w:vertAlign w:val="superscript"/>
        </w:rPr>
        <w:t>th</w:t>
      </w:r>
      <w:r w:rsidRPr="000377CB">
        <w:rPr>
          <w:rFonts w:cs="Calibri"/>
          <w:color w:val="000000" w:themeColor="text1"/>
          <w:sz w:val="24"/>
          <w:szCs w:val="24"/>
        </w:rPr>
        <w:t xml:space="preserve"> revision from 1980 to 1998 and 10</w:t>
      </w:r>
      <w:r w:rsidRPr="000377CB">
        <w:rPr>
          <w:rFonts w:cs="Calibri"/>
          <w:color w:val="000000" w:themeColor="text1"/>
          <w:sz w:val="24"/>
          <w:szCs w:val="24"/>
          <w:vertAlign w:val="superscript"/>
        </w:rPr>
        <w:t>th</w:t>
      </w:r>
      <w:r w:rsidRPr="000377CB">
        <w:rPr>
          <w:rFonts w:cs="Calibri"/>
          <w:color w:val="000000" w:themeColor="text1"/>
          <w:sz w:val="24"/>
          <w:szCs w:val="24"/>
        </w:rPr>
        <w:t xml:space="preserve"> revision thereafter). The 5.7 million </w:t>
      </w:r>
      <w:r w:rsidRPr="000377CB">
        <w:rPr>
          <w:rStyle w:val="apple-style-span"/>
          <w:rFonts w:cs="Calibri"/>
          <w:color w:val="000000" w:themeColor="text1"/>
          <w:sz w:val="24"/>
          <w:szCs w:val="24"/>
        </w:rPr>
        <w:t>injury deaths fell into six categories: transport, falls, drownings, assault, intentional self-harm and an aggregate set of other unintentional injuries. We report the results of all of these categories except other unintentional injuries (1,329,200 deaths or 23% of total injury deaths during 1980-2016), because the composition of this aggregate group varies by sex, age group, state and time.</w:t>
      </w:r>
    </w:p>
    <w:p w14:paraId="433ECD69" w14:textId="4532E4C0" w:rsidR="00CB5EEE" w:rsidRPr="000377CB" w:rsidRDefault="00CB5EEE" w:rsidP="00E97E74">
      <w:pPr>
        <w:spacing w:line="480" w:lineRule="auto"/>
        <w:ind w:firstLine="720"/>
        <w:jc w:val="both"/>
        <w:rPr>
          <w:rFonts w:cs="Calibri"/>
          <w:color w:val="000000" w:themeColor="text1"/>
          <w:sz w:val="24"/>
          <w:szCs w:val="24"/>
        </w:rPr>
      </w:pPr>
      <w:r w:rsidRPr="000377CB">
        <w:rPr>
          <w:rFonts w:cs="Calibri"/>
          <w:color w:val="000000" w:themeColor="text1"/>
          <w:sz w:val="24"/>
          <w:szCs w:val="24"/>
        </w:rPr>
        <w:t>We obtained data on temperature from ERA-Interim, which combines predictions from a physical model with in-situ and satellite measurements</w:t>
      </w:r>
      <w:r w:rsidR="00C77DA4">
        <w:rPr>
          <w:rFonts w:cs="Calibri"/>
          <w:color w:val="000000" w:themeColor="text1"/>
          <w:sz w:val="24"/>
          <w:szCs w:val="24"/>
        </w:rPr>
        <w:t xml:space="preserve"> </w:t>
      </w:r>
      <w:r w:rsidRPr="000377CB">
        <w:rPr>
          <w:rFonts w:cs="Calibri"/>
          <w:sz w:val="24"/>
          <w:szCs w:val="24"/>
        </w:rPr>
        <w:fldChar w:fldCharType="begin" w:fldLock="1"/>
      </w:r>
      <w:r w:rsidRPr="000377CB">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2011)","previouslyFormattedCitation":"&lt;sup&gt;37&lt;/sup&gt;"},"properties":{"noteIndex":0},"schema":"https://github.com/citation-style-language/schema/raw/master/csl-citation.json"}</w:instrText>
      </w:r>
      <w:r w:rsidRPr="000377CB">
        <w:rPr>
          <w:rFonts w:cs="Calibri"/>
          <w:sz w:val="24"/>
          <w:szCs w:val="24"/>
        </w:rPr>
        <w:fldChar w:fldCharType="separate"/>
      </w:r>
      <w:r w:rsidRPr="000377CB">
        <w:rPr>
          <w:rFonts w:cs="Calibri"/>
          <w:noProof/>
          <w:sz w:val="24"/>
          <w:szCs w:val="24"/>
        </w:rPr>
        <w:t>(Dee et al., 2011)</w:t>
      </w:r>
      <w:r w:rsidRPr="000377CB">
        <w:rPr>
          <w:rFonts w:cs="Calibri"/>
          <w:sz w:val="24"/>
          <w:szCs w:val="24"/>
        </w:rPr>
        <w:fldChar w:fldCharType="end"/>
      </w:r>
      <w:r w:rsidR="00C77DA4">
        <w:rPr>
          <w:rFonts w:cs="Calibri"/>
          <w:sz w:val="24"/>
          <w:szCs w:val="24"/>
        </w:rPr>
        <w:t>.</w:t>
      </w:r>
      <w:r w:rsidRPr="000377CB">
        <w:rPr>
          <w:rFonts w:cs="Calibri"/>
          <w:color w:val="000000" w:themeColor="text1"/>
          <w:sz w:val="24"/>
          <w:szCs w:val="24"/>
        </w:rPr>
        <w:t xml:space="preserve"> We used gridded four-times-daily estimates at a resolution of 80 km to generate monthly population-weighted temperature by state throughout the analysis period. </w:t>
      </w:r>
    </w:p>
    <w:p w14:paraId="52CCE3BB" w14:textId="243A9D0E" w:rsidR="00CB5EEE" w:rsidRPr="00E97E74" w:rsidRDefault="00CB5EEE" w:rsidP="00E97E74">
      <w:pPr>
        <w:spacing w:line="480" w:lineRule="auto"/>
        <w:ind w:firstLine="720"/>
        <w:jc w:val="both"/>
        <w:rPr>
          <w:rFonts w:cs="Calibri"/>
          <w:color w:val="000000" w:themeColor="text1"/>
          <w:sz w:val="24"/>
          <w:szCs w:val="24"/>
        </w:rPr>
      </w:pPr>
      <w:r w:rsidRPr="000377CB">
        <w:rPr>
          <w:rFonts w:cs="Calibri"/>
          <w:sz w:val="24"/>
          <w:szCs w:val="24"/>
        </w:rPr>
        <w:t>To calculate the magnitude of temperature anomaly by state and month, we first calculated 30-year (long-term) norm temperatures (from 1980-2009) for each month in each state. We calculated for 30 years because it is the duration used in climate assessments</w:t>
      </w:r>
      <w:r w:rsidR="009349B0">
        <w:rPr>
          <w:rFonts w:cs="Calibri"/>
          <w:sz w:val="24"/>
          <w:szCs w:val="24"/>
        </w:rPr>
        <w:t xml:space="preserve"> </w:t>
      </w:r>
      <w:r w:rsidRPr="000377CB">
        <w:rPr>
          <w:rFonts w:cs="Calibri"/>
          <w:sz w:val="24"/>
          <w:szCs w:val="24"/>
        </w:rPr>
        <w:fldChar w:fldCharType="begin" w:fldLock="1"/>
      </w:r>
      <w:r w:rsidRPr="000377CB">
        <w:rPr>
          <w:rFonts w:cs="Calibri"/>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2006)","previouslyFormattedCitation":"&lt;sup&gt;38&lt;/sup&gt;"},"properties":{"noteIndex":0},"schema":"https://github.com/citation-style-language/schema/raw/master/csl-citation.json"}</w:instrText>
      </w:r>
      <w:r w:rsidRPr="000377CB">
        <w:rPr>
          <w:rFonts w:cs="Calibri"/>
          <w:sz w:val="24"/>
          <w:szCs w:val="24"/>
        </w:rPr>
        <w:fldChar w:fldCharType="separate"/>
      </w:r>
      <w:r w:rsidRPr="000377CB">
        <w:rPr>
          <w:rFonts w:cs="Calibri"/>
          <w:noProof/>
          <w:sz w:val="24"/>
          <w:szCs w:val="24"/>
        </w:rPr>
        <w:t>(Wallace &amp; Hobbs, 2006)</w:t>
      </w:r>
      <w:r w:rsidRPr="000377CB">
        <w:rPr>
          <w:rFonts w:cs="Calibri"/>
          <w:sz w:val="24"/>
          <w:szCs w:val="24"/>
        </w:rPr>
        <w:fldChar w:fldCharType="end"/>
      </w:r>
      <w:r w:rsidR="009349B0">
        <w:rPr>
          <w:rFonts w:cs="Calibri"/>
          <w:sz w:val="24"/>
          <w:szCs w:val="24"/>
        </w:rPr>
        <w:t>.</w:t>
      </w:r>
      <w:r w:rsidRPr="000377CB">
        <w:rPr>
          <w:rFonts w:cs="Calibri"/>
          <w:sz w:val="24"/>
          <w:szCs w:val="24"/>
        </w:rPr>
        <w:t xml:space="preserve"> We subtracted these long-term norm temperatures from respective monthly temperature values to generate a temperature anomaly time series for each month and year in each state (Figure 3).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1949598C" w14:textId="77777777" w:rsidR="00CB5EEE" w:rsidRPr="000377CB" w:rsidRDefault="00CB5EEE" w:rsidP="00E97E74">
      <w:pPr>
        <w:pStyle w:val="Heading2"/>
      </w:pPr>
      <w:bookmarkStart w:id="11" w:name="_Toc6171730"/>
      <w:r w:rsidRPr="000377CB">
        <w:lastRenderedPageBreak/>
        <w:t>Statistical methods</w:t>
      </w:r>
      <w:bookmarkEnd w:id="11"/>
    </w:p>
    <w:p w14:paraId="61612A4A" w14:textId="16B921B2" w:rsidR="00CB5EEE" w:rsidRPr="000377CB" w:rsidRDefault="00CB5EEE" w:rsidP="003A4AB3">
      <w:pPr>
        <w:spacing w:line="480" w:lineRule="auto"/>
        <w:ind w:firstLine="720"/>
        <w:jc w:val="both"/>
        <w:rPr>
          <w:rFonts w:cs="Calibri"/>
          <w:color w:val="000000" w:themeColor="text1"/>
          <w:sz w:val="24"/>
          <w:szCs w:val="24"/>
        </w:rPr>
      </w:pPr>
      <w:r w:rsidRPr="000377CB">
        <w:rPr>
          <w:rFonts w:cs="Calibri"/>
          <w:color w:val="000000" w:themeColor="text1"/>
          <w:sz w:val="24"/>
          <w:szCs w:val="24"/>
        </w:rPr>
        <w:t>We formulated a Bayesian spatio-temporal model 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et al., 2018; Rau, 2004)","plainTextFormattedCitation":"(Lozano et al., 2012; Parks et al., 2018; Rau, 2004)","previouslyFormattedCitation":"&lt;sup&gt;11,12,39&lt;/sup&gt;"},"properties":{"noteIndex":0},"schema":"https://github.com/citation-style-language/schema/raw/master/csl-citation.json"}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(Lozano et al., 2012; Parks et al., 2018; Rau, 2004)</w:t>
      </w:r>
      <w:r w:rsidRPr="000377CB">
        <w:rPr>
          <w:rFonts w:cs="Calibri"/>
          <w:color w:val="000000" w:themeColor="text1"/>
          <w:sz w:val="24"/>
          <w:szCs w:val="24"/>
        </w:rPr>
        <w:fldChar w:fldCharType="end"/>
      </w:r>
      <w:r w:rsidRPr="000377CB">
        <w:rPr>
          <w:rFonts w:cs="Calibri"/>
          <w:color w:val="000000" w:themeColor="text1"/>
          <w:sz w:val="24"/>
          <w:szCs w:val="24"/>
        </w:rPr>
        <w:t xml:space="preserve"> as might their associations with temperature.</w:t>
      </w:r>
    </w:p>
    <w:p w14:paraId="081CF101" w14:textId="74D77D11" w:rsidR="00CB5EEE" w:rsidRPr="000377CB" w:rsidRDefault="00CB5EEE" w:rsidP="003A4AB3">
      <w:pPr>
        <w:spacing w:line="480" w:lineRule="auto"/>
        <w:ind w:firstLine="720"/>
        <w:jc w:val="both"/>
        <w:rPr>
          <w:rFonts w:cs="Calibri"/>
          <w:color w:val="000000" w:themeColor="text1"/>
          <w:sz w:val="24"/>
          <w:szCs w:val="24"/>
        </w:rPr>
      </w:pPr>
      <w:r w:rsidRPr="000377CB">
        <w:rPr>
          <w:rFonts w:cs="Calibri"/>
          <w:color w:val="000000" w:themeColor="text1"/>
          <w:sz w:val="24"/>
          <w:szCs w:val="24"/>
        </w:rPr>
        <w:t>We modelled the number of deaths in each year as following a Poisson distribution:</w:t>
      </w:r>
    </w:p>
    <w:p w14:paraId="615B274B" w14:textId="3FD6CAAE" w:rsidR="00CB5EEE" w:rsidRPr="000377CB" w:rsidRDefault="00CB5EEE" w:rsidP="00CB5EEE">
      <w:pPr>
        <w:spacing w:line="480" w:lineRule="auto"/>
        <w:jc w:val="both"/>
        <w:rPr>
          <w:rFonts w:cs="Calibri"/>
          <w:color w:val="000000" w:themeColor="text1"/>
          <w:sz w:val="24"/>
          <w:szCs w:val="24"/>
        </w:rPr>
      </w:pPr>
      <m:oMathPara>
        <m:oMath>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deaths</m:t>
              </m:r>
            </m:e>
            <m:sub>
              <m:r>
                <w:rPr>
                  <w:rFonts w:ascii="Cambria Math" w:hAnsi="Cambria Math" w:cs="Calibri"/>
                  <w:color w:val="000000" w:themeColor="text1"/>
                  <w:sz w:val="24"/>
                  <w:szCs w:val="24"/>
                </w:rPr>
                <m:t>state-month-year</m:t>
              </m:r>
            </m:sub>
          </m:sSub>
          <m:r>
            <w:rPr>
              <w:rFonts w:ascii="Cambria Math" w:hAnsi="Cambria Math" w:cs="Calibri"/>
              <w:color w:val="000000" w:themeColor="text1"/>
              <w:sz w:val="24"/>
              <w:szCs w:val="24"/>
            </w:rPr>
            <m:t xml:space="preserve"> ~ Poisson(</m:t>
          </m:r>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death rate</m:t>
              </m:r>
            </m:e>
            <m:sub>
              <m:r>
                <w:rPr>
                  <w:rFonts w:ascii="Cambria Math" w:hAnsi="Cambria Math" w:cs="Calibri"/>
                  <w:color w:val="000000" w:themeColor="text1"/>
                  <w:sz w:val="24"/>
                  <w:szCs w:val="24"/>
                </w:rPr>
                <m:t>state-month-year</m:t>
              </m:r>
            </m:sub>
          </m:sSub>
          <m:r>
            <w:rPr>
              <w:rFonts w:ascii="Cambria Math" w:hAnsi="Cambria Math" w:cs="Calibri"/>
              <w:color w:val="000000" w:themeColor="text1"/>
              <w:sz w:val="24"/>
              <w:szCs w:val="24"/>
            </w:rPr>
            <m:t xml:space="preserve"> . </m:t>
          </m:r>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population</m:t>
              </m:r>
            </m:e>
            <m:sub>
              <m:r>
                <w:rPr>
                  <w:rFonts w:ascii="Cambria Math" w:hAnsi="Cambria Math" w:cs="Calibri"/>
                  <w:color w:val="000000" w:themeColor="text1"/>
                  <w:sz w:val="24"/>
                  <w:szCs w:val="24"/>
                </w:rPr>
                <m:t>state-month-year</m:t>
              </m:r>
            </m:sub>
          </m:sSub>
          <m:r>
            <w:rPr>
              <w:rFonts w:ascii="Cambria Math" w:hAnsi="Cambria Math" w:cs="Calibri"/>
              <w:color w:val="000000" w:themeColor="text1"/>
              <w:sz w:val="24"/>
              <w:szCs w:val="24"/>
            </w:rPr>
            <m:t>)</m:t>
          </m:r>
        </m:oMath>
      </m:oMathPara>
    </w:p>
    <w:p w14:paraId="60A49D77" w14:textId="5026F1B1" w:rsidR="00CB5EEE" w:rsidRPr="000377CB" w:rsidRDefault="00CB5EEE" w:rsidP="00CB5EEE">
      <w:pPr>
        <w:spacing w:line="480" w:lineRule="auto"/>
        <w:jc w:val="both"/>
        <w:rPr>
          <w:rFonts w:cs="Calibri"/>
          <w:color w:val="000000" w:themeColor="text1"/>
          <w:sz w:val="24"/>
          <w:szCs w:val="24"/>
        </w:rPr>
      </w:pPr>
      <w:r w:rsidRPr="000377CB">
        <w:rPr>
          <w:rFonts w:cs="Calibri"/>
          <w:color w:val="000000" w:themeColor="text1"/>
          <w:sz w:val="24"/>
          <w:szCs w:val="24"/>
        </w:rPr>
        <w:t>with log-transformed death rates modelled as a sum of components that depend on location (state) of death, month of year, overall time (month and year) and temperature anomaly:</w:t>
      </w:r>
    </w:p>
    <w:p w14:paraId="1311BCBE" w14:textId="3C682660" w:rsidR="00CB5EEE" w:rsidRPr="003A4AB3" w:rsidRDefault="00CB5EEE" w:rsidP="003A4AB3">
      <w:pPr>
        <w:spacing w:line="240" w:lineRule="auto"/>
        <w:jc w:val="both"/>
        <w:rPr>
          <w:rFonts w:cs="Calibri"/>
          <w:color w:val="000000" w:themeColor="text1"/>
          <w:sz w:val="24"/>
          <w:szCs w:val="24"/>
        </w:rPr>
      </w:pPr>
      <m:oMathPara>
        <m:oMath>
          <m:func>
            <m:funcPr>
              <m:ctrlPr>
                <w:rPr>
                  <w:rFonts w:ascii="Cambria Math" w:hAnsi="Cambria Math" w:cs="Calibri"/>
                  <w:i/>
                  <w:color w:val="000000" w:themeColor="text1"/>
                  <w:sz w:val="24"/>
                  <w:szCs w:val="24"/>
                </w:rPr>
              </m:ctrlPr>
            </m:funcPr>
            <m:fName>
              <m:r>
                <m:rPr>
                  <m:sty m:val="p"/>
                </m:rPr>
                <w:rPr>
                  <w:rFonts w:ascii="Cambria Math" w:hAnsi="Cambria Math" w:cs="Calibri"/>
                  <w:color w:val="000000" w:themeColor="text1"/>
                  <w:sz w:val="24"/>
                  <w:szCs w:val="24"/>
                </w:rPr>
                <m:t>log</m:t>
              </m:r>
            </m:fName>
            <m:e>
              <m:d>
                <m:dPr>
                  <m:ctrlPr>
                    <w:rPr>
                      <w:rFonts w:ascii="Cambria Math" w:hAnsi="Cambria Math" w:cs="Calibri"/>
                      <w:i/>
                      <w:color w:val="000000" w:themeColor="text1"/>
                      <w:sz w:val="24"/>
                      <w:szCs w:val="24"/>
                    </w:rPr>
                  </m:ctrlPr>
                </m:dPr>
                <m:e>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death rate</m:t>
                      </m:r>
                    </m:e>
                    <m:sub>
                      <m:r>
                        <w:rPr>
                          <w:rFonts w:ascii="Cambria Math" w:hAnsi="Cambria Math" w:cs="Calibri"/>
                          <w:color w:val="000000" w:themeColor="text1"/>
                          <w:sz w:val="24"/>
                          <w:szCs w:val="24"/>
                        </w:rPr>
                        <m:t>state-month-year</m:t>
                      </m:r>
                    </m:sub>
                  </m:sSub>
                  <m:r>
                    <w:rPr>
                      <w:rFonts w:ascii="Cambria Math" w:hAnsi="Cambria Math" w:cs="Calibri"/>
                      <w:color w:val="000000" w:themeColor="text1"/>
                      <w:sz w:val="24"/>
                      <w:szCs w:val="24"/>
                    </w:rPr>
                    <m:t xml:space="preserve"> </m:t>
                  </m:r>
                </m:e>
              </m:d>
            </m:e>
          </m:func>
          <m:r>
            <m:rPr>
              <m:aln/>
            </m:rPr>
            <w:rPr>
              <w:rFonts w:ascii="Cambria Math" w:hAnsi="Cambria Math" w:cs="Calibri"/>
              <w:color w:val="000000" w:themeColor="text1"/>
              <w:sz w:val="24"/>
              <w:szCs w:val="24"/>
            </w:rPr>
            <m:t xml:space="preserve">= </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m:t>
              </m:r>
              <m:r>
                <w:rPr>
                  <w:rFonts w:ascii="Cambria Math" w:hAnsi="Cambria Math" w:cs="Calibri"/>
                  <w:color w:val="000000" w:themeColor="text1"/>
                  <w:sz w:val="24"/>
                  <w:szCs w:val="24"/>
                </w:rPr>
                <m:t>-</m:t>
              </m:r>
              <m:r>
                <w:rPr>
                  <w:rFonts w:ascii="Cambria Math" w:hAnsi="Cambria Math" w:cs="Calibri"/>
                  <w:sz w:val="24"/>
                  <w:szCs w:val="24"/>
                </w:rPr>
                <m:t>year</m:t>
              </m:r>
            </m:e>
          </m:d>
          <m:r>
            <m:rPr>
              <m:sty m:val="p"/>
              <m:aln/>
            </m:rPr>
            <w:rPr>
              <w:rFonts w:ascii="Cambria Math" w:hAnsi="Cambria Math" w:cs="Calibri"/>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ζ</m:t>
              </m:r>
            </m:e>
            <m:sub>
              <m:r>
                <w:rPr>
                  <w:rFonts w:ascii="Cambria Math" w:hAnsi="Cambria Math" w:cs="Calibri"/>
                  <w:color w:val="000000" w:themeColor="text1"/>
                  <w:sz w:val="24"/>
                  <w:szCs w:val="24"/>
                </w:rPr>
                <m:t>state-month</m:t>
              </m:r>
            </m:sub>
          </m:sSub>
          <m:r>
            <m:rPr>
              <m:aln/>
            </m:rPr>
            <w:rPr>
              <w:rFonts w:ascii="Cambria Math" w:hAnsi="Cambria Math" w:cs="Calibri"/>
              <w:color w:val="000000" w:themeColor="text1"/>
              <w:sz w:val="24"/>
              <w:szCs w:val="24"/>
            </w:rPr>
            <m:t xml:space="preserve">+ </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color w:val="000000" w:themeColor="text1"/>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state-month-year</m:t>
              </m:r>
            </m:sub>
          </m:sSub>
          <m:r>
            <m:rPr>
              <m:aln/>
            </m:rPr>
            <w:rPr>
              <w:rFonts w:ascii="Cambria Math" w:eastAsiaTheme="minorEastAsia" w:hAnsi="Cambria Math" w:cs="Calibri"/>
              <w:color w:val="FFFFFF" w:themeColor="background1"/>
              <w:sz w:val="24"/>
              <w:szCs w:val="24"/>
            </w:rPr>
            <m:t>+</m:t>
          </m:r>
        </m:oMath>
      </m:oMathPara>
    </w:p>
    <w:p w14:paraId="6AFF308A" w14:textId="3DFA8BED" w:rsidR="00CB5EEE" w:rsidRPr="003A4AB3" w:rsidRDefault="00CB5EEE" w:rsidP="003A4AB3">
      <w:pPr>
        <w:spacing w:line="480" w:lineRule="auto"/>
        <w:ind w:firstLine="720"/>
        <w:jc w:val="both"/>
        <w:rPr>
          <w:rFonts w:cs="Calibri"/>
          <w:sz w:val="24"/>
          <w:szCs w:val="24"/>
        </w:rPr>
      </w:pPr>
      <w:r w:rsidRPr="000377CB">
        <w:rPr>
          <w:rFonts w:cs="Calibri"/>
          <w:sz w:val="24"/>
          <w:szCs w:val="24"/>
        </w:rPr>
        <w:t xml:space="preserve">The model 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Pr="000377CB">
        <w:rPr>
          <w:rFonts w:eastAsiaTheme="minorEastAsia"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Pr="000377CB">
        <w:rPr>
          <w:rFonts w:eastAsiaTheme="minorEastAsia" w:cs="Calibri"/>
          <w:sz w:val="24"/>
          <w:szCs w:val="24"/>
        </w:rPr>
        <w:t xml:space="preserve"> the common time slope</w:t>
      </w:r>
      <w:r w:rsidRPr="000377CB">
        <w:rPr>
          <w:rFonts w:cs="Calibri"/>
          <w:sz w:val="24"/>
          <w:szCs w:val="24"/>
        </w:rPr>
        <w:t>.</w:t>
      </w:r>
      <w:r w:rsidRPr="000377CB">
        <w:rPr>
          <w:rFonts w:cs="Calibri"/>
          <w:color w:val="000000" w:themeColor="text1"/>
          <w:sz w:val="24"/>
          <w:szCs w:val="24"/>
        </w:rPr>
        <w:t xml:space="preserve"> Death rates also vary by month, which may be partly related to temperature and partly due to other factors, and tend to do so smoothly across adjacent months</w:t>
      </w:r>
      <w:r w:rsidR="009349B0">
        <w:rPr>
          <w:rFonts w:cs="Calibri"/>
          <w:color w:val="000000" w:themeColor="text1"/>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2018)","previouslyFormattedCitation":"&lt;sup&gt;11&lt;/sup&gt;"},"properties":{"noteIndex":0},"schema":"https://github.com/citation-style-language/schema/raw/master/csl-citation.json"}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(Parks et al., 2018)</w:t>
      </w:r>
      <w:r w:rsidRPr="000377CB">
        <w:rPr>
          <w:rFonts w:cs="Calibri"/>
          <w:color w:val="000000" w:themeColor="text1"/>
          <w:sz w:val="24"/>
          <w:szCs w:val="24"/>
        </w:rPr>
        <w:fldChar w:fldCharType="end"/>
      </w:r>
      <w:r w:rsidR="009349B0">
        <w:rPr>
          <w:rFonts w:cs="Calibri"/>
          <w:color w:val="000000" w:themeColor="text1"/>
          <w:sz w:val="24"/>
          <w:szCs w:val="24"/>
        </w:rPr>
        <w:t>.</w:t>
      </w:r>
      <w:r w:rsidRPr="000377CB">
        <w:rPr>
          <w:rFonts w:cs="Calibri"/>
          <w:color w:val="000000" w:themeColor="text1"/>
          <w:sz w:val="24"/>
          <w:szCs w:val="24"/>
        </w:rPr>
        <w:t xml:space="preserve"> Therefore, we allowed each month of the year to systematically have a different mortality level and trend, </w:t>
      </w:r>
      <w:r w:rsidRPr="000377CB">
        <w:rPr>
          <w:rFonts w:cs="Calibri"/>
          <w:sz w:val="24"/>
          <w:szCs w:val="24"/>
        </w:rPr>
        <w:t xml:space="preserve">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0377CB">
        <w:rPr>
          <w:rFonts w:eastAsiaTheme="minorEastAsia"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0377CB">
        <w:rPr>
          <w:rFonts w:eastAsiaTheme="minorEastAsia" w:cs="Calibri"/>
          <w:sz w:val="24"/>
          <w:szCs w:val="24"/>
        </w:rPr>
        <w:t xml:space="preserve"> the month-specific time slope</w:t>
      </w:r>
      <w:r w:rsidRPr="000377CB">
        <w:rPr>
          <w:rFonts w:cs="Calibri"/>
          <w:color w:val="000000" w:themeColor="text1"/>
          <w:sz w:val="24"/>
          <w:szCs w:val="24"/>
        </w:rPr>
        <w:t xml:space="preserve">. We used a random walk for the month terms to </w:t>
      </w:r>
      <w:r w:rsidRPr="000377CB">
        <w:rPr>
          <w:rFonts w:cs="Calibri"/>
          <w:color w:val="000000" w:themeColor="text1"/>
          <w:sz w:val="24"/>
          <w:szCs w:val="24"/>
        </w:rPr>
        <w:lastRenderedPageBreak/>
        <w:t>smooth the coefficients, widely used to characterise smoothly varying associations</w:t>
      </w:r>
      <w:r w:rsidRPr="000377CB">
        <w:rPr>
          <w:rFonts w:cs="Calibri"/>
          <w:sz w:val="24"/>
          <w:szCs w:val="24"/>
        </w:rPr>
        <w:t>.</w:t>
      </w:r>
      <w:r w:rsidRPr="000377CB">
        <w:rPr>
          <w:rFonts w:cs="Calibri"/>
          <w:sz w:val="24"/>
          <w:szCs w:val="24"/>
        </w:rPr>
        <w:fldChar w:fldCharType="begin" w:fldLock="1"/>
      </w:r>
      <w:r w:rsidRPr="000377CB">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2005)","previouslyFormattedCitation":"&lt;sup&gt;40&lt;/sup&gt;"},"properties":{"noteIndex":0},"schema":"https://github.com/citation-style-language/schema/raw/master/csl-citation.json"}</w:instrText>
      </w:r>
      <w:r w:rsidRPr="000377CB">
        <w:rPr>
          <w:rFonts w:cs="Calibri"/>
          <w:sz w:val="24"/>
          <w:szCs w:val="24"/>
        </w:rPr>
        <w:fldChar w:fldCharType="separate"/>
      </w:r>
      <w:r w:rsidRPr="000377CB">
        <w:rPr>
          <w:rFonts w:cs="Calibri"/>
          <w:noProof/>
          <w:sz w:val="24"/>
          <w:szCs w:val="24"/>
        </w:rPr>
        <w:t>(Rue &amp; Held, 2005)</w:t>
      </w:r>
      <w:r w:rsidRPr="000377CB">
        <w:rPr>
          <w:rFonts w:cs="Calibri"/>
          <w:sz w:val="24"/>
          <w:szCs w:val="24"/>
        </w:rPr>
        <w:fldChar w:fldCharType="end"/>
      </w:r>
      <w:r w:rsidRPr="000377CB">
        <w:rPr>
          <w:rFonts w:cs="Calibri"/>
          <w:color w:val="000000" w:themeColor="text1"/>
          <w:sz w:val="24"/>
          <w:szCs w:val="24"/>
        </w:rPr>
        <w:t xml:space="preserve"> The random walk had a cyclic structure, so that December was adjacent to January. </w:t>
      </w:r>
    </w:p>
    <w:p w14:paraId="1237E330" w14:textId="1FBB458F" w:rsidR="003A4AB3" w:rsidRDefault="00CB5EEE" w:rsidP="003A4AB3">
      <w:pPr>
        <w:spacing w:line="480" w:lineRule="auto"/>
        <w:ind w:firstLine="720"/>
        <w:jc w:val="both"/>
        <w:rPr>
          <w:rFonts w:cs="Calibri"/>
          <w:sz w:val="24"/>
          <w:szCs w:val="24"/>
        </w:rPr>
      </w:pPr>
      <w:r w:rsidRPr="000377CB">
        <w:rPr>
          <w:rFonts w:cs="Calibri"/>
          <w:color w:val="000000" w:themeColor="text1"/>
          <w:sz w:val="24"/>
          <w:szCs w:val="24"/>
        </w:rPr>
        <w:t xml:space="preserve">We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Pr="000377CB">
        <w:rPr>
          <w:rFonts w:eastAsiaTheme="minorEastAsia" w:cs="Calibri"/>
          <w:sz w:val="24"/>
          <w:szCs w:val="24"/>
        </w:rPr>
        <w:t xml:space="preserve"> as the state-specific intercept for log-transformed de</w:t>
      </w:r>
      <w:proofErr w:type="spellStart"/>
      <w:r w:rsidRPr="000377CB">
        <w:rPr>
          <w:rFonts w:eastAsiaTheme="minorEastAsia" w:cs="Calibri"/>
          <w:sz w:val="24"/>
          <w:szCs w:val="24"/>
        </w:rPr>
        <w:t>ath</w:t>
      </w:r>
      <w:proofErr w:type="spellEnd"/>
      <w:r w:rsidRPr="000377CB">
        <w:rPr>
          <w:rFonts w:eastAsiaTheme="minorEastAsia" w:cs="Calibri"/>
          <w:sz w:val="24"/>
          <w:szCs w:val="24"/>
        </w:rPr>
        <w:t xml:space="preserve">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Pr="000377CB">
        <w:rPr>
          <w:rFonts w:eastAsiaTheme="minorEastAsia" w:cs="Calibri"/>
          <w:sz w:val="24"/>
          <w:szCs w:val="24"/>
        </w:rPr>
        <w:t xml:space="preserve"> the state-specific time slope</w:t>
      </w:r>
      <w:r w:rsidRPr="000377CB">
        <w:rPr>
          <w:rFonts w:cs="Calibri"/>
          <w:color w:val="000000" w:themeColor="text1"/>
          <w:sz w:val="24"/>
          <w:szCs w:val="24"/>
        </w:rPr>
        <w:t xml:space="preserve">. These terms measure deviations of each state from national </w:t>
      </w:r>
      <w:proofErr w:type="gramStart"/>
      <w:r w:rsidRPr="000377CB">
        <w:rPr>
          <w:rFonts w:cs="Calibri"/>
          <w:color w:val="000000" w:themeColor="text1"/>
          <w:sz w:val="24"/>
          <w:szCs w:val="24"/>
        </w:rPr>
        <w:t>values, and</w:t>
      </w:r>
      <w:proofErr w:type="gramEnd"/>
      <w:r w:rsidRPr="000377CB">
        <w:rPr>
          <w:rFonts w:cs="Calibri"/>
          <w:color w:val="000000" w:themeColor="text1"/>
          <w:sz w:val="24"/>
          <w:szCs w:val="24"/>
        </w:rPr>
        <w:t xml:space="preserve"> allow variation in level and trend in mortality by state. In addition, death rates in neighbouring states may be more similar than in those further away, specified using a Conditional Autoregressive (CAR) spatial model</w:t>
      </w:r>
      <w:r w:rsidR="00D9577F">
        <w:rPr>
          <w:rFonts w:cs="Calibri"/>
          <w:color w:val="000000" w:themeColor="text1"/>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1974)","previouslyFormattedCitation":"&lt;sup&gt;41&lt;/sup&gt;"},"properties":{"noteIndex":0},"schema":"https://github.com/citation-style-language/schema/raw/master/csl-citation.json"}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(Besag, 1974)</w:t>
      </w:r>
      <w:r w:rsidRPr="000377CB">
        <w:rPr>
          <w:rFonts w:cs="Calibri"/>
          <w:color w:val="000000" w:themeColor="text1"/>
          <w:sz w:val="24"/>
          <w:szCs w:val="24"/>
        </w:rPr>
        <w:fldChar w:fldCharType="end"/>
      </w:r>
      <w:r w:rsidR="00D9577F">
        <w:rPr>
          <w:rFonts w:cs="Calibri"/>
          <w:color w:val="000000" w:themeColor="text1"/>
          <w:sz w:val="24"/>
          <w:szCs w:val="24"/>
        </w:rPr>
        <w:t>.</w:t>
      </w:r>
      <w:r w:rsidRPr="000377CB">
        <w:rPr>
          <w:rFonts w:cs="Calibri"/>
          <w:color w:val="000000" w:themeColor="text1"/>
          <w:sz w:val="24"/>
          <w:szCs w:val="24"/>
        </w:rPr>
        <w: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w:t>
      </w:r>
      <w:r w:rsidRPr="000377CB">
        <w:rPr>
          <w:rFonts w:cs="Calibri"/>
          <w:sz w:val="24"/>
          <w:szCs w:val="24"/>
        </w:rPr>
        <w:t xml:space="preserve"> We also included state-month interactions for intercepts and slopes (</w:t>
      </w:r>
      <m:oMath>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ζ</m:t>
            </m:r>
          </m:e>
          <m:sub>
            <m:r>
              <w:rPr>
                <w:rFonts w:ascii="Cambria Math" w:hAnsi="Cambria Math" w:cs="Calibri"/>
                <w:color w:val="000000" w:themeColor="text1"/>
                <w:sz w:val="24"/>
                <w:szCs w:val="24"/>
              </w:rPr>
              <m:t>state-month</m:t>
            </m:r>
          </m:sub>
        </m:sSub>
      </m:oMath>
      <w:r w:rsidRPr="000377CB">
        <w:rPr>
          <w:rFonts w:eastAsiaTheme="minorEastAsia" w:cs="Calibri"/>
          <w:color w:val="000000" w:themeColor="text1"/>
          <w:sz w:val="24"/>
          <w:szCs w:val="24"/>
        </w:rPr>
        <w:t>)</w:t>
      </w:r>
      <w:r w:rsidRPr="000377CB">
        <w:rPr>
          <w:rFonts w:cs="Calibri"/>
          <w:sz w:val="24"/>
          <w:szCs w:val="24"/>
        </w:rPr>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00D9577F">
        <w:rPr>
          <w:rFonts w:cs="Calibri"/>
          <w:sz w:val="24"/>
          <w:szCs w:val="24"/>
        </w:rPr>
        <w:t xml:space="preserve"> </w:t>
      </w:r>
      <w:r w:rsidRPr="000377CB">
        <w:rPr>
          <w:rFonts w:cs="Calibri"/>
          <w:sz w:val="24"/>
          <w:szCs w:val="24"/>
        </w:rPr>
        <w:fldChar w:fldCharType="begin" w:fldLock="1"/>
      </w:r>
      <w:r w:rsidRPr="000377CB">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2005)","previouslyFormattedCitation":"&lt;sup&gt;40&lt;/sup&gt;"},"properties":{"noteIndex":0},"schema":"https://github.com/citation-style-language/schema/raw/master/csl-citation.json"}</w:instrText>
      </w:r>
      <w:r w:rsidRPr="000377CB">
        <w:rPr>
          <w:rFonts w:cs="Calibri"/>
          <w:sz w:val="24"/>
          <w:szCs w:val="24"/>
        </w:rPr>
        <w:fldChar w:fldCharType="separate"/>
      </w:r>
      <w:r w:rsidRPr="000377CB">
        <w:rPr>
          <w:rFonts w:cs="Calibri"/>
          <w:noProof/>
          <w:sz w:val="24"/>
          <w:szCs w:val="24"/>
        </w:rPr>
        <w:t>(Rue &amp; Held, 2005)</w:t>
      </w:r>
      <w:r w:rsidRPr="000377CB">
        <w:rPr>
          <w:rFonts w:cs="Calibri"/>
          <w:sz w:val="24"/>
          <w:szCs w:val="24"/>
        </w:rPr>
        <w:fldChar w:fldCharType="end"/>
      </w:r>
      <w:r w:rsidR="00D9577F">
        <w:rPr>
          <w:rFonts w:cs="Calibri"/>
          <w:sz w:val="24"/>
          <w:szCs w:val="24"/>
        </w:rPr>
        <w:t xml:space="preserve">. </w:t>
      </w:r>
      <w:r w:rsidRPr="000377CB">
        <w:rPr>
          <w:rFonts w:cs="Calibri"/>
          <w:color w:val="000000" w:themeColor="text1"/>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w:r w:rsidRPr="000377CB">
        <w:rPr>
          <w:rFonts w:cs="Calibri"/>
          <w:color w:val="000000" w:themeColor="text1"/>
          <w:sz w:val="24"/>
          <w:szCs w:val="24"/>
          <w:lang w:val="en-US"/>
        </w:rPr>
        <w:t xml:space="preserve">) captured the variation unaccounted for by other terms in the model, modelled as </w:t>
      </w:r>
      <w:proofErr w:type="gramStart"/>
      <w:r w:rsidRPr="000377CB">
        <w:rPr>
          <w:rFonts w:cs="Calibri"/>
          <w:i/>
          <w:color w:val="000000" w:themeColor="text1"/>
          <w:sz w:val="24"/>
          <w:szCs w:val="24"/>
          <w:lang w:val="en-US"/>
        </w:rPr>
        <w:t>N</w:t>
      </w:r>
      <w:r w:rsidRPr="000377CB">
        <w:rPr>
          <w:rFonts w:cs="Calibri"/>
          <w:color w:val="000000" w:themeColor="text1"/>
          <w:sz w:val="24"/>
          <w:szCs w:val="24"/>
          <w:lang w:val="en-US"/>
        </w:rPr>
        <w:t>(</w:t>
      </w:r>
      <w:proofErr w:type="gramEnd"/>
      <w:r w:rsidRPr="000377CB">
        <w:rPr>
          <w:rFonts w:cs="Calibri"/>
          <w:color w:val="000000" w:themeColor="text1"/>
          <w:sz w:val="24"/>
          <w:szCs w:val="24"/>
          <w:lang w:val="en-US"/>
        </w:rPr>
        <w:t>0,</w:t>
      </w:r>
      <m:oMath>
        <m:sSubSup>
          <m:sSubSupPr>
            <m:ctrlPr>
              <w:rPr>
                <w:rFonts w:ascii="Cambria Math" w:hAnsi="Cambria Math" w:cs="Calibri"/>
                <w:i/>
                <w:color w:val="000000" w:themeColor="text1"/>
                <w:sz w:val="24"/>
                <w:szCs w:val="24"/>
                <w:lang w:val="en-US"/>
              </w:rPr>
            </m:ctrlPr>
          </m:sSubSupPr>
          <m:e>
            <m:r>
              <w:rPr>
                <w:rFonts w:ascii="Cambria Math" w:hAnsi="Cambria Math" w:cs="Calibri"/>
                <w:color w:val="000000" w:themeColor="text1"/>
                <w:sz w:val="24"/>
                <w:szCs w:val="24"/>
                <w:lang w:val="en-US"/>
              </w:rPr>
              <m:t>σ</m:t>
            </m:r>
          </m:e>
          <m:sub>
            <m:r>
              <w:rPr>
                <w:rFonts w:ascii="Cambria Math" w:hAnsi="Cambria Math" w:cs="Calibri"/>
                <w:color w:val="000000" w:themeColor="text1"/>
                <w:sz w:val="24"/>
                <w:szCs w:val="24"/>
                <w:lang w:val="en-US"/>
              </w:rPr>
              <m:t>ϵ</m:t>
            </m:r>
          </m:sub>
          <m:sup>
            <m:r>
              <w:rPr>
                <w:rFonts w:ascii="Cambria Math" w:hAnsi="Cambria Math" w:cs="Calibri"/>
                <w:color w:val="000000" w:themeColor="text1"/>
                <w:sz w:val="24"/>
                <w:szCs w:val="24"/>
                <w:lang w:val="en-US"/>
              </w:rPr>
              <m:t>2</m:t>
            </m:r>
          </m:sup>
        </m:sSubSup>
      </m:oMath>
      <w:r w:rsidRPr="000377CB">
        <w:rPr>
          <w:rFonts w:cs="Calibri"/>
          <w:color w:val="000000" w:themeColor="text1"/>
          <w:sz w:val="24"/>
          <w:szCs w:val="24"/>
          <w:lang w:val="en-US"/>
        </w:rPr>
        <w:t>).</w:t>
      </w:r>
      <w:r w:rsidR="003A4AB3">
        <w:rPr>
          <w:rFonts w:cs="Calibri"/>
          <w:sz w:val="24"/>
          <w:szCs w:val="24"/>
        </w:rPr>
        <w:tab/>
      </w:r>
    </w:p>
    <w:p w14:paraId="2A65D1F8" w14:textId="471BD7F0" w:rsidR="00CB5EEE" w:rsidRPr="003A4AB3" w:rsidRDefault="00CB5EEE" w:rsidP="003A4AB3">
      <w:pPr>
        <w:spacing w:line="480" w:lineRule="auto"/>
        <w:ind w:firstLine="720"/>
        <w:jc w:val="both"/>
        <w:rPr>
          <w:rFonts w:cs="Calibri"/>
          <w:sz w:val="24"/>
          <w:szCs w:val="24"/>
        </w:rPr>
      </w:pPr>
      <w:r w:rsidRPr="000377CB">
        <w:rPr>
          <w:rFonts w:cs="Calibri"/>
          <w:color w:val="000000" w:themeColor="text1"/>
          <w:sz w:val="24"/>
          <w:szCs w:val="24"/>
        </w:rPr>
        <w:t xml:space="preserve">Finally, we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oMath>
      <w:r w:rsidRPr="000377CB">
        <w:rPr>
          <w:rFonts w:cs="Calibri"/>
          <w:color w:val="000000" w:themeColor="text1"/>
          <w:sz w:val="24"/>
          <w:szCs w:val="24"/>
        </w:rPr>
        <w:t>. The</w:t>
      </w:r>
      <w:r w:rsidRPr="000377CB">
        <w:rPr>
          <w:rFonts w:cs="Calibri"/>
          <w:sz w:val="24"/>
          <w:szCs w:val="24"/>
        </w:rPr>
        <w:t xml:space="preserv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0377CB">
        <w:rPr>
          <w:rFonts w:eastAsiaTheme="minorEastAsia" w:cs="Calibri"/>
          <w:sz w:val="24"/>
          <w:szCs w:val="24"/>
        </w:rPr>
        <w:t xml:space="preserve"> </w:t>
      </w:r>
      <w:r w:rsidRPr="000377CB">
        <w:rPr>
          <w:rFonts w:cs="Calibri"/>
          <w:sz w:val="24"/>
          <w:szCs w:val="24"/>
        </w:rPr>
        <w:t>represent the logarithm of the rate ratio per 1°C increase in anomaly</w:t>
      </w:r>
      <w:r w:rsidRPr="000377CB">
        <w:rPr>
          <w:rFonts w:cs="Calibri"/>
          <w:color w:val="000000" w:themeColor="text1"/>
          <w:sz w:val="24"/>
          <w:szCs w:val="24"/>
        </w:rPr>
        <w:t xml:space="preserve">; there was a separate coefficient for each month which means that an anomaly of the same magnitude could have different associations with injury mortality in different months. As with the month-specific intercepts and trends, we used a cyclic random walk to smooth the coefficient of the </w:t>
      </w:r>
      <w:r w:rsidRPr="000377CB">
        <w:rPr>
          <w:rFonts w:cs="Calibri"/>
          <w:color w:val="000000" w:themeColor="text1"/>
          <w:sz w:val="24"/>
          <w:szCs w:val="24"/>
        </w:rPr>
        <w:lastRenderedPageBreak/>
        <w:t>temperature anomaly across months.</w:t>
      </w:r>
      <w:r w:rsidRPr="000377CB">
        <w:rPr>
          <w:rFonts w:cs="Calibri"/>
          <w:color w:val="000000" w:themeColor="text1"/>
          <w:sz w:val="24"/>
          <w:szCs w:val="24"/>
          <w:lang w:val="en-US"/>
        </w:rPr>
        <w:t xml:space="preserve"> We fitted the models using integrated nested Laplace approximation (INLA), using the R-INLA software, which offers orders of computational efficiency improvement in Bayesian inference compared to traditional MCMC for latent Gaussian models.</w:t>
      </w:r>
      <w:r w:rsidRPr="000377CB">
        <w:rPr>
          <w:rFonts w:cs="Calibri"/>
          <w:color w:val="000000" w:themeColor="text1"/>
          <w:sz w:val="24"/>
          <w:szCs w:val="24"/>
          <w:lang w:val="en-US"/>
        </w:rPr>
        <w:fldChar w:fldCharType="begin" w:fldLock="1"/>
      </w:r>
      <w:r w:rsidRPr="000377CB">
        <w:rPr>
          <w:rFonts w:cs="Calibri"/>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2009)","previouslyFormattedCitation":"&lt;sup&gt;42&lt;/sup&gt;"},"properties":{"noteIndex":0},"schema":"https://github.com/citation-style-language/schema/raw/master/csl-citation.json"}</w:instrText>
      </w:r>
      <w:r w:rsidRPr="000377CB">
        <w:rPr>
          <w:rFonts w:cs="Calibri"/>
          <w:color w:val="000000" w:themeColor="text1"/>
          <w:sz w:val="24"/>
          <w:szCs w:val="24"/>
          <w:lang w:val="en-US"/>
        </w:rPr>
        <w:fldChar w:fldCharType="separate"/>
      </w:r>
      <w:r w:rsidRPr="000377CB">
        <w:rPr>
          <w:rFonts w:cs="Calibri"/>
          <w:noProof/>
          <w:color w:val="000000" w:themeColor="text1"/>
          <w:sz w:val="24"/>
          <w:szCs w:val="24"/>
          <w:lang w:val="en-US"/>
        </w:rPr>
        <w:t>(Rue, Martino, &amp; Chopin, 2009)</w:t>
      </w:r>
      <w:r w:rsidRPr="000377CB">
        <w:rPr>
          <w:rFonts w:cs="Calibri"/>
          <w:color w:val="000000" w:themeColor="text1"/>
          <w:sz w:val="24"/>
          <w:szCs w:val="24"/>
          <w:lang w:val="en-US"/>
        </w:rPr>
        <w:fldChar w:fldCharType="end"/>
      </w:r>
    </w:p>
    <w:p w14:paraId="4CC115DC" w14:textId="6697A4DF" w:rsidR="00CB5EEE" w:rsidRPr="000377CB" w:rsidRDefault="00CB5EEE" w:rsidP="003A4AB3">
      <w:pPr>
        <w:spacing w:line="480" w:lineRule="auto"/>
        <w:ind w:firstLine="720"/>
        <w:jc w:val="both"/>
        <w:rPr>
          <w:rFonts w:cs="Calibri"/>
          <w:color w:val="000000" w:themeColor="text1"/>
          <w:sz w:val="24"/>
          <w:szCs w:val="24"/>
        </w:rPr>
      </w:pPr>
      <w:r w:rsidRPr="000377CB">
        <w:rPr>
          <w:rFonts w:cs="Calibri"/>
          <w:color w:val="000000" w:themeColor="text1"/>
          <w:sz w:val="24"/>
          <w:szCs w:val="24"/>
        </w:rPr>
        <w:t xml:space="preserve">We estimated the mortality impact of a national year-round temperature anomaly of 1°C in each month and state, </w:t>
      </w:r>
      <w:r w:rsidRPr="000377CB">
        <w:rPr>
          <w:rFonts w:cs="Calibri"/>
          <w:sz w:val="24"/>
          <w:szCs w:val="24"/>
        </w:rPr>
        <w:t>realistic in our lifetimes under current projections of global climate change</w:t>
      </w:r>
      <w:r w:rsidR="00D9577F">
        <w:rPr>
          <w:rFonts w:cs="Calibri"/>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(IPCC, 2018)</w:t>
      </w:r>
      <w:r w:rsidRPr="000377CB">
        <w:rPr>
          <w:rFonts w:cs="Calibri"/>
          <w:color w:val="000000" w:themeColor="text1"/>
          <w:sz w:val="24"/>
          <w:szCs w:val="24"/>
        </w:rPr>
        <w:fldChar w:fldCharType="end"/>
      </w:r>
      <w:r w:rsidR="00D9577F">
        <w:rPr>
          <w:rFonts w:cs="Calibri"/>
          <w:color w:val="000000" w:themeColor="text1"/>
          <w:sz w:val="24"/>
          <w:szCs w:val="24"/>
        </w:rPr>
        <w:t>,</w:t>
      </w:r>
      <w:r w:rsidRPr="000377CB">
        <w:rPr>
          <w:rFonts w:cs="Calibri"/>
          <w:color w:val="000000" w:themeColor="text1"/>
          <w:sz w:val="24"/>
          <w:szCs w:val="24"/>
        </w:rPr>
        <w:t xml:space="preserve"> as well as within the range of anomaly size experienced by some states (Figure 4).</w:t>
      </w:r>
      <w:r w:rsidRPr="000377CB">
        <w:rPr>
          <w:rFonts w:cs="Calibri"/>
          <w:sz w:val="24"/>
          <w:szCs w:val="24"/>
        </w:rPr>
        <w:t xml:space="preserve"> </w:t>
      </w:r>
      <w:r w:rsidRPr="000377CB">
        <w:rPr>
          <w:rFonts w:cs="Calibri"/>
          <w:color w:val="000000" w:themeColor="text1"/>
          <w:sz w:val="24"/>
          <w:szCs w:val="24"/>
        </w:rPr>
        <w:t>For this calculation, we multiplied the actual death counts for each month, sex, state and age group in 2016 by the corresponding excess relative risk, equivalent to the exponential of the coefficient of the temperature anomaly term from the above analysis.</w:t>
      </w:r>
    </w:p>
    <w:p w14:paraId="41AD82FF" w14:textId="77777777" w:rsidR="00CB5EEE" w:rsidRPr="000377CB" w:rsidRDefault="00CB5EEE" w:rsidP="003A4AB3">
      <w:pPr>
        <w:spacing w:line="480" w:lineRule="auto"/>
        <w:ind w:firstLine="720"/>
        <w:jc w:val="both"/>
        <w:rPr>
          <w:rFonts w:cs="Calibri"/>
          <w:color w:val="000000" w:themeColor="text1"/>
          <w:sz w:val="24"/>
          <w:szCs w:val="24"/>
        </w:rPr>
      </w:pPr>
      <w:r w:rsidRPr="000377CB">
        <w:rPr>
          <w:rFonts w:cs="Calibri"/>
          <w:color w:val="000000" w:themeColor="text1"/>
          <w:sz w:val="24"/>
          <w:szCs w:val="24"/>
        </w:rPr>
        <w:t>The uncertainty in our results were obtained from 5000 draws from the posterior marginal of each month’s excess relative risk. The reported 95% Credible Intervals (CrIs), quoted in brackets where appropriate, are the 2.5</w:t>
      </w:r>
      <w:r w:rsidRPr="000377CB">
        <w:rPr>
          <w:rFonts w:cs="Calibri"/>
          <w:color w:val="000000" w:themeColor="text1"/>
          <w:sz w:val="24"/>
          <w:szCs w:val="24"/>
          <w:vertAlign w:val="superscript"/>
        </w:rPr>
        <w:t>th</w:t>
      </w:r>
      <w:r w:rsidRPr="000377CB">
        <w:rPr>
          <w:rFonts w:cs="Calibri"/>
          <w:color w:val="000000" w:themeColor="text1"/>
          <w:sz w:val="24"/>
          <w:szCs w:val="24"/>
        </w:rPr>
        <w:t xml:space="preserve"> to 97.5</w:t>
      </w:r>
      <w:r w:rsidRPr="000377CB">
        <w:rPr>
          <w:rFonts w:cs="Calibri"/>
          <w:color w:val="000000" w:themeColor="text1"/>
          <w:sz w:val="24"/>
          <w:szCs w:val="24"/>
          <w:vertAlign w:val="superscript"/>
        </w:rPr>
        <w:t>th</w:t>
      </w:r>
      <w:r w:rsidRPr="000377CB">
        <w:rPr>
          <w:rFonts w:cs="Calibri"/>
          <w:color w:val="000000" w:themeColor="text1"/>
          <w:sz w:val="24"/>
          <w:szCs w:val="24"/>
        </w:rPr>
        <w:t xml:space="preserve"> percentiles of the sampled values.</w:t>
      </w:r>
    </w:p>
    <w:p w14:paraId="5BD03B91" w14:textId="77777777" w:rsidR="00CB5EEE" w:rsidRPr="000377CB" w:rsidRDefault="00CB5EEE" w:rsidP="003A4AB3">
      <w:pPr>
        <w:spacing w:line="480" w:lineRule="auto"/>
        <w:ind w:firstLine="720"/>
        <w:jc w:val="both"/>
        <w:rPr>
          <w:rFonts w:cs="Calibri"/>
          <w:sz w:val="24"/>
          <w:szCs w:val="24"/>
        </w:rPr>
      </w:pPr>
      <w:r w:rsidRPr="000377CB">
        <w:rPr>
          <w:rFonts w:cs="Calibri"/>
          <w:sz w:val="24"/>
          <w:szCs w:val="24"/>
        </w:rPr>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(Supplementary Table 2), and therefore we did not run models using these alternatives. </w:t>
      </w:r>
    </w:p>
    <w:p w14:paraId="74479BFD" w14:textId="77777777" w:rsidR="00CB5EEE" w:rsidRPr="000377CB" w:rsidRDefault="00CB5EEE" w:rsidP="00CB5EEE">
      <w:pPr>
        <w:spacing w:line="480" w:lineRule="auto"/>
        <w:jc w:val="both"/>
        <w:rPr>
          <w:rFonts w:cs="Calibri"/>
          <w:sz w:val="24"/>
          <w:szCs w:val="24"/>
        </w:rPr>
      </w:pPr>
      <w:r w:rsidRPr="000377CB">
        <w:rPr>
          <w:rFonts w:cs="Calibri"/>
          <w:sz w:val="24"/>
          <w:szCs w:val="24"/>
        </w:rPr>
        <w:lastRenderedPageBreak/>
        <w:t>Together with temperature anomaly based on daily mean temperatures, we also included a second measure of anomaly in the model. The additional measures were related to extreme anomalous temperature:</w:t>
      </w:r>
    </w:p>
    <w:p w14:paraId="7A381D03" w14:textId="6717BA7B" w:rsidR="00CB5EEE" w:rsidRPr="003A4AB3" w:rsidRDefault="00CB5EEE" w:rsidP="003A4AB3">
      <w:pPr>
        <w:pStyle w:val="ListParagraph"/>
        <w:numPr>
          <w:ilvl w:val="0"/>
          <w:numId w:val="43"/>
        </w:numPr>
        <w:spacing w:line="480" w:lineRule="auto"/>
        <w:jc w:val="both"/>
        <w:rPr>
          <w:rFonts w:cs="Calibri"/>
          <w:i/>
          <w:color w:val="000000" w:themeColor="text1"/>
          <w:sz w:val="24"/>
          <w:szCs w:val="24"/>
        </w:rPr>
      </w:pPr>
      <w:r w:rsidRPr="003A4AB3">
        <w:rPr>
          <w:rFonts w:cs="Calibri"/>
          <w:color w:val="000000" w:themeColor="text1"/>
          <w:sz w:val="24"/>
          <w:szCs w:val="24"/>
        </w:rPr>
        <w:t>temperature anomaly based on</w:t>
      </w:r>
      <w:r w:rsidRPr="003A4AB3" w:rsidDel="00F36612">
        <w:rPr>
          <w:rFonts w:cs="Calibri"/>
          <w:color w:val="000000" w:themeColor="text1"/>
          <w:sz w:val="24"/>
          <w:szCs w:val="24"/>
        </w:rPr>
        <w:t xml:space="preserve"> </w:t>
      </w:r>
      <w:r w:rsidRPr="003A4AB3">
        <w:rPr>
          <w:rFonts w:cs="Calibri"/>
          <w:color w:val="000000" w:themeColor="text1"/>
          <w:sz w:val="24"/>
          <w:szCs w:val="24"/>
        </w:rPr>
        <w:t>90</w:t>
      </w:r>
      <w:r w:rsidRPr="003A4AB3">
        <w:rPr>
          <w:rFonts w:cs="Calibri"/>
          <w:color w:val="000000" w:themeColor="text1"/>
          <w:sz w:val="24"/>
          <w:szCs w:val="24"/>
          <w:vertAlign w:val="superscript"/>
        </w:rPr>
        <w:t>th</w:t>
      </w:r>
      <w:r w:rsidRPr="003A4AB3">
        <w:rPr>
          <w:rFonts w:cs="Calibri"/>
          <w:color w:val="000000" w:themeColor="text1"/>
          <w:sz w:val="24"/>
          <w:szCs w:val="24"/>
        </w:rPr>
        <w:t xml:space="preserve"> percentile (°C) of daily mean temperatures within a month, compared to 30-year (long-term) norm of 90</w:t>
      </w:r>
      <w:r w:rsidRPr="003A4AB3">
        <w:rPr>
          <w:rFonts w:cs="Calibri"/>
          <w:color w:val="000000" w:themeColor="text1"/>
          <w:sz w:val="24"/>
          <w:szCs w:val="24"/>
          <w:vertAlign w:val="superscript"/>
        </w:rPr>
        <w:t>th</w:t>
      </w:r>
      <w:r w:rsidRPr="003A4AB3">
        <w:rPr>
          <w:rFonts w:cs="Calibri"/>
          <w:color w:val="000000" w:themeColor="text1"/>
          <w:sz w:val="24"/>
          <w:szCs w:val="24"/>
        </w:rPr>
        <w:t xml:space="preserve"> percentile for each state and month </w:t>
      </w:r>
    </w:p>
    <w:p w14:paraId="55BDEFB4" w14:textId="2C1064BC" w:rsidR="00CB5EEE" w:rsidRPr="003A4AB3" w:rsidRDefault="00CB5EEE" w:rsidP="003A4AB3">
      <w:pPr>
        <w:pStyle w:val="ListParagraph"/>
        <w:numPr>
          <w:ilvl w:val="0"/>
          <w:numId w:val="43"/>
        </w:numPr>
        <w:spacing w:line="480" w:lineRule="auto"/>
        <w:jc w:val="both"/>
        <w:rPr>
          <w:rFonts w:cs="Calibri"/>
          <w:i/>
          <w:color w:val="000000" w:themeColor="text1"/>
          <w:sz w:val="24"/>
          <w:szCs w:val="24"/>
        </w:rPr>
      </w:pPr>
      <w:r w:rsidRPr="003A4AB3">
        <w:rPr>
          <w:rFonts w:cs="Calibri"/>
          <w:sz w:val="24"/>
          <w:szCs w:val="24"/>
        </w:rPr>
        <w:t>number of days in a month above the long-term 90</w:t>
      </w:r>
      <w:r w:rsidRPr="003A4AB3">
        <w:rPr>
          <w:rFonts w:cs="Calibri"/>
          <w:sz w:val="24"/>
          <w:szCs w:val="24"/>
          <w:vertAlign w:val="superscript"/>
        </w:rPr>
        <w:t>th</w:t>
      </w:r>
      <w:r w:rsidRPr="003A4AB3">
        <w:rPr>
          <w:rFonts w:cs="Calibri"/>
          <w:sz w:val="24"/>
          <w:szCs w:val="24"/>
        </w:rPr>
        <w:t xml:space="preserve"> percentile of norm temperature (adjusted for length of month)</w:t>
      </w:r>
    </w:p>
    <w:p w14:paraId="72A1B0B8" w14:textId="77777777" w:rsidR="00CB5EEE" w:rsidRPr="003A4AB3" w:rsidRDefault="00CB5EEE" w:rsidP="003A4AB3">
      <w:pPr>
        <w:pStyle w:val="ListParagraph"/>
        <w:numPr>
          <w:ilvl w:val="0"/>
          <w:numId w:val="43"/>
        </w:numPr>
        <w:spacing w:line="480" w:lineRule="auto"/>
        <w:jc w:val="both"/>
        <w:rPr>
          <w:rFonts w:cs="Calibri"/>
          <w:i/>
          <w:color w:val="000000" w:themeColor="text1"/>
          <w:sz w:val="24"/>
          <w:szCs w:val="24"/>
        </w:rPr>
      </w:pPr>
      <w:r w:rsidRPr="003A4AB3">
        <w:rPr>
          <w:rFonts w:cs="Calibri"/>
          <w:sz w:val="24"/>
          <w:szCs w:val="24"/>
        </w:rPr>
        <w:t>number of 3+ day episodes above the long-term 90</w:t>
      </w:r>
      <w:r w:rsidRPr="003A4AB3">
        <w:rPr>
          <w:rFonts w:cs="Calibri"/>
          <w:sz w:val="24"/>
          <w:szCs w:val="24"/>
          <w:vertAlign w:val="superscript"/>
        </w:rPr>
        <w:t>th</w:t>
      </w:r>
      <w:r w:rsidRPr="003A4AB3">
        <w:rPr>
          <w:rFonts w:cs="Calibri"/>
          <w:sz w:val="24"/>
          <w:szCs w:val="24"/>
        </w:rPr>
        <w:t xml:space="preserve"> percentile of norm temperature (adjusted for length of month)</w:t>
      </w:r>
    </w:p>
    <w:p w14:paraId="0E6BA521" w14:textId="40056500" w:rsidR="00B971FF" w:rsidRPr="000377CB" w:rsidRDefault="00CB5EEE" w:rsidP="003A4AB3">
      <w:pPr>
        <w:spacing w:line="480" w:lineRule="auto"/>
        <w:ind w:firstLine="360"/>
        <w:jc w:val="both"/>
        <w:rPr>
          <w:rFonts w:cs="Calibri"/>
          <w:color w:val="000000" w:themeColor="text1"/>
          <w:sz w:val="24"/>
          <w:szCs w:val="24"/>
        </w:rPr>
      </w:pPr>
      <w:r w:rsidRPr="000377CB">
        <w:rPr>
          <w:rFonts w:cs="Calibri"/>
          <w:sz w:val="24"/>
          <w:szCs w:val="24"/>
        </w:rPr>
        <w:t>The correlations among the variables and anomaly based on mean were between 0.6 and 0.89 (Supplementary Table 3).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6C84221" w14:textId="3247A8DE" w:rsidR="00B971FF" w:rsidRPr="000377CB" w:rsidRDefault="00B971FF" w:rsidP="00E03939">
      <w:pPr>
        <w:spacing w:line="480" w:lineRule="auto"/>
        <w:ind w:firstLine="360"/>
        <w:jc w:val="both"/>
        <w:rPr>
          <w:rFonts w:cs="Calibri"/>
          <w:color w:val="000000" w:themeColor="text1"/>
          <w:sz w:val="24"/>
          <w:szCs w:val="24"/>
        </w:rPr>
      </w:pPr>
      <w:r w:rsidRPr="000377CB">
        <w:rPr>
          <w:rFonts w:cs="Calibri"/>
          <w:color w:val="000000" w:themeColor="text1"/>
          <w:sz w:val="24"/>
          <w:szCs w:val="24"/>
        </w:rPr>
        <w:t>We first defined a measure of anomalous temperature for each state and month compared to</w:t>
      </w:r>
      <w:r w:rsidRPr="000377CB">
        <w:rPr>
          <w:rFonts w:cs="Calibri"/>
          <w:sz w:val="24"/>
          <w:szCs w:val="24"/>
        </w:rPr>
        <w:t xml:space="preserve"> long-term norm temperature of the state in that month (Figure 3)</w:t>
      </w:r>
      <w:r w:rsidRPr="000377CB">
        <w:rPr>
          <w:rFonts w:cs="Calibri"/>
          <w:color w:val="000000" w:themeColor="text1"/>
          <w:sz w:val="24"/>
          <w:szCs w:val="24"/>
        </w:rPr>
        <w:t>. 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0377CB">
        <w:rPr>
          <w:rFonts w:cs="Calibri"/>
          <w:bCs/>
          <w:color w:val="000000" w:themeColor="text1"/>
          <w:sz w:val="24"/>
          <w:szCs w:val="24"/>
        </w:rPr>
        <w:t>°C</w:t>
      </w:r>
      <w:r w:rsidRPr="000377CB">
        <w:rPr>
          <w:rFonts w:cs="Calibri"/>
          <w:color w:val="000000" w:themeColor="text1"/>
          <w:sz w:val="24"/>
          <w:szCs w:val="24"/>
        </w:rPr>
        <w:t xml:space="preserve"> for Florida in September, to 3.4</w:t>
      </w:r>
      <w:r w:rsidRPr="000377CB">
        <w:rPr>
          <w:rFonts w:cs="Calibri"/>
          <w:bCs/>
          <w:color w:val="000000" w:themeColor="text1"/>
          <w:sz w:val="24"/>
          <w:szCs w:val="24"/>
        </w:rPr>
        <w:t>°C</w:t>
      </w:r>
      <w:r w:rsidRPr="000377CB">
        <w:rPr>
          <w:rFonts w:cs="Calibri"/>
          <w:color w:val="000000" w:themeColor="text1"/>
          <w:sz w:val="24"/>
          <w:szCs w:val="24"/>
        </w:rPr>
        <w:t xml:space="preserve"> for North Dakota in February (Figure 4). The average size of anomaly had </w:t>
      </w:r>
      <w:r w:rsidRPr="000377CB">
        <w:rPr>
          <w:rFonts w:cs="Calibri"/>
          <w:color w:val="000000" w:themeColor="text1"/>
          <w:sz w:val="24"/>
          <w:szCs w:val="24"/>
        </w:rPr>
        <w:lastRenderedPageBreak/>
        <w:t>a median value of 1.2</w:t>
      </w:r>
      <w:r w:rsidRPr="000377CB">
        <w:rPr>
          <w:rFonts w:cs="Calibri"/>
          <w:bCs/>
          <w:color w:val="000000" w:themeColor="text1"/>
          <w:sz w:val="24"/>
          <w:szCs w:val="24"/>
        </w:rPr>
        <w:t xml:space="preserve">°C across all states and months, with 27% less than 1°C and 90% less than </w:t>
      </w:r>
      <w:r w:rsidRPr="000377CB">
        <w:rPr>
          <w:rFonts w:cs="Calibri"/>
          <w:color w:val="000000" w:themeColor="text1"/>
          <w:sz w:val="24"/>
          <w:szCs w:val="24"/>
        </w:rPr>
        <w:t>2</w:t>
      </w:r>
      <w:r w:rsidRPr="000377CB">
        <w:rPr>
          <w:rFonts w:cs="Calibri"/>
          <w:bCs/>
          <w:color w:val="000000" w:themeColor="text1"/>
          <w:sz w:val="24"/>
          <w:szCs w:val="24"/>
        </w:rPr>
        <w:t>°C (Figure 4)</w:t>
      </w:r>
      <w:r w:rsidRPr="000377CB">
        <w:rPr>
          <w:rFonts w:cs="Calibri"/>
          <w:color w:val="000000" w:themeColor="text1"/>
          <w:sz w:val="24"/>
          <w:szCs w:val="24"/>
        </w:rPr>
        <w:t>. Temperature anomalies were largest in January and December and smallest in August and September. They were larger in northern and central states than in southern and coastal ones.</w:t>
      </w:r>
    </w:p>
    <w:p w14:paraId="7B9DF3D4" w14:textId="77777777" w:rsidR="00B971FF" w:rsidRPr="000377CB" w:rsidRDefault="00B971FF" w:rsidP="00E03939">
      <w:pPr>
        <w:spacing w:line="480" w:lineRule="auto"/>
        <w:ind w:firstLine="360"/>
        <w:jc w:val="both"/>
        <w:rPr>
          <w:rFonts w:cs="Calibri"/>
          <w:sz w:val="24"/>
          <w:szCs w:val="24"/>
        </w:rPr>
      </w:pPr>
      <w:r w:rsidRPr="000377CB">
        <w:rPr>
          <w:rFonts w:cs="Calibri"/>
          <w:color w:val="000000" w:themeColor="text1"/>
          <w:sz w:val="24"/>
          <w:szCs w:val="24"/>
        </w:rPr>
        <w:t>We then analysed the association of monthly injury death rates with anomalous temperature using a Bayesian spatio-temporal model,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 Analyses were done separately by injury type, sex and age group. We used the resultant risk estimates and the age-sex-specific death rates from each injury in 2016, to calculate additional deaths if each month in each state were +1</w:t>
      </w:r>
      <w:r w:rsidRPr="000377CB">
        <w:rPr>
          <w:rFonts w:eastAsia="Times New Roman" w:cs="Calibri"/>
          <w:bCs/>
          <w:color w:val="222222"/>
          <w:sz w:val="24"/>
          <w:szCs w:val="24"/>
          <w:shd w:val="clear" w:color="auto" w:fill="FFFFFF"/>
        </w:rPr>
        <w:t>°</w:t>
      </w:r>
      <w:r w:rsidRPr="000377CB">
        <w:rPr>
          <w:rFonts w:cs="Calibri"/>
          <w:color w:val="000000" w:themeColor="text1"/>
          <w:sz w:val="24"/>
          <w:szCs w:val="24"/>
        </w:rPr>
        <w:t>C above its long-term norm, by type of injury, sex, age group, state and month.</w:t>
      </w:r>
      <w:r w:rsidRPr="000377CB">
        <w:rPr>
          <w:rFonts w:cs="Calibri"/>
          <w:sz w:val="24"/>
          <w:szCs w:val="24"/>
        </w:rPr>
        <w:t xml:space="preserve"> </w:t>
      </w:r>
    </w:p>
    <w:p w14:paraId="75A0185A" w14:textId="5F73751F" w:rsidR="00B971FF" w:rsidRDefault="002A14D7" w:rsidP="002A14D7">
      <w:pPr>
        <w:pStyle w:val="Heading2"/>
      </w:pPr>
      <w:bookmarkStart w:id="12" w:name="_Toc6171731"/>
      <w:r>
        <w:t>Results</w:t>
      </w:r>
      <w:bookmarkEnd w:id="12"/>
    </w:p>
    <w:p w14:paraId="7CAC7D87" w14:textId="77777777" w:rsidR="006851BD" w:rsidRPr="000377CB" w:rsidRDefault="006851BD" w:rsidP="006851BD">
      <w:pPr>
        <w:spacing w:line="480" w:lineRule="auto"/>
        <w:ind w:firstLine="720"/>
        <w:jc w:val="both"/>
        <w:rPr>
          <w:rFonts w:cs="Calibri"/>
          <w:sz w:val="24"/>
          <w:szCs w:val="24"/>
        </w:rPr>
      </w:pPr>
      <w:r w:rsidRPr="000377CB">
        <w:rPr>
          <w:rFonts w:cs="Calibri"/>
          <w:color w:val="000000" w:themeColor="text1"/>
          <w:sz w:val="24"/>
          <w:szCs w:val="24"/>
        </w:rPr>
        <w:t xml:space="preserve">Injuries from transport, falls, drownings, assault, and intentional self-harm accounted for 79.0% of injury deaths in males and 72.1% in females. The remainder were from a heterogeneous group of “other unintentional injuries” (Figure 1), within which </w:t>
      </w:r>
      <w:r w:rsidRPr="000377CB">
        <w:rPr>
          <w:rFonts w:cs="Calibri"/>
          <w:sz w:val="24"/>
          <w:szCs w:val="24"/>
        </w:rPr>
        <w:t xml:space="preserve">the type of injury that led to death varied by sex and age group.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p>
    <w:p w14:paraId="0058AA2B" w14:textId="77777777" w:rsidR="006851BD" w:rsidRPr="000377CB" w:rsidRDefault="006851BD" w:rsidP="006851BD">
      <w:pPr>
        <w:spacing w:line="480" w:lineRule="auto"/>
        <w:ind w:firstLine="720"/>
        <w:jc w:val="both"/>
        <w:rPr>
          <w:rFonts w:cs="Calibri"/>
          <w:sz w:val="24"/>
          <w:szCs w:val="24"/>
        </w:rPr>
      </w:pPr>
      <w:r w:rsidRPr="000377CB">
        <w:rPr>
          <w:rFonts w:cs="Calibri"/>
          <w:sz w:val="24"/>
          <w:szCs w:val="24"/>
        </w:rPr>
        <w:t xml:space="preserve">There was a decline in age-standardised death rates of three out of five major injuries (transport, drownings and assault) from 1980 to 2016 (Figure 2). In contrast, age-standardised </w:t>
      </w:r>
      <w:r w:rsidRPr="000377CB">
        <w:rPr>
          <w:rFonts w:cs="Calibri"/>
          <w:sz w:val="24"/>
          <w:szCs w:val="24"/>
        </w:rPr>
        <w:lastRenderedPageBreak/>
        <w:t>death rates from falls increased over time while those from intentional self-harm initially decreased followed by an increase to surpass 1980 levels. The largest overall decline over time was for transport deaths, which declined by over 50% from 1980 to 2016. Age-standardised death rates for transport and drownings peaked in summer months but deaths from other major injuries did not have clear seasonal patterns.</w:t>
      </w:r>
    </w:p>
    <w:p w14:paraId="6B6118D3" w14:textId="4F7A0414" w:rsidR="006851BD" w:rsidRPr="006851BD" w:rsidRDefault="006851BD" w:rsidP="006851BD">
      <w:pPr>
        <w:spacing w:line="480" w:lineRule="auto"/>
        <w:ind w:firstLine="720"/>
        <w:jc w:val="both"/>
        <w:rPr>
          <w:rFonts w:cs="Calibri"/>
          <w:color w:val="000000" w:themeColor="text1"/>
          <w:sz w:val="24"/>
          <w:szCs w:val="24"/>
        </w:rPr>
      </w:pPr>
      <w:r w:rsidRPr="000377CB">
        <w:rPr>
          <w:rFonts w:cs="Calibri"/>
          <w:color w:val="000000" w:themeColor="text1"/>
          <w:sz w:val="24"/>
          <w:szCs w:val="24"/>
        </w:rPr>
        <w:t>With few exceptions</w:t>
      </w:r>
      <w:r w:rsidR="00C57B46">
        <w:rPr>
          <w:rFonts w:cs="Calibri"/>
          <w:color w:val="000000" w:themeColor="text1"/>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Mexico","type":"article-journal"},"uris":["http://www.mendeley.com/documents/?uuid=6dbd0985-7ffc-4604-9986-7c871ffae9a7"]}],"mendeley":{"formattedCitation":"(Burke et al., 2018; Shi, Kloog, Zanobetti, Liu, &amp; Schwartz, 2015)","plainTextFormattedCitation":"(Burke et al., 2018; Shi, Kloog, Zanobetti, Liu, &amp; Schwartz, 2015)","previouslyFormattedCitation":"&lt;sup&gt;8,13&lt;/sup&gt;"},"properties":{"noteIndex":0},"schema":"https://github.com/citation-style-language/schema/raw/master/csl-citation.json"}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(Burke et al., 2018; Shi, Kloog, Zanobetti, Liu, &amp; Schwartz, 2015)</w:t>
      </w:r>
      <w:r w:rsidRPr="000377CB">
        <w:rPr>
          <w:rFonts w:cs="Calibri"/>
          <w:color w:val="000000" w:themeColor="text1"/>
          <w:sz w:val="24"/>
          <w:szCs w:val="24"/>
        </w:rPr>
        <w:fldChar w:fldCharType="end"/>
      </w:r>
      <w:r w:rsidR="00C57B46">
        <w:rPr>
          <w:rFonts w:cs="Calibri"/>
          <w:color w:val="000000" w:themeColor="text1"/>
          <w:sz w:val="24"/>
          <w:szCs w:val="24"/>
        </w:rPr>
        <w:t>,</w:t>
      </w:r>
      <w:r w:rsidRPr="000377CB">
        <w:rPr>
          <w:rFonts w:cs="Calibri"/>
          <w:color w:val="000000" w:themeColor="text1"/>
          <w:sz w:val="24"/>
          <w:szCs w:val="24"/>
        </w:rPr>
        <w:t xml:space="preserve"> current climate change risk assessments typically extrapolate from changes in mortality in relation to daily temperature</w:t>
      </w:r>
      <w:r w:rsidR="00C57B46">
        <w:rPr>
          <w:rFonts w:cs="Calibri"/>
          <w:color w:val="000000" w:themeColor="text1"/>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Gasparrini et al., 2015, 2017; Huang et al., 2011; Ye et al., 2012)","plainTextFormattedCitation":"(Basu, 2009; Gasparrini et al., 2015, 2017; Huang et al., 2011; Ye et al., 2012)","previouslyFormattedCitation":"&lt;sup&gt;1,4,5,14,15&lt;/sup&gt;"},"properties":{"noteIndex":0},"schema":"https://github.com/citation-style-language/schema/raw/master/csl-citation.json"}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(Basu, 2009; Gasparrini et al., 2015, 2017; Huang et al., 2011; Ye et al., 2012)</w:t>
      </w:r>
      <w:r w:rsidRPr="000377CB">
        <w:rPr>
          <w:rFonts w:cs="Calibri"/>
          <w:color w:val="000000" w:themeColor="text1"/>
          <w:sz w:val="24"/>
          <w:szCs w:val="24"/>
        </w:rPr>
        <w:fldChar w:fldCharType="end"/>
      </w:r>
      <w:r w:rsidR="00C57B46">
        <w:rPr>
          <w:rFonts w:cs="Calibri"/>
          <w:color w:val="000000" w:themeColor="text1"/>
          <w:sz w:val="24"/>
          <w:szCs w:val="24"/>
        </w:rPr>
        <w:t>.</w:t>
      </w:r>
      <w:r w:rsidRPr="000377CB">
        <w:rPr>
          <w:rFonts w:cs="Calibri"/>
          <w:color w:val="000000" w:themeColor="text1"/>
          <w:sz w:val="24"/>
          <w:szCs w:val="24"/>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t>
      </w:r>
    </w:p>
    <w:p w14:paraId="19D33D24" w14:textId="77777777" w:rsidR="00B971FF" w:rsidRPr="000377CB" w:rsidRDefault="00B971FF" w:rsidP="002A14D7">
      <w:pPr>
        <w:spacing w:line="480" w:lineRule="auto"/>
        <w:ind w:firstLine="720"/>
        <w:jc w:val="both"/>
        <w:rPr>
          <w:rFonts w:cs="Calibri"/>
          <w:sz w:val="24"/>
          <w:szCs w:val="24"/>
        </w:rPr>
      </w:pPr>
      <w:r w:rsidRPr="006851BD">
        <w:rPr>
          <w:rFonts w:cs="Calibri"/>
          <w:sz w:val="24"/>
          <w:szCs w:val="24"/>
          <w:highlight w:val="yellow"/>
        </w:rPr>
        <w:t>Based on these calculations</w:t>
      </w:r>
      <w:r w:rsidRPr="000377CB">
        <w:rPr>
          <w:rFonts w:cs="Calibri"/>
          <w:sz w:val="24"/>
          <w:szCs w:val="24"/>
        </w:rPr>
        <w:t xml:space="preserve">, there would be an estimated 941 (95% </w:t>
      </w:r>
      <w:proofErr w:type="spellStart"/>
      <w:r w:rsidRPr="000377CB">
        <w:rPr>
          <w:rFonts w:cs="Calibri"/>
          <w:sz w:val="24"/>
          <w:szCs w:val="24"/>
        </w:rPr>
        <w:t>CrI</w:t>
      </w:r>
      <w:proofErr w:type="spellEnd"/>
      <w:r w:rsidRPr="000377CB">
        <w:rPr>
          <w:rFonts w:cs="Calibri"/>
          <w:sz w:val="24"/>
          <w:szCs w:val="24"/>
        </w:rPr>
        <w:t xml:space="preserve"> 831, 1,053) excess injury deaths, equivalent to 0.47% of all injury deaths in 2016,</w:t>
      </w:r>
      <w:r w:rsidRPr="000377CB">
        <w:rPr>
          <w:rFonts w:cs="Calibri"/>
          <w:color w:val="000000" w:themeColor="text1"/>
          <w:sz w:val="24"/>
          <w:szCs w:val="24"/>
        </w:rPr>
        <w:t xml:space="preserve"> if each month in each state were +1</w:t>
      </w:r>
      <w:r w:rsidRPr="000377CB">
        <w:rPr>
          <w:rFonts w:eastAsia="Times New Roman" w:cs="Calibri"/>
          <w:bCs/>
          <w:color w:val="222222"/>
          <w:sz w:val="24"/>
          <w:szCs w:val="24"/>
          <w:shd w:val="clear" w:color="auto" w:fill="FFFFFF"/>
        </w:rPr>
        <w:t>°</w:t>
      </w:r>
      <w:r w:rsidRPr="000377CB">
        <w:rPr>
          <w:rFonts w:cs="Calibri"/>
          <w:color w:val="000000" w:themeColor="text1"/>
          <w:sz w:val="24"/>
          <w:szCs w:val="24"/>
        </w:rPr>
        <w:t>C above its long-term norm</w:t>
      </w:r>
      <w:r w:rsidRPr="000377CB">
        <w:rPr>
          <w:rFonts w:cs="Calibri"/>
          <w:sz w:val="24"/>
          <w:szCs w:val="24"/>
        </w:rPr>
        <w:t xml:space="preserve"> (Figure 5). Deaths from drowning, transport, assault and intentional self-harm would be predicted to increase, partly offset by a decline in deaths from falls in middle and older ages and in winter months (Figure 5). Most excess deaths would be from transport injuries (448) followed by intentional self-harm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6295434D" w14:textId="0FDEAAA9" w:rsidR="00B971FF" w:rsidRDefault="00B971FF" w:rsidP="002A14D7">
      <w:pPr>
        <w:spacing w:line="480" w:lineRule="auto"/>
        <w:ind w:firstLine="720"/>
        <w:jc w:val="both"/>
        <w:rPr>
          <w:rFonts w:cs="Calibri"/>
          <w:sz w:val="24"/>
          <w:szCs w:val="24"/>
        </w:rPr>
      </w:pPr>
      <w:r w:rsidRPr="000377CB">
        <w:rPr>
          <w:rFonts w:cs="Calibri"/>
          <w:sz w:val="24"/>
          <w:szCs w:val="24"/>
        </w:rPr>
        <w:lastRenderedPageBreak/>
        <w:t xml:space="preserve">Proportionally, deaths from drownings are predicted to increase more than those of other injury types, by as much 8.3% (7.3, 9.3) in men aged 15-24 years (Supplementary Figure 1); the smallest proportional increase was that of assault and intentional self-harm (less than 2% in all age and sex groups). There was a larger percent increase in transport deaths for males than for females, especially in young and middle-ages (~e.g., </w:t>
      </w:r>
      <w:r w:rsidRPr="000377CB">
        <w:rPr>
          <w:rFonts w:eastAsia="Times New Roman" w:cs="Calibri"/>
          <w:color w:val="000000"/>
          <w:sz w:val="24"/>
          <w:szCs w:val="24"/>
        </w:rPr>
        <w:t>1.25% (0.90, 1.60)</w:t>
      </w:r>
      <w:r w:rsidRPr="000377CB">
        <w:rPr>
          <w:rFonts w:cs="Calibri"/>
          <w:sz w:val="24"/>
          <w:szCs w:val="24"/>
        </w:rPr>
        <w:t xml:space="preserve"> for </w:t>
      </w:r>
      <w:proofErr w:type="gramStart"/>
      <w:r w:rsidRPr="000377CB">
        <w:rPr>
          <w:rFonts w:cs="Calibri"/>
          <w:sz w:val="24"/>
          <w:szCs w:val="24"/>
        </w:rPr>
        <w:t>25-34 year old</w:t>
      </w:r>
      <w:proofErr w:type="gramEnd"/>
      <w:r w:rsidRPr="000377CB">
        <w:rPr>
          <w:rFonts w:cs="Calibri"/>
          <w:sz w:val="24"/>
          <w:szCs w:val="24"/>
        </w:rPr>
        <w:t xml:space="preserve"> men versus 0.23% (-0.28, 0.76) for women of the same age) (Supplementary Figure 1).</w:t>
      </w:r>
    </w:p>
    <w:p w14:paraId="6C45DB60" w14:textId="7648F00D" w:rsidR="000732F9" w:rsidRPr="000377CB" w:rsidRDefault="000732F9" w:rsidP="000732F9">
      <w:pPr>
        <w:pStyle w:val="Heading2"/>
        <w:rPr>
          <w:rFonts w:ascii="Calibri" w:hAnsi="Calibri"/>
        </w:rPr>
      </w:pPr>
      <w:bookmarkStart w:id="13" w:name="_Toc6171732"/>
      <w:r>
        <w:t>Discussion</w:t>
      </w:r>
      <w:bookmarkEnd w:id="13"/>
    </w:p>
    <w:p w14:paraId="2C33E344" w14:textId="6BDFACBD" w:rsidR="00B971FF" w:rsidRPr="000377CB" w:rsidRDefault="00B971FF" w:rsidP="002A14D7">
      <w:pPr>
        <w:spacing w:line="480" w:lineRule="auto"/>
        <w:ind w:firstLine="720"/>
        <w:jc w:val="both"/>
        <w:rPr>
          <w:rFonts w:cs="Calibri"/>
          <w:sz w:val="24"/>
          <w:szCs w:val="24"/>
        </w:rPr>
      </w:pPr>
      <w:r w:rsidRPr="000377CB">
        <w:rPr>
          <w:rFonts w:cs="Calibri"/>
          <w:sz w:val="24"/>
          <w:szCs w:val="24"/>
        </w:rP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 w:val="24"/>
          <w:szCs w:val="24"/>
          <w:shd w:val="clear" w:color="auto" w:fill="FFFFFF"/>
        </w:rPr>
        <w:t>1</w:t>
      </w:r>
      <w:r w:rsidRPr="000377CB">
        <w:rPr>
          <w:rFonts w:cs="Calibri"/>
          <w:bCs/>
          <w:color w:val="000000" w:themeColor="text1"/>
          <w:sz w:val="24"/>
          <w:szCs w:val="24"/>
        </w:rPr>
        <w:t>°C higher monthly temperature would lead to a 0.7% rise in suicides</w:t>
      </w:r>
      <w:r w:rsidR="00A75829">
        <w:rPr>
          <w:rFonts w:cs="Calibri"/>
          <w:bCs/>
          <w:color w:val="000000" w:themeColor="text1"/>
          <w:sz w:val="24"/>
          <w:szCs w:val="24"/>
        </w:rPr>
        <w:t xml:space="preserve"> </w:t>
      </w:r>
      <w:r w:rsidRPr="000377CB">
        <w:rPr>
          <w:rFonts w:cs="Calibri"/>
          <w:bCs/>
          <w:color w:val="000000" w:themeColor="text1"/>
          <w:sz w:val="24"/>
          <w:szCs w:val="24"/>
        </w:rPr>
        <w:fldChar w:fldCharType="begin" w:fldLock="1"/>
      </w:r>
      <w:r w:rsidR="0001634A" w:rsidRPr="000377CB">
        <w:rPr>
          <w:rFonts w:cs="Calibri"/>
          <w:bCs/>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2018)","previouslyFormattedCitation":"&lt;sup&gt;8&lt;/sup&gt;"},"properties":{"noteIndex":0},"schema":"https://github.com/citation-style-language/schema/raw/master/csl-citation.json"}</w:instrText>
      </w:r>
      <w:r w:rsidRPr="000377CB">
        <w:rPr>
          <w:rFonts w:cs="Calibri"/>
          <w:bCs/>
          <w:color w:val="000000" w:themeColor="text1"/>
          <w:sz w:val="24"/>
          <w:szCs w:val="24"/>
        </w:rPr>
        <w:fldChar w:fldCharType="separate"/>
      </w:r>
      <w:r w:rsidR="0001634A" w:rsidRPr="000377CB">
        <w:rPr>
          <w:rFonts w:cs="Calibri"/>
          <w:bCs/>
          <w:noProof/>
          <w:color w:val="000000" w:themeColor="text1"/>
          <w:sz w:val="24"/>
          <w:szCs w:val="24"/>
        </w:rPr>
        <w:t>(Burke et al., 2018)</w:t>
      </w:r>
      <w:r w:rsidRPr="000377CB">
        <w:rPr>
          <w:rFonts w:cs="Calibri"/>
          <w:bCs/>
          <w:color w:val="000000" w:themeColor="text1"/>
          <w:sz w:val="24"/>
          <w:szCs w:val="24"/>
        </w:rPr>
        <w:fldChar w:fldCharType="end"/>
      </w:r>
      <w:r w:rsidR="00A75829">
        <w:rPr>
          <w:rFonts w:cs="Calibri"/>
          <w:bCs/>
          <w:color w:val="000000" w:themeColor="text1"/>
          <w:sz w:val="24"/>
          <w:szCs w:val="24"/>
        </w:rPr>
        <w:t>,</w:t>
      </w:r>
      <w:r w:rsidRPr="000377CB">
        <w:rPr>
          <w:rFonts w:cs="Calibri"/>
          <w:bCs/>
          <w:color w:val="000000" w:themeColor="text1"/>
          <w:sz w:val="24"/>
          <w:szCs w:val="24"/>
        </w:rPr>
        <w:t xml:space="preserve"> compared to our findings of 0.44-1% in males and 0.39-1.47% in females in different ages. </w:t>
      </w:r>
      <w:r w:rsidRPr="000377CB">
        <w:rPr>
          <w:rFonts w:cs="Calibri"/>
          <w:sz w:val="24"/>
          <w:szCs w:val="24"/>
        </w:rPr>
        <w:t>In a study of six French heatwaves during 1971-2003, mortality from unintentional injuries rose by up to 4% during a heatwave period compared to a non-heatwave baseline</w:t>
      </w:r>
      <w:r w:rsidR="00A75829">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2007)","previouslyFormattedCitation":"&lt;sup&gt;9&lt;/sup&gt;"},"properties":{"noteIndex":0},"schema":"https://github.com/citation-style-language/schema/raw/master/csl-citation.json"}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(Rey et al., 2007)</w:t>
      </w:r>
      <w:r w:rsidRPr="000377CB">
        <w:rPr>
          <w:rFonts w:cs="Calibri"/>
          <w:sz w:val="24"/>
          <w:szCs w:val="24"/>
        </w:rPr>
        <w:fldChar w:fldCharType="end"/>
      </w:r>
      <w:r w:rsidR="00A75829">
        <w:rPr>
          <w:rFonts w:cs="Calibri"/>
          <w:sz w:val="24"/>
          <w:szCs w:val="24"/>
        </w:rPr>
        <w:t>.</w:t>
      </w:r>
      <w:r w:rsidRPr="000377CB">
        <w:rPr>
          <w:rFonts w:cs="Calibri"/>
          <w:sz w:val="24"/>
          <w:szCs w:val="24"/>
        </w:rPr>
        <w:t xml:space="preserve"> A study of daily mortality from all injuries from Estonia found a 1.24% increase in mortality when daily maximum temperature went from the 75</w:t>
      </w:r>
      <w:r w:rsidRPr="000377CB">
        <w:rPr>
          <w:rFonts w:cs="Calibri"/>
          <w:sz w:val="24"/>
          <w:szCs w:val="24"/>
          <w:vertAlign w:val="superscript"/>
        </w:rPr>
        <w:t>th</w:t>
      </w:r>
      <w:r w:rsidRPr="000377CB">
        <w:rPr>
          <w:rFonts w:cs="Calibri"/>
          <w:sz w:val="24"/>
          <w:szCs w:val="24"/>
        </w:rPr>
        <w:t xml:space="preserve"> to 99</w:t>
      </w:r>
      <w:r w:rsidRPr="000377CB">
        <w:rPr>
          <w:rFonts w:cs="Calibri"/>
          <w:sz w:val="24"/>
          <w:szCs w:val="24"/>
          <w:vertAlign w:val="superscript"/>
        </w:rPr>
        <w:t>th</w:t>
      </w:r>
      <w:r w:rsidRPr="000377CB">
        <w:rPr>
          <w:rFonts w:cs="Calibri"/>
          <w:sz w:val="24"/>
          <w:szCs w:val="24"/>
        </w:rPr>
        <w:t xml:space="preserve"> percentile of long-term distribution</w:t>
      </w:r>
      <w:r w:rsidR="00A75829">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2017)","previouslyFormattedCitation":"&lt;sup&gt;10&lt;/sup&gt;"},"properties":{"noteIndex":0},"schema":"https://github.com/citation-style-language/schema/raw/master/csl-citation.json"}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(Orru &amp; Åström, 2017)</w:t>
      </w:r>
      <w:r w:rsidRPr="000377CB">
        <w:rPr>
          <w:rFonts w:cs="Calibri"/>
          <w:sz w:val="24"/>
          <w:szCs w:val="24"/>
        </w:rPr>
        <w:fldChar w:fldCharType="end"/>
      </w:r>
      <w:r w:rsidR="00A75829">
        <w:rPr>
          <w:rFonts w:cs="Calibri"/>
          <w:sz w:val="24"/>
          <w:szCs w:val="24"/>
        </w:rPr>
        <w:t>.</w:t>
      </w:r>
      <w:r w:rsidRPr="000377CB">
        <w:rPr>
          <w:rFonts w:cs="Calibri"/>
          <w:sz w:val="24"/>
          <w:szCs w:val="24"/>
        </w:rPr>
        <w:t xml:space="preserve"> </w:t>
      </w:r>
    </w:p>
    <w:p w14:paraId="3B3CE69B" w14:textId="310E00DD" w:rsidR="00B971FF" w:rsidRPr="000377CB" w:rsidRDefault="00B971FF" w:rsidP="002A14D7">
      <w:pPr>
        <w:spacing w:line="480" w:lineRule="auto"/>
        <w:ind w:firstLine="720"/>
        <w:jc w:val="both"/>
        <w:rPr>
          <w:rFonts w:cs="Calibri"/>
          <w:sz w:val="24"/>
          <w:szCs w:val="24"/>
        </w:rPr>
      </w:pPr>
      <w:r w:rsidRPr="000377CB">
        <w:rPr>
          <w:rFonts w:cs="Calibri"/>
          <w:sz w:val="24"/>
          <w:szCs w:val="24"/>
        </w:rPr>
        <w:t xml:space="preserve">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w:t>
      </w:r>
      <w:r w:rsidRPr="000377CB">
        <w:rPr>
          <w:rFonts w:cs="Calibri"/>
          <w:sz w:val="24"/>
          <w:szCs w:val="24"/>
        </w:rPr>
        <w:lastRenderedPageBreak/>
        <w:t>(1999-2010)</w:t>
      </w:r>
      <w:r w:rsidR="00F26D54">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2014)","previouslyFormattedCitation":"&lt;sup&gt;16&lt;/sup&gt;"},"properties":{"noteIndex":0},"schema":"https://github.com/citation-style-language/schema/raw/master/csl-citation.json"}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(Xu, 2014)</w:t>
      </w:r>
      <w:r w:rsidRPr="000377CB">
        <w:rPr>
          <w:rFonts w:cs="Calibri"/>
          <w:sz w:val="24"/>
          <w:szCs w:val="24"/>
        </w:rPr>
        <w:fldChar w:fldCharType="end"/>
      </w:r>
      <w:r w:rsidR="00F26D54">
        <w:rPr>
          <w:rFonts w:cs="Calibri"/>
          <w:sz w:val="24"/>
          <w:szCs w:val="24"/>
        </w:rPr>
        <w:t>,</w:t>
      </w:r>
      <w:r w:rsidRPr="000377CB">
        <w:rPr>
          <w:rFonts w:cs="Calibri"/>
          <w:sz w:val="24"/>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2010)","previouslyFormattedCitation":"&lt;sup&gt;17–19&lt;/sup&gt;"},"properties":{"noteIndex":0},"schema":"https://github.com/citation-style-language/schema/raw/master/csl-citation.json"}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(Ambrose, Paul, &amp; Hausdorff, 2013; Bobb et al., 2017; Kelsey et al., 2010)</w:t>
      </w:r>
      <w:r w:rsidRPr="000377CB">
        <w:rPr>
          <w:rFonts w:cs="Calibri"/>
          <w:sz w:val="24"/>
          <w:szCs w:val="24"/>
        </w:rPr>
        <w:fldChar w:fldCharType="end"/>
      </w:r>
      <w:r w:rsidR="00F26D54">
        <w:rPr>
          <w:rFonts w:cs="Calibri"/>
          <w:sz w:val="24"/>
          <w:szCs w:val="24"/>
        </w:rPr>
        <w:t>.</w:t>
      </w:r>
    </w:p>
    <w:p w14:paraId="617183C1" w14:textId="4CB15BBD" w:rsidR="00B971FF" w:rsidRPr="000377CB" w:rsidRDefault="00B971FF" w:rsidP="002A14D7">
      <w:pPr>
        <w:spacing w:line="480" w:lineRule="auto"/>
        <w:ind w:firstLine="720"/>
        <w:jc w:val="both"/>
        <w:rPr>
          <w:rFonts w:cs="Calibri"/>
          <w:sz w:val="24"/>
          <w:szCs w:val="24"/>
        </w:rPr>
      </w:pPr>
      <w:r w:rsidRPr="000377CB">
        <w:rPr>
          <w:rFonts w:cs="Calibri"/>
          <w:sz w:val="24"/>
          <w:szCs w:val="24"/>
        </w:rPr>
        <w:t>The pathways from anomalous temperature to transport injury are more varied.  Firstly, driving performance deteriorates at higher temperatures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1991)","previouslyFormattedCitation":"&lt;sup&gt;20–23&lt;/sup&gt;"},"properties":{"noteIndex":0},"schema":"https://github.com/citation-style-language/schema/raw/master/csl-citation.json"}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(Daanen, Van De Vliert, &amp; Huang, 2003; Mackie &amp; Hanlon, 1976; Wyon, Wyon, &amp; Norin, 1996; Zlatoper, 1991)</w:t>
      </w:r>
      <w:r w:rsidRPr="000377CB">
        <w:rPr>
          <w:rFonts w:cs="Calibri"/>
          <w:sz w:val="24"/>
          <w:szCs w:val="24"/>
        </w:rPr>
        <w:fldChar w:fldCharType="end"/>
      </w:r>
      <w:r w:rsidR="00070595">
        <w:rPr>
          <w:rFonts w:cs="Calibri"/>
          <w:sz w:val="24"/>
          <w:szCs w:val="24"/>
        </w:rPr>
        <w:t>.</w:t>
      </w:r>
      <w:r w:rsidRPr="000377CB">
        <w:rPr>
          <w:rFonts w:cs="Calibri"/>
          <w:sz w:val="24"/>
          <w:szCs w:val="24"/>
        </w:rPr>
        <w:t xml:space="preserve"> Further, alcohol consumption increases during warm temperature anomalies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2018)","previouslyFormattedCitation":"&lt;sup&gt;24&lt;/sup&gt;"},"properties":{"noteIndex":0},"schema":"https://github.com/citation-style-language/schema/raw/master/csl-citation.json"}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(Opinium, 2018)</w:t>
      </w:r>
      <w:r w:rsidRPr="000377CB">
        <w:rPr>
          <w:rFonts w:cs="Calibri"/>
          <w:sz w:val="24"/>
          <w:szCs w:val="24"/>
        </w:rPr>
        <w:fldChar w:fldCharType="end"/>
      </w:r>
      <w:r w:rsidR="00070595">
        <w:rPr>
          <w:rFonts w:cs="Calibri"/>
          <w:sz w:val="24"/>
          <w:szCs w:val="24"/>
        </w:rPr>
        <w:t>,</w:t>
      </w:r>
      <w:r w:rsidRPr="000377CB">
        <w:rPr>
          <w:rFonts w:cs="Calibri"/>
          <w:sz w:val="24"/>
          <w:szCs w:val="24"/>
        </w:rPr>
        <w:t xml:space="preserve"> potentially also explaining why teenagers, who are more likely than other age groups to crash while intoxicated</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2012)","previouslyFormattedCitation":"&lt;sup&gt;25&lt;/sup&gt;"},"properties":{"noteIndex":0},"schema":"https://github.com/citation-style-language/schema/raw/master/csl-citation.json"}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(Voas, Torres, Romano, &amp; Lacey, 2012)</w:t>
      </w:r>
      <w:r w:rsidRPr="000377CB">
        <w:rPr>
          <w:rFonts w:cs="Calibri"/>
          <w:sz w:val="24"/>
          <w:szCs w:val="24"/>
        </w:rPr>
        <w:fldChar w:fldCharType="end"/>
      </w:r>
      <w:r w:rsidR="00070595">
        <w:rPr>
          <w:rFonts w:cs="Calibri"/>
          <w:sz w:val="24"/>
          <w:szCs w:val="24"/>
        </w:rPr>
        <w:t>,</w:t>
      </w:r>
      <w:r w:rsidRPr="000377CB">
        <w:rPr>
          <w:rFonts w:cs="Calibri"/>
          <w:sz w:val="24"/>
          <w:szCs w:val="24"/>
        </w:rPr>
        <w:t xml:space="preserve"> experience a larger proportional rise in deaths from transport than older ages when temperatures are anomalously warm. Lastly, warmer temperatures generally increase road traffic in North America</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2016)","previouslyFormattedCitation":"&lt;sup&gt;26–29&lt;/sup&gt;"},"properties":{"noteIndex":0},"schema":"https://github.com/citation-style-language/schema/raw/master/csl-citation.json"}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(Datla, Sahu, Roh, &amp; Sharma, 2013; H.-J. Roh, Datla, &amp; Sharma, 2013; H.-J. Roh, Sahu, Sharma, Datla, &amp; Mehran, 2016; H. J. Roh, Sharma, &amp; Sahu, 2016)</w:t>
      </w:r>
      <w:r w:rsidRPr="000377CB">
        <w:rPr>
          <w:rFonts w:cs="Calibri"/>
          <w:sz w:val="24"/>
          <w:szCs w:val="24"/>
        </w:rPr>
        <w:fldChar w:fldCharType="end"/>
      </w:r>
      <w:r w:rsidR="00070595">
        <w:rPr>
          <w:rFonts w:cs="Calibri"/>
          <w:sz w:val="24"/>
          <w:szCs w:val="24"/>
        </w:rPr>
        <w:t>;</w:t>
      </w:r>
      <w:r w:rsidRPr="000377CB">
        <w:rPr>
          <w:rFonts w:cs="Calibri"/>
          <w:sz w:val="24"/>
          <w:szCs w:val="24"/>
        </w:rPr>
        <w:t xml:space="preserve"> With more people generally outdoors in warmer weather</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2014)","previouslyFormattedCitation":"&lt;sup&gt;30&lt;/sup&gt;"},"properties":{"noteIndex":0},"schema":"https://github.com/citation-style-language/schema/raw/master/csl-citation.json"}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(Graff Zivin &amp; Neidell, 2014)</w:t>
      </w:r>
      <w:r w:rsidRPr="000377CB">
        <w:rPr>
          <w:rFonts w:cs="Calibri"/>
          <w:sz w:val="24"/>
          <w:szCs w:val="24"/>
        </w:rPr>
        <w:fldChar w:fldCharType="end"/>
      </w:r>
      <w:r w:rsidR="00070595">
        <w:rPr>
          <w:rFonts w:cs="Calibri"/>
          <w:sz w:val="24"/>
          <w:szCs w:val="24"/>
        </w:rPr>
        <w:t>,</w:t>
      </w:r>
      <w:r w:rsidRPr="000377CB">
        <w:rPr>
          <w:rFonts w:cs="Calibri"/>
          <w:sz w:val="24"/>
          <w:szCs w:val="24"/>
        </w:rPr>
        <w:t xml:space="preserve"> this could lead to more fatal collisions.</w:t>
      </w:r>
    </w:p>
    <w:p w14:paraId="3DF65A53" w14:textId="22356D97" w:rsidR="00B971FF" w:rsidRPr="000377CB" w:rsidRDefault="00B971FF" w:rsidP="006765FF">
      <w:pPr>
        <w:spacing w:line="480" w:lineRule="auto"/>
        <w:ind w:firstLine="720"/>
        <w:jc w:val="both"/>
        <w:rPr>
          <w:rFonts w:cs="Calibri"/>
          <w:i/>
          <w:color w:val="000000" w:themeColor="text1"/>
          <w:sz w:val="24"/>
          <w:szCs w:val="24"/>
        </w:rPr>
      </w:pPr>
      <w:r w:rsidRPr="000377CB">
        <w:rPr>
          <w:rFonts w:cs="Calibri"/>
          <w:sz w:val="24"/>
          <w:szCs w:val="24"/>
        </w:rP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2003)","previouslyFormattedCitation":"&lt;sup&gt;31,32&lt;/sup&gt;"},"properties":{"noteIndex":0},"schema":"https://github.com/citation-style-language/schema/raw/master/csl-citation.json"}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(Glaeser, Sacerdote, &amp; Scheinkman, 1996; Rotton &amp; Cohn, 2003)</w:t>
      </w:r>
      <w:r w:rsidRPr="000377CB">
        <w:rPr>
          <w:rFonts w:cs="Calibri"/>
          <w:sz w:val="24"/>
          <w:szCs w:val="24"/>
        </w:rPr>
        <w:fldChar w:fldCharType="end"/>
      </w:r>
      <w:r w:rsidR="00070595">
        <w:rPr>
          <w:rFonts w:cs="Calibri"/>
          <w:sz w:val="24"/>
          <w:szCs w:val="24"/>
        </w:rPr>
        <w:t>.</w:t>
      </w:r>
      <w:r w:rsidRPr="000377CB">
        <w:rPr>
          <w:rFonts w:cs="Calibri"/>
          <w:sz w:val="24"/>
          <w:szCs w:val="24"/>
        </w:rPr>
        <w:t xml:space="preserve"> These effects could be compounded by the greater anger levels linked to higher temperatures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1976)","previouslyFormattedCitation":"&lt;sup&gt;33,34&lt;/sup&gt;"},"properties":{"noteIndex":0},"schema":"https://github.com/citation-style-language/schema/raw/master/csl-citation.json"}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(Anderson, 1989; Baron &amp; Bell, 1976)</w:t>
      </w:r>
      <w:r w:rsidRPr="000377CB">
        <w:rPr>
          <w:rFonts w:cs="Calibri"/>
          <w:sz w:val="24"/>
          <w:szCs w:val="24"/>
        </w:rPr>
        <w:fldChar w:fldCharType="end"/>
      </w:r>
      <w:r w:rsidR="00070595">
        <w:rPr>
          <w:rFonts w:cs="Calibri"/>
          <w:sz w:val="24"/>
          <w:szCs w:val="24"/>
        </w:rPr>
        <w:t>.</w:t>
      </w:r>
      <w:r w:rsidRPr="000377CB">
        <w:rPr>
          <w:rFonts w:cs="Calibri"/>
          <w:sz w:val="24"/>
          <w:szCs w:val="24"/>
        </w:rPr>
        <w:t xml:space="preserve"> Regarding intentional self-harm, higher temperature has been hypothesised as associated with higher levels of distress in younger people</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2017)","previouslyFormattedCitation":"&lt;sup&gt;35&lt;/sup&gt;"},"properties":{"noteIndex":0},"schema":"https://github.com/citation-style-language/schema/raw/master/csl-citation.json"}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(Majeed &amp; Lee, 2017)</w:t>
      </w:r>
      <w:r w:rsidRPr="000377CB">
        <w:rPr>
          <w:rFonts w:cs="Calibri"/>
          <w:sz w:val="24"/>
          <w:szCs w:val="24"/>
        </w:rPr>
        <w:fldChar w:fldCharType="end"/>
      </w:r>
      <w:r w:rsidR="00070595">
        <w:rPr>
          <w:rFonts w:cs="Calibri"/>
          <w:sz w:val="24"/>
          <w:szCs w:val="24"/>
        </w:rPr>
        <w:t>.</w:t>
      </w:r>
      <w:r w:rsidRPr="000377CB">
        <w:rPr>
          <w:rFonts w:cs="Calibri"/>
          <w:sz w:val="24"/>
          <w:szCs w:val="24"/>
        </w:rPr>
        <w:t xml:space="preserve"> </w:t>
      </w:r>
      <w:r w:rsidRPr="000377CB">
        <w:rPr>
          <w:rFonts w:cs="Calibri"/>
          <w:sz w:val="24"/>
          <w:szCs w:val="24"/>
        </w:rPr>
        <w:lastRenderedPageBreak/>
        <w:t>Nonetheless, links between temperature and mental health requires further investigation</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2018)","previouslyFormattedCitation":"&lt;sup&gt;36&lt;/sup&gt;"},"properties":{"noteIndex":0},"schema":"https://github.com/citation-style-language/schema/raw/master/csl-citation.json"}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(Berry, Waite, Dear, Capon, &amp; Murray, 2018)</w:t>
      </w:r>
      <w:r w:rsidRPr="000377CB">
        <w:rPr>
          <w:rFonts w:cs="Calibri"/>
          <w:sz w:val="24"/>
          <w:szCs w:val="24"/>
        </w:rPr>
        <w:fldChar w:fldCharType="end"/>
      </w:r>
      <w:r w:rsidR="00070595">
        <w:rPr>
          <w:rFonts w:cs="Calibri"/>
          <w:sz w:val="24"/>
          <w:szCs w:val="24"/>
        </w:rPr>
        <w:t>,</w:t>
      </w:r>
      <w:r w:rsidRPr="000377CB">
        <w:rPr>
          <w:rFonts w:cs="Calibri"/>
          <w:sz w:val="24"/>
          <w:szCs w:val="24"/>
        </w:rPr>
        <w:t xml:space="preserve"> including whether the relationship varies by age and sex, as indicated by our results.</w:t>
      </w:r>
    </w:p>
    <w:p w14:paraId="5FF79DE0" w14:textId="55A3FE14" w:rsidR="00B971FF" w:rsidRPr="000377CB" w:rsidRDefault="00B971FF" w:rsidP="006765FF">
      <w:pPr>
        <w:spacing w:line="480" w:lineRule="auto"/>
        <w:ind w:firstLine="720"/>
        <w:jc w:val="both"/>
        <w:rPr>
          <w:rFonts w:cs="Calibri"/>
          <w:sz w:val="24"/>
          <w:szCs w:val="24"/>
        </w:rPr>
      </w:pPr>
      <w:r w:rsidRPr="000377CB">
        <w:rPr>
          <w:rFonts w:cs="Calibri"/>
          <w:sz w:val="24"/>
          <w:szCs w:val="24"/>
        </w:rP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rsidRPr="000377CB">
        <w:rPr>
          <w:rFonts w:cs="Calibri"/>
          <w:sz w:val="24"/>
          <w:szCs w:val="24"/>
        </w:rPr>
        <w:t>stat</w:t>
      </w:r>
      <w:r w:rsidR="000C3F34">
        <w:rPr>
          <w:rFonts w:cs="Calibri"/>
          <w:sz w:val="24"/>
          <w:szCs w:val="24"/>
        </w:rPr>
        <w:t xml:space="preserve">e, </w:t>
      </w:r>
      <w:r w:rsidRPr="000377CB">
        <w:rPr>
          <w:rFonts w:cs="Calibri"/>
          <w:sz w:val="24"/>
          <w:szCs w:val="24"/>
        </w:rPr>
        <w:t>and</w:t>
      </w:r>
      <w:proofErr w:type="gramEnd"/>
      <w:r w:rsidRPr="000377CB">
        <w:rPr>
          <w:rFonts w:cs="Calibri"/>
          <w:sz w:val="24"/>
          <w:szCs w:val="24"/>
        </w:rP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proofErr w:type="gramStart"/>
      <w:r w:rsidRPr="000377CB">
        <w:rPr>
          <w:rFonts w:cs="Calibri"/>
          <w:sz w:val="24"/>
          <w:szCs w:val="24"/>
        </w:rPr>
        <w:t>), and</w:t>
      </w:r>
      <w:proofErr w:type="gramEnd"/>
      <w:r w:rsidRPr="000377CB">
        <w:rPr>
          <w:rFonts w:cs="Calibri"/>
          <w:sz w:val="24"/>
          <w:szCs w:val="24"/>
        </w:rPr>
        <w:t xml:space="preserve">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4D8665F" w14:textId="0CD6287F" w:rsidR="00B971FF" w:rsidRPr="009B0930" w:rsidRDefault="00B971FF" w:rsidP="009B0930">
      <w:pPr>
        <w:spacing w:line="480" w:lineRule="auto"/>
        <w:ind w:firstLine="720"/>
        <w:jc w:val="both"/>
        <w:rPr>
          <w:rFonts w:cs="Calibri"/>
          <w:sz w:val="24"/>
          <w:szCs w:val="24"/>
        </w:rPr>
      </w:pPr>
      <w:r w:rsidRPr="000377CB">
        <w:rPr>
          <w:rFonts w:cs="Calibri"/>
          <w:sz w:val="24"/>
          <w:szCs w:val="24"/>
        </w:rPr>
        <w:t>Our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p>
    <w:p w14:paraId="368CC578" w14:textId="182CAC3D" w:rsidR="006675AE" w:rsidRPr="00127064" w:rsidRDefault="006675AE" w:rsidP="006675AE">
      <w:pPr>
        <w:pStyle w:val="Heading2"/>
      </w:pPr>
      <w:bookmarkStart w:id="14" w:name="_Toc6171733"/>
      <w:r w:rsidRPr="00127064">
        <w:lastRenderedPageBreak/>
        <w:t>References</w:t>
      </w:r>
      <w:bookmarkEnd w:id="8"/>
      <w:bookmarkEnd w:id="14"/>
    </w:p>
    <w:p w14:paraId="2EE99C03" w14:textId="4E52254E" w:rsidR="0001634A" w:rsidRPr="0001634A" w:rsidRDefault="006675AE" w:rsidP="0001634A">
      <w:pPr>
        <w:widowControl w:val="0"/>
        <w:autoSpaceDE w:val="0"/>
        <w:autoSpaceDN w:val="0"/>
        <w:adjustRightInd w:val="0"/>
        <w:spacing w:line="240" w:lineRule="auto"/>
        <w:ind w:left="480" w:hanging="480"/>
        <w:rPr>
          <w:rFonts w:cs="Calibri"/>
          <w:noProof/>
          <w:sz w:val="24"/>
          <w:lang w:val="en-US"/>
        </w:rPr>
      </w:pPr>
      <w:r w:rsidRPr="00736834">
        <w:rPr>
          <w:b/>
          <w:sz w:val="24"/>
          <w:szCs w:val="24"/>
        </w:rPr>
        <w:fldChar w:fldCharType="begin" w:fldLock="1"/>
      </w:r>
      <w:r w:rsidRPr="00736834">
        <w:rPr>
          <w:b/>
          <w:sz w:val="24"/>
          <w:szCs w:val="24"/>
        </w:rPr>
        <w:instrText xml:space="preserve">ADDIN Mendeley Bibliography CSL_BIBLIOGRAPHY </w:instrText>
      </w:r>
      <w:r w:rsidRPr="00736834">
        <w:rPr>
          <w:b/>
          <w:sz w:val="24"/>
          <w:szCs w:val="24"/>
        </w:rPr>
        <w:fldChar w:fldCharType="separate"/>
      </w:r>
      <w:r w:rsidR="0001634A" w:rsidRPr="0001634A">
        <w:rPr>
          <w:rFonts w:cs="Calibri"/>
          <w:noProof/>
          <w:sz w:val="24"/>
          <w:lang w:val="en-US"/>
        </w:rPr>
        <w:t xml:space="preserve">Ambrose, A. F., Paul, G., &amp; Hausdorff, J. M. (2013). Risk factors for falls among older adults: A review of the literature. </w:t>
      </w:r>
      <w:r w:rsidR="0001634A" w:rsidRPr="0001634A">
        <w:rPr>
          <w:rFonts w:cs="Calibri"/>
          <w:i/>
          <w:iCs/>
          <w:noProof/>
          <w:sz w:val="24"/>
          <w:lang w:val="en-US"/>
        </w:rPr>
        <w:t>Maturitas</w:t>
      </w:r>
      <w:r w:rsidR="0001634A" w:rsidRPr="0001634A">
        <w:rPr>
          <w:rFonts w:cs="Calibri"/>
          <w:noProof/>
          <w:sz w:val="24"/>
          <w:lang w:val="en-US"/>
        </w:rPr>
        <w:t>. https://doi.org/10.1016/j.maturitas.2013.02.009</w:t>
      </w:r>
    </w:p>
    <w:p w14:paraId="5312F6D4"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Anderson, C. A. (1989). Temperature and aggression: Ubiquitous effects of heat on occurrence of human violence. </w:t>
      </w:r>
      <w:r w:rsidRPr="0001634A">
        <w:rPr>
          <w:rFonts w:cs="Calibri"/>
          <w:i/>
          <w:iCs/>
          <w:noProof/>
          <w:sz w:val="24"/>
          <w:lang w:val="en-US"/>
        </w:rPr>
        <w:t>Psychological Bulletin</w:t>
      </w:r>
      <w:r w:rsidRPr="0001634A">
        <w:rPr>
          <w:rFonts w:cs="Calibri"/>
          <w:noProof/>
          <w:sz w:val="24"/>
          <w:lang w:val="en-US"/>
        </w:rPr>
        <w:t>. https://doi.org/10.1037/0033-2909.106.1.74</w:t>
      </w:r>
    </w:p>
    <w:p w14:paraId="199417C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Baron, R. A., &amp; Bell, P. A. (1976). Aggression and heat: The influence of ambient temperature, negative affect, and a cooling drink on physical aggression. </w:t>
      </w:r>
      <w:r w:rsidRPr="0001634A">
        <w:rPr>
          <w:rFonts w:cs="Calibri"/>
          <w:i/>
          <w:iCs/>
          <w:noProof/>
          <w:sz w:val="24"/>
          <w:lang w:val="en-US"/>
        </w:rPr>
        <w:t>Journal of Personality and Social Psychology</w:t>
      </w:r>
      <w:r w:rsidRPr="0001634A">
        <w:rPr>
          <w:rFonts w:cs="Calibri"/>
          <w:noProof/>
          <w:sz w:val="24"/>
          <w:lang w:val="en-US"/>
        </w:rPr>
        <w:t>. https://doi.org/10.1037/0022-3514.33.3.245</w:t>
      </w:r>
    </w:p>
    <w:p w14:paraId="616020CD"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Basu, R. (2009). High ambient temperature and mortality: A review of epidemiologic studies from 2001 to 2008. </w:t>
      </w:r>
      <w:r w:rsidRPr="0001634A">
        <w:rPr>
          <w:rFonts w:cs="Calibri"/>
          <w:i/>
          <w:iCs/>
          <w:noProof/>
          <w:sz w:val="24"/>
          <w:lang w:val="en-US"/>
        </w:rPr>
        <w:t>Environmental Health: A Global Access Science Source</w:t>
      </w:r>
      <w:r w:rsidRPr="0001634A">
        <w:rPr>
          <w:rFonts w:cs="Calibri"/>
          <w:noProof/>
          <w:sz w:val="24"/>
          <w:lang w:val="en-US"/>
        </w:rPr>
        <w:t xml:space="preserve">, </w:t>
      </w:r>
      <w:r w:rsidRPr="0001634A">
        <w:rPr>
          <w:rFonts w:cs="Calibri"/>
          <w:i/>
          <w:iCs/>
          <w:noProof/>
          <w:sz w:val="24"/>
          <w:lang w:val="en-US"/>
        </w:rPr>
        <w:t>8</w:t>
      </w:r>
      <w:r w:rsidRPr="0001634A">
        <w:rPr>
          <w:rFonts w:cs="Calibri"/>
          <w:noProof/>
          <w:sz w:val="24"/>
          <w:lang w:val="en-US"/>
        </w:rPr>
        <w:t>(1), 40. https://doi.org/10.1186/1476-069X-8-40</w:t>
      </w:r>
    </w:p>
    <w:p w14:paraId="3FD7429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Berry, H. L., Waite, T. D., Dear, K. B. G., Capon, A. G., &amp; Murray, V. (2018). The case for systems thinking about climate change and mental health. </w:t>
      </w:r>
      <w:r w:rsidRPr="0001634A">
        <w:rPr>
          <w:rFonts w:cs="Calibri"/>
          <w:i/>
          <w:iCs/>
          <w:noProof/>
          <w:sz w:val="24"/>
          <w:lang w:val="en-US"/>
        </w:rPr>
        <w:t>Nature Climate Change</w:t>
      </w:r>
      <w:r w:rsidRPr="0001634A">
        <w:rPr>
          <w:rFonts w:cs="Calibri"/>
          <w:noProof/>
          <w:sz w:val="24"/>
          <w:lang w:val="en-US"/>
        </w:rPr>
        <w:t>. https://doi.org/10.1038/s41558-018-0102-4</w:t>
      </w:r>
    </w:p>
    <w:p w14:paraId="4021BCA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Besag, J. (1974). Spatial interaction and the statistical snalysis of lattice systems. </w:t>
      </w:r>
      <w:r w:rsidRPr="0001634A">
        <w:rPr>
          <w:rFonts w:cs="Calibri"/>
          <w:i/>
          <w:iCs/>
          <w:noProof/>
          <w:sz w:val="24"/>
          <w:lang w:val="en-US"/>
        </w:rPr>
        <w:t>Journal of the Royal Statistical Society: Series B (Statistical Methodology)</w:t>
      </w:r>
      <w:r w:rsidRPr="0001634A">
        <w:rPr>
          <w:rFonts w:cs="Calibri"/>
          <w:noProof/>
          <w:sz w:val="24"/>
          <w:lang w:val="en-US"/>
        </w:rPr>
        <w:t>. https://doi.org/10.2307/2984812</w:t>
      </w:r>
    </w:p>
    <w:p w14:paraId="694FDFF5"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01634A">
        <w:rPr>
          <w:rFonts w:cs="Calibri"/>
          <w:i/>
          <w:iCs/>
          <w:noProof/>
          <w:sz w:val="24"/>
          <w:lang w:val="en-US"/>
        </w:rPr>
        <w:t>American Journal of Epidemiology</w:t>
      </w:r>
      <w:r w:rsidRPr="0001634A">
        <w:rPr>
          <w:rFonts w:cs="Calibri"/>
          <w:noProof/>
          <w:sz w:val="24"/>
          <w:lang w:val="en-US"/>
        </w:rPr>
        <w:t xml:space="preserve">, </w:t>
      </w:r>
      <w:r w:rsidRPr="0001634A">
        <w:rPr>
          <w:rFonts w:cs="Calibri"/>
          <w:i/>
          <w:iCs/>
          <w:noProof/>
          <w:sz w:val="24"/>
          <w:lang w:val="en-US"/>
        </w:rPr>
        <w:t>185</w:t>
      </w:r>
      <w:r w:rsidRPr="0001634A">
        <w:rPr>
          <w:rFonts w:cs="Calibri"/>
          <w:noProof/>
          <w:sz w:val="24"/>
          <w:lang w:val="en-US"/>
        </w:rPr>
        <w:t>(4), 283–294. https://doi.org/10.1093/aje/kww219</w:t>
      </w:r>
    </w:p>
    <w:p w14:paraId="384FB32A"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Burke, M., González, F., Baylis, P., Heft-Neal, S., Baysan, C., Basu, S., &amp; Hsiang, S. (2018). Higher temperatures increase suicide rates in the United States and Mexico. </w:t>
      </w:r>
      <w:r w:rsidRPr="0001634A">
        <w:rPr>
          <w:rFonts w:cs="Calibri"/>
          <w:i/>
          <w:iCs/>
          <w:noProof/>
          <w:sz w:val="24"/>
          <w:lang w:val="en-US"/>
        </w:rPr>
        <w:t>Nature Climate Change</w:t>
      </w:r>
      <w:r w:rsidRPr="0001634A">
        <w:rPr>
          <w:rFonts w:cs="Calibri"/>
          <w:noProof/>
          <w:sz w:val="24"/>
          <w:lang w:val="en-US"/>
        </w:rPr>
        <w:t>. https://doi.org/10.1038/s41558-018-0222-x</w:t>
      </w:r>
    </w:p>
    <w:p w14:paraId="64992115"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Daanen, H. A. M., Van De Vliert, E., &amp; Huang, X. (2003). Driving performance in cold, warm, and thermoneutral environments. </w:t>
      </w:r>
      <w:r w:rsidRPr="0001634A">
        <w:rPr>
          <w:rFonts w:cs="Calibri"/>
          <w:i/>
          <w:iCs/>
          <w:noProof/>
          <w:sz w:val="24"/>
          <w:lang w:val="en-US"/>
        </w:rPr>
        <w:t>Applied Ergonomics</w:t>
      </w:r>
      <w:r w:rsidRPr="0001634A">
        <w:rPr>
          <w:rFonts w:cs="Calibri"/>
          <w:noProof/>
          <w:sz w:val="24"/>
          <w:lang w:val="en-US"/>
        </w:rPr>
        <w:t>. https://doi.org/10.1016/S0003-6870(03)00055-3</w:t>
      </w:r>
    </w:p>
    <w:p w14:paraId="6196FFC3"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Datla, S., Sahu, P., Roh, H.-J., &amp; Sharma, S. (2013). A comprehensive analysis of the association of highway traffic with winter weather conditions. </w:t>
      </w:r>
      <w:r w:rsidRPr="0001634A">
        <w:rPr>
          <w:rFonts w:cs="Calibri"/>
          <w:i/>
          <w:iCs/>
          <w:noProof/>
          <w:sz w:val="24"/>
          <w:lang w:val="en-US"/>
        </w:rPr>
        <w:t>Procedia - Social and Behavioral Sciences</w:t>
      </w:r>
      <w:r w:rsidRPr="0001634A">
        <w:rPr>
          <w:rFonts w:cs="Calibri"/>
          <w:noProof/>
          <w:sz w:val="24"/>
          <w:lang w:val="en-US"/>
        </w:rPr>
        <w:t>. https://doi.org/10.1016/j.sbspro.2013.11.143</w:t>
      </w:r>
    </w:p>
    <w:p w14:paraId="78DED39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Dee, D. P., Uppala, S. M., Simmons, A. J., Berrisford, P., Poli, P., Kobayashi, S., … Vitart, F. (2011). The ERA-Interim reanalysis: configuration and performance of the data assimilation system. </w:t>
      </w:r>
      <w:r w:rsidRPr="0001634A">
        <w:rPr>
          <w:rFonts w:cs="Calibri"/>
          <w:i/>
          <w:iCs/>
          <w:noProof/>
          <w:sz w:val="24"/>
          <w:lang w:val="en-US"/>
        </w:rPr>
        <w:t>Quarterly Journal of the Royal Meteorological Society</w:t>
      </w:r>
      <w:r w:rsidRPr="0001634A">
        <w:rPr>
          <w:rFonts w:cs="Calibri"/>
          <w:noProof/>
          <w:sz w:val="24"/>
          <w:lang w:val="en-US"/>
        </w:rPr>
        <w:t xml:space="preserve">, </w:t>
      </w:r>
      <w:r w:rsidRPr="0001634A">
        <w:rPr>
          <w:rFonts w:cs="Calibri"/>
          <w:i/>
          <w:iCs/>
          <w:noProof/>
          <w:sz w:val="24"/>
          <w:lang w:val="en-US"/>
        </w:rPr>
        <w:t>137</w:t>
      </w:r>
      <w:r w:rsidRPr="0001634A">
        <w:rPr>
          <w:rFonts w:cs="Calibri"/>
          <w:noProof/>
          <w:sz w:val="24"/>
          <w:lang w:val="en-US"/>
        </w:rPr>
        <w:t>(656), 553–597. https://doi.org/10.1002/qj.828</w:t>
      </w:r>
    </w:p>
    <w:p w14:paraId="17679249"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Gasparrini, A., Guo, Y., Hashizume, M., Lavigne, E., Zanobetti, A., Schwartz, J., … Armstrong, B. (2015). Mortality risk attributable to high and low ambient temperature: A multicountry observational study. </w:t>
      </w:r>
      <w:r w:rsidRPr="0001634A">
        <w:rPr>
          <w:rFonts w:cs="Calibri"/>
          <w:i/>
          <w:iCs/>
          <w:noProof/>
          <w:sz w:val="24"/>
          <w:lang w:val="en-US"/>
        </w:rPr>
        <w:t>The Lancet</w:t>
      </w:r>
      <w:r w:rsidRPr="0001634A">
        <w:rPr>
          <w:rFonts w:cs="Calibri"/>
          <w:noProof/>
          <w:sz w:val="24"/>
          <w:lang w:val="en-US"/>
        </w:rPr>
        <w:t xml:space="preserve">, </w:t>
      </w:r>
      <w:r w:rsidRPr="0001634A">
        <w:rPr>
          <w:rFonts w:cs="Calibri"/>
          <w:i/>
          <w:iCs/>
          <w:noProof/>
          <w:sz w:val="24"/>
          <w:lang w:val="en-US"/>
        </w:rPr>
        <w:t>386</w:t>
      </w:r>
      <w:r w:rsidRPr="0001634A">
        <w:rPr>
          <w:rFonts w:cs="Calibri"/>
          <w:noProof/>
          <w:sz w:val="24"/>
          <w:lang w:val="en-US"/>
        </w:rPr>
        <w:t>(9991), 369–375. https://doi.org/10.1016/S0140-6736(14)62114-0</w:t>
      </w:r>
    </w:p>
    <w:p w14:paraId="7B63B2F0"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lastRenderedPageBreak/>
        <w:t xml:space="preserve">Gasparrini, A., Guo, Y., Sera, F., Vicedo-Cabrera, A. M., Huber, V., Tong, S., … Armstrong, B. (2017). Projections of temperature-related excess mortality under climate change scenarios. </w:t>
      </w:r>
      <w:r w:rsidRPr="0001634A">
        <w:rPr>
          <w:rFonts w:cs="Calibri"/>
          <w:i/>
          <w:iCs/>
          <w:noProof/>
          <w:sz w:val="24"/>
          <w:lang w:val="en-US"/>
        </w:rPr>
        <w:t>The Lancet Planetary Health</w:t>
      </w:r>
      <w:r w:rsidRPr="0001634A">
        <w:rPr>
          <w:rFonts w:cs="Calibri"/>
          <w:noProof/>
          <w:sz w:val="24"/>
          <w:lang w:val="en-US"/>
        </w:rPr>
        <w:t>. https://doi.org/10.1016/S2542-5196(17)30156-0</w:t>
      </w:r>
    </w:p>
    <w:p w14:paraId="3AD498C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Glaeser, E. L., Sacerdote, B., &amp; Scheinkman, J. A. (1996). Crime and social interactions. </w:t>
      </w:r>
      <w:r w:rsidRPr="0001634A">
        <w:rPr>
          <w:rFonts w:cs="Calibri"/>
          <w:i/>
          <w:iCs/>
          <w:noProof/>
          <w:sz w:val="24"/>
          <w:lang w:val="en-US"/>
        </w:rPr>
        <w:t>The Quarterly Journal of Economics</w:t>
      </w:r>
      <w:r w:rsidRPr="0001634A">
        <w:rPr>
          <w:rFonts w:cs="Calibri"/>
          <w:noProof/>
          <w:sz w:val="24"/>
          <w:lang w:val="en-US"/>
        </w:rPr>
        <w:t>. https://doi.org/10.2307/2946686</w:t>
      </w:r>
    </w:p>
    <w:p w14:paraId="08F5B9E0"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Graff Zivin, J., &amp; Neidell, M. (2014). Temperature and the allocation of time: Implications for climate change. </w:t>
      </w:r>
      <w:r w:rsidRPr="0001634A">
        <w:rPr>
          <w:rFonts w:cs="Calibri"/>
          <w:i/>
          <w:iCs/>
          <w:noProof/>
          <w:sz w:val="24"/>
          <w:lang w:val="en-US"/>
        </w:rPr>
        <w:t>Journal of Labor Economics</w:t>
      </w:r>
      <w:r w:rsidRPr="0001634A">
        <w:rPr>
          <w:rFonts w:cs="Calibri"/>
          <w:noProof/>
          <w:sz w:val="24"/>
          <w:lang w:val="en-US"/>
        </w:rPr>
        <w:t>. https://doi.org/10.1086/671766</w:t>
      </w:r>
    </w:p>
    <w:p w14:paraId="55E886F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Haines, A., &amp; Ebi, K. (2019). The imperative for climate action to protect health. </w:t>
      </w:r>
      <w:r w:rsidRPr="0001634A">
        <w:rPr>
          <w:rFonts w:cs="Calibri"/>
          <w:i/>
          <w:iCs/>
          <w:noProof/>
          <w:sz w:val="24"/>
          <w:lang w:val="en-US"/>
        </w:rPr>
        <w:t>New England Journal of Medicine</w:t>
      </w:r>
      <w:r w:rsidRPr="0001634A">
        <w:rPr>
          <w:rFonts w:cs="Calibri"/>
          <w:noProof/>
          <w:sz w:val="24"/>
          <w:lang w:val="en-US"/>
        </w:rPr>
        <w:t>, (380), 263–273.</w:t>
      </w:r>
    </w:p>
    <w:p w14:paraId="548E7B3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Huang, C., Barnett, A. G., Wang, X., Vaneckova, P., Fitzgerald, G., &amp; Tong, S. (2011). Projecting future heat-related mortality under climate change scenarios: A systematic review. </w:t>
      </w:r>
      <w:r w:rsidRPr="0001634A">
        <w:rPr>
          <w:rFonts w:cs="Calibri"/>
          <w:i/>
          <w:iCs/>
          <w:noProof/>
          <w:sz w:val="24"/>
          <w:lang w:val="en-US"/>
        </w:rPr>
        <w:t>Environmental Health Perspectives</w:t>
      </w:r>
      <w:r w:rsidRPr="0001634A">
        <w:rPr>
          <w:rFonts w:cs="Calibri"/>
          <w:noProof/>
          <w:sz w:val="24"/>
          <w:lang w:val="en-US"/>
        </w:rPr>
        <w:t>. https://doi.org/10.1289/ehp.1103456</w:t>
      </w:r>
    </w:p>
    <w:p w14:paraId="791A8DE7"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IPCC. (2018). IPCC special report on the impacts of global warming of 1.5 °C - Summary for policy makers, (October 2018). Retrieved from http://www.ipcc.ch/report/sr15/</w:t>
      </w:r>
    </w:p>
    <w:p w14:paraId="0AC2C05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01634A">
        <w:rPr>
          <w:rFonts w:cs="Calibri"/>
          <w:i/>
          <w:iCs/>
          <w:noProof/>
          <w:sz w:val="24"/>
          <w:lang w:val="en-US"/>
        </w:rPr>
        <w:t>Journal of the American Geriatrics Society</w:t>
      </w:r>
      <w:r w:rsidRPr="0001634A">
        <w:rPr>
          <w:rFonts w:cs="Calibri"/>
          <w:noProof/>
          <w:sz w:val="24"/>
          <w:lang w:val="en-US"/>
        </w:rPr>
        <w:t>. https://doi.org/10.1111/j.1532-5415.2010.03062.x</w:t>
      </w:r>
    </w:p>
    <w:p w14:paraId="6C59B95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01634A">
        <w:rPr>
          <w:rFonts w:cs="Calibri"/>
          <w:i/>
          <w:iCs/>
          <w:noProof/>
          <w:sz w:val="24"/>
          <w:lang w:val="en-US"/>
        </w:rPr>
        <w:t>The Lancet</w:t>
      </w:r>
      <w:r w:rsidRPr="0001634A">
        <w:rPr>
          <w:rFonts w:cs="Calibri"/>
          <w:noProof/>
          <w:sz w:val="24"/>
          <w:lang w:val="en-US"/>
        </w:rPr>
        <w:t>. https://doi.org/10.1016/S0140-6736(12)61728-0</w:t>
      </w:r>
    </w:p>
    <w:p w14:paraId="49277853"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Mackie, R. R., &amp; Hanlon, J. F. . O. (1976). A study of the combined effects of extented driving and heat stress on driver arousal and performance. In </w:t>
      </w:r>
      <w:r w:rsidRPr="0001634A">
        <w:rPr>
          <w:rFonts w:cs="Calibri"/>
          <w:i/>
          <w:iCs/>
          <w:noProof/>
          <w:sz w:val="24"/>
          <w:lang w:val="en-US"/>
        </w:rPr>
        <w:t>Symposium on relationships among theory, physiological correlates, and operational performance</w:t>
      </w:r>
      <w:r w:rsidRPr="0001634A">
        <w:rPr>
          <w:rFonts w:cs="Calibri"/>
          <w:noProof/>
          <w:sz w:val="24"/>
          <w:lang w:val="en-US"/>
        </w:rPr>
        <w:t>. https://doi.org/10.1007/978-1-4684-2529-1_25</w:t>
      </w:r>
    </w:p>
    <w:p w14:paraId="0A3FD39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Majeed, H., &amp; Lee, J. (2017). The impact of climate change on youth depression and mental health. </w:t>
      </w:r>
      <w:r w:rsidRPr="0001634A">
        <w:rPr>
          <w:rFonts w:cs="Calibri"/>
          <w:i/>
          <w:iCs/>
          <w:noProof/>
          <w:sz w:val="24"/>
          <w:lang w:val="en-US"/>
        </w:rPr>
        <w:t>The Lancet Planetary Health</w:t>
      </w:r>
      <w:r w:rsidRPr="0001634A">
        <w:rPr>
          <w:rFonts w:cs="Calibri"/>
          <w:noProof/>
          <w:sz w:val="24"/>
          <w:lang w:val="en-US"/>
        </w:rPr>
        <w:t xml:space="preserve">, </w:t>
      </w:r>
      <w:r w:rsidRPr="0001634A">
        <w:rPr>
          <w:rFonts w:cs="Calibri"/>
          <w:i/>
          <w:iCs/>
          <w:noProof/>
          <w:sz w:val="24"/>
          <w:lang w:val="en-US"/>
        </w:rPr>
        <w:t>1</w:t>
      </w:r>
      <w:r w:rsidRPr="0001634A">
        <w:rPr>
          <w:rFonts w:cs="Calibri"/>
          <w:noProof/>
          <w:sz w:val="24"/>
          <w:lang w:val="en-US"/>
        </w:rPr>
        <w:t>(3), e94–e95. https://doi.org/10.1016/S2542-5196(17)30045-1</w:t>
      </w:r>
    </w:p>
    <w:p w14:paraId="4DA5B7C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McMichael, A. J., Woodruff, R. E., &amp; Hales, S. (2006). Climate change and human health: Present and future risks. </w:t>
      </w:r>
      <w:r w:rsidRPr="0001634A">
        <w:rPr>
          <w:rFonts w:cs="Calibri"/>
          <w:i/>
          <w:iCs/>
          <w:noProof/>
          <w:sz w:val="24"/>
          <w:lang w:val="en-US"/>
        </w:rPr>
        <w:t>Lancet</w:t>
      </w:r>
      <w:r w:rsidRPr="0001634A">
        <w:rPr>
          <w:rFonts w:cs="Calibri"/>
          <w:noProof/>
          <w:sz w:val="24"/>
          <w:lang w:val="en-US"/>
        </w:rPr>
        <w:t>. https://doi.org/10.1016/S0140-6736(06)68079-3</w:t>
      </w:r>
    </w:p>
    <w:p w14:paraId="6988184B"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Opinium. (2018). Brits drink more alcohol in warmer weather. Retrieved January 10, 2019, from https://www.opinium.co.uk/brits-drink-more-alcohol-in-warmer-weather/</w:t>
      </w:r>
    </w:p>
    <w:p w14:paraId="2518EEA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Orru, H., &amp; Åström, D. O. (2017). Increases in external cause mortality due to high and low temperatures: evidence from northeastern Europe. </w:t>
      </w:r>
      <w:r w:rsidRPr="0001634A">
        <w:rPr>
          <w:rFonts w:cs="Calibri"/>
          <w:i/>
          <w:iCs/>
          <w:noProof/>
          <w:sz w:val="24"/>
          <w:lang w:val="en-US"/>
        </w:rPr>
        <w:t>International Journal of Biometeorology</w:t>
      </w:r>
      <w:r w:rsidRPr="0001634A">
        <w:rPr>
          <w:rFonts w:cs="Calibri"/>
          <w:noProof/>
          <w:sz w:val="24"/>
          <w:lang w:val="en-US"/>
        </w:rPr>
        <w:t>. https://doi.org/10.1007/s00484-016-1270-4</w:t>
      </w:r>
    </w:p>
    <w:p w14:paraId="48877A3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Parks, R. M., Bennett, J. E., Foreman, K. J., Toumi, R., &amp; Ezzati, M. (2018). National and </w:t>
      </w:r>
      <w:r w:rsidRPr="0001634A">
        <w:rPr>
          <w:rFonts w:cs="Calibri"/>
          <w:noProof/>
          <w:sz w:val="24"/>
          <w:lang w:val="en-US"/>
        </w:rPr>
        <w:lastRenderedPageBreak/>
        <w:t xml:space="preserve">regional seasonal dynamics of all-cause and cause-specific mortality in the USA from 1980 to 2016. </w:t>
      </w:r>
      <w:r w:rsidRPr="0001634A">
        <w:rPr>
          <w:rFonts w:cs="Calibri"/>
          <w:i/>
          <w:iCs/>
          <w:noProof/>
          <w:sz w:val="24"/>
          <w:lang w:val="en-US"/>
        </w:rPr>
        <w:t>ELife</w:t>
      </w:r>
      <w:r w:rsidRPr="0001634A">
        <w:rPr>
          <w:rFonts w:cs="Calibri"/>
          <w:noProof/>
          <w:sz w:val="24"/>
          <w:lang w:val="en-US"/>
        </w:rPr>
        <w:t xml:space="preserve">, </w:t>
      </w:r>
      <w:r w:rsidRPr="0001634A">
        <w:rPr>
          <w:rFonts w:cs="Calibri"/>
          <w:i/>
          <w:iCs/>
          <w:noProof/>
          <w:sz w:val="24"/>
          <w:lang w:val="en-US"/>
        </w:rPr>
        <w:t>7</w:t>
      </w:r>
      <w:r w:rsidRPr="0001634A">
        <w:rPr>
          <w:rFonts w:cs="Calibri"/>
          <w:noProof/>
          <w:sz w:val="24"/>
          <w:lang w:val="en-US"/>
        </w:rPr>
        <w:t>. https://doi.org/10.7554/eLife.35500</w:t>
      </w:r>
    </w:p>
    <w:p w14:paraId="1068871F"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Rau, R. (2004). Seasonality in human mortality. A demographic approach. </w:t>
      </w:r>
      <w:r w:rsidRPr="0001634A">
        <w:rPr>
          <w:rFonts w:cs="Calibri"/>
          <w:i/>
          <w:iCs/>
          <w:noProof/>
          <w:sz w:val="24"/>
          <w:lang w:val="en-US"/>
        </w:rPr>
        <w:t>Wirtschafts- Und Sozialwissenschaftlichen Fakultät</w:t>
      </w:r>
      <w:r w:rsidRPr="0001634A">
        <w:rPr>
          <w:rFonts w:cs="Calibri"/>
          <w:noProof/>
          <w:sz w:val="24"/>
          <w:lang w:val="en-US"/>
        </w:rPr>
        <w:t xml:space="preserve">, </w:t>
      </w:r>
      <w:r w:rsidRPr="0001634A">
        <w:rPr>
          <w:rFonts w:cs="Calibri"/>
          <w:i/>
          <w:iCs/>
          <w:noProof/>
          <w:sz w:val="24"/>
          <w:lang w:val="en-US"/>
        </w:rPr>
        <w:t>PhD</w:t>
      </w:r>
      <w:r w:rsidRPr="0001634A">
        <w:rPr>
          <w:rFonts w:cs="Calibri"/>
          <w:noProof/>
          <w:sz w:val="24"/>
          <w:lang w:val="en-US"/>
        </w:rPr>
        <w:t>, 361. https://doi.org/10.1007/978-3-540-44902-7</w:t>
      </w:r>
    </w:p>
    <w:p w14:paraId="15145C6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Rey, G., Jougla, E., Fouillet, A., Pavillon, G., Bessemoulin, P., Frayssinet, P., … Hémon, D. (2007). The impact of major heat waves on all-cause and cause-specific mortality in France from 1971 to 2003. </w:t>
      </w:r>
      <w:r w:rsidRPr="0001634A">
        <w:rPr>
          <w:rFonts w:cs="Calibri"/>
          <w:i/>
          <w:iCs/>
          <w:noProof/>
          <w:sz w:val="24"/>
          <w:lang w:val="en-US"/>
        </w:rPr>
        <w:t>International Archives of Occupational and Environmental Health</w:t>
      </w:r>
      <w:r w:rsidRPr="0001634A">
        <w:rPr>
          <w:rFonts w:cs="Calibri"/>
          <w:noProof/>
          <w:sz w:val="24"/>
          <w:lang w:val="en-US"/>
        </w:rPr>
        <w:t>. https://doi.org/10.1007/s00420-007-0173-4</w:t>
      </w:r>
    </w:p>
    <w:p w14:paraId="49296801"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Roh, H.-J., Datla, S., &amp; Sharma, S. (2013). Effect of snow, temperature and their interaction on highway truck traffic. </w:t>
      </w:r>
      <w:r w:rsidRPr="0001634A">
        <w:rPr>
          <w:rFonts w:cs="Calibri"/>
          <w:i/>
          <w:iCs/>
          <w:noProof/>
          <w:sz w:val="24"/>
          <w:lang w:val="en-US"/>
        </w:rPr>
        <w:t>J. Transport. Techn.</w:t>
      </w:r>
      <w:r w:rsidRPr="0001634A">
        <w:rPr>
          <w:rFonts w:cs="Calibri"/>
          <w:noProof/>
          <w:sz w:val="24"/>
          <w:lang w:val="en-US"/>
        </w:rPr>
        <w:t xml:space="preserve"> https://doi.org/10.4236/jtts.2013.31003</w:t>
      </w:r>
    </w:p>
    <w:p w14:paraId="5487DBF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Roh, H.-J., Sahu, P. K., Sharma, S., Datla, S., &amp; Mehran, B. (2016). Statistical investigations of snowfall and temperature interaction with passenger car and truck traffic on primary highways in Canada. </w:t>
      </w:r>
      <w:r w:rsidRPr="0001634A">
        <w:rPr>
          <w:rFonts w:cs="Calibri"/>
          <w:i/>
          <w:iCs/>
          <w:noProof/>
          <w:sz w:val="24"/>
          <w:lang w:val="en-US"/>
        </w:rPr>
        <w:t>Journal of Cold Regions Engineering</w:t>
      </w:r>
      <w:r w:rsidRPr="0001634A">
        <w:rPr>
          <w:rFonts w:cs="Calibri"/>
          <w:noProof/>
          <w:sz w:val="24"/>
          <w:lang w:val="en-US"/>
        </w:rPr>
        <w:t>. https://doi.org/10.1061/(ASCE)CR.1943-5495.0000099</w:t>
      </w:r>
    </w:p>
    <w:p w14:paraId="7B0F226B"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Roh, H. J., Sharma, S., &amp; Sahu, P. K. (2016). Modeling snow and cold effects for classified highway traffic volumes. </w:t>
      </w:r>
      <w:r w:rsidRPr="0001634A">
        <w:rPr>
          <w:rFonts w:cs="Calibri"/>
          <w:i/>
          <w:iCs/>
          <w:noProof/>
          <w:sz w:val="24"/>
          <w:lang w:val="en-US"/>
        </w:rPr>
        <w:t>KSCE Journal of Civil Engineering</w:t>
      </w:r>
      <w:r w:rsidRPr="0001634A">
        <w:rPr>
          <w:rFonts w:cs="Calibri"/>
          <w:noProof/>
          <w:sz w:val="24"/>
          <w:lang w:val="en-US"/>
        </w:rPr>
        <w:t>. https://doi.org/10.1007/s12205-015-0236-0</w:t>
      </w:r>
    </w:p>
    <w:p w14:paraId="0EA854D7"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Rotton, J., &amp; Cohn, E. G. (2003). Global warming and U.S. crime rates: An application of routine activity theory. </w:t>
      </w:r>
      <w:r w:rsidRPr="0001634A">
        <w:rPr>
          <w:rFonts w:cs="Calibri"/>
          <w:i/>
          <w:iCs/>
          <w:noProof/>
          <w:sz w:val="24"/>
          <w:lang w:val="en-US"/>
        </w:rPr>
        <w:t>Environment and Behavior</w:t>
      </w:r>
      <w:r w:rsidRPr="0001634A">
        <w:rPr>
          <w:rFonts w:cs="Calibri"/>
          <w:noProof/>
          <w:sz w:val="24"/>
          <w:lang w:val="en-US"/>
        </w:rPr>
        <w:t>. https://doi.org/10.1177/0013916503255565</w:t>
      </w:r>
    </w:p>
    <w:p w14:paraId="6ACB7A3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Rue, H., &amp; Held, L. (2005). </w:t>
      </w:r>
      <w:r w:rsidRPr="0001634A">
        <w:rPr>
          <w:rFonts w:cs="Calibri"/>
          <w:i/>
          <w:iCs/>
          <w:noProof/>
          <w:sz w:val="24"/>
          <w:lang w:val="en-US"/>
        </w:rPr>
        <w:t>Gaussian Markov random fields. Theory and applications</w:t>
      </w:r>
      <w:r w:rsidRPr="0001634A">
        <w:rPr>
          <w:rFonts w:cs="Calibri"/>
          <w:noProof/>
          <w:sz w:val="24"/>
          <w:lang w:val="en-US"/>
        </w:rPr>
        <w:t xml:space="preserve">. </w:t>
      </w:r>
      <w:r w:rsidRPr="0001634A">
        <w:rPr>
          <w:rFonts w:cs="Calibri"/>
          <w:i/>
          <w:iCs/>
          <w:noProof/>
          <w:sz w:val="24"/>
          <w:lang w:val="en-US"/>
        </w:rPr>
        <w:t>Chapman &amp; Hall</w:t>
      </w:r>
      <w:r w:rsidRPr="0001634A">
        <w:rPr>
          <w:rFonts w:cs="Calibri"/>
          <w:noProof/>
          <w:sz w:val="24"/>
          <w:lang w:val="en-US"/>
        </w:rPr>
        <w:t>. https://doi.org/10.1007/s00184-007-0162-3</w:t>
      </w:r>
    </w:p>
    <w:p w14:paraId="1B1CA670"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Rue, H., Martino, S., &amp; Chopin, N. (2009). Approximate Bayesian inference for latent Gaussian models by using integrated nested Laplace approximations. </w:t>
      </w:r>
      <w:r w:rsidRPr="0001634A">
        <w:rPr>
          <w:rFonts w:cs="Calibri"/>
          <w:i/>
          <w:iCs/>
          <w:noProof/>
          <w:sz w:val="24"/>
          <w:lang w:val="en-US"/>
        </w:rPr>
        <w:t>Journal of the Royal Statistical Society. Series B: Statistical Methodology</w:t>
      </w:r>
      <w:r w:rsidRPr="0001634A">
        <w:rPr>
          <w:rFonts w:cs="Calibri"/>
          <w:noProof/>
          <w:sz w:val="24"/>
          <w:lang w:val="en-US"/>
        </w:rPr>
        <w:t>. https://doi.org/10.1111/j.1467-9868.2008.00700.x</w:t>
      </w:r>
    </w:p>
    <w:p w14:paraId="3529E65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Shi, L., Kloog, I., Zanobetti, A., Liu, P., &amp; Schwartz, J. D. (2015). Impacts of temperature and its variability on mortality in New England. </w:t>
      </w:r>
      <w:r w:rsidRPr="0001634A">
        <w:rPr>
          <w:rFonts w:cs="Calibri"/>
          <w:i/>
          <w:iCs/>
          <w:noProof/>
          <w:sz w:val="24"/>
          <w:lang w:val="en-US"/>
        </w:rPr>
        <w:t>Nature Climate Change</w:t>
      </w:r>
      <w:r w:rsidRPr="0001634A">
        <w:rPr>
          <w:rFonts w:cs="Calibri"/>
          <w:noProof/>
          <w:sz w:val="24"/>
          <w:lang w:val="en-US"/>
        </w:rPr>
        <w:t xml:space="preserve">, </w:t>
      </w:r>
      <w:r w:rsidRPr="0001634A">
        <w:rPr>
          <w:rFonts w:cs="Calibri"/>
          <w:i/>
          <w:iCs/>
          <w:noProof/>
          <w:sz w:val="24"/>
          <w:lang w:val="en-US"/>
        </w:rPr>
        <w:t>5</w:t>
      </w:r>
      <w:r w:rsidRPr="0001634A">
        <w:rPr>
          <w:rFonts w:cs="Calibri"/>
          <w:noProof/>
          <w:sz w:val="24"/>
          <w:lang w:val="en-US"/>
        </w:rPr>
        <w:t>(11), 988–991. https://doi.org/10.1038/nclimate2704</w:t>
      </w:r>
    </w:p>
    <w:p w14:paraId="23764E4E"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Smith, K. R., Woodward, A., Campbell-Lendrum, D., Chadee, D. D., Honda, Y., Liu, Q., … Rocklov, J. (2015). Human health: Impacts, adaptation, and co-benefits. In </w:t>
      </w:r>
      <w:r w:rsidRPr="0001634A">
        <w:rPr>
          <w:rFonts w:cs="Calibri"/>
          <w:i/>
          <w:iCs/>
          <w:noProof/>
          <w:sz w:val="24"/>
          <w:lang w:val="en-US"/>
        </w:rPr>
        <w:t>Climate Change 2014 Impacts, Adaptation and Vulnerability: Part A: Global and Sectoral Aspects</w:t>
      </w:r>
      <w:r w:rsidRPr="0001634A">
        <w:rPr>
          <w:rFonts w:cs="Calibri"/>
          <w:noProof/>
          <w:sz w:val="24"/>
          <w:lang w:val="en-US"/>
        </w:rPr>
        <w:t>. https://doi.org/10.1017/CBO9781107415379.016</w:t>
      </w:r>
    </w:p>
    <w:p w14:paraId="0CA6D0BE"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Voas, R. B., Torres, P., Romano, E., &amp; Lacey, J. H. (2012). Alcohol-related risk of driver fatalities: An update using 2007 data. </w:t>
      </w:r>
      <w:r w:rsidRPr="0001634A">
        <w:rPr>
          <w:rFonts w:cs="Calibri"/>
          <w:i/>
          <w:iCs/>
          <w:noProof/>
          <w:sz w:val="24"/>
          <w:lang w:val="en-US"/>
        </w:rPr>
        <w:t>Journal of Studies on Alcohol and Drugs</w:t>
      </w:r>
      <w:r w:rsidRPr="0001634A">
        <w:rPr>
          <w:rFonts w:cs="Calibri"/>
          <w:noProof/>
          <w:sz w:val="24"/>
          <w:lang w:val="en-US"/>
        </w:rPr>
        <w:t>. https://doi.org/10.15288/jsad.2012.73.341</w:t>
      </w:r>
    </w:p>
    <w:p w14:paraId="76A2CAA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Wallace, J. M., &amp; Hobbs, P. V. (2006). </w:t>
      </w:r>
      <w:r w:rsidRPr="0001634A">
        <w:rPr>
          <w:rFonts w:cs="Calibri"/>
          <w:i/>
          <w:iCs/>
          <w:noProof/>
          <w:sz w:val="24"/>
          <w:lang w:val="en-US"/>
        </w:rPr>
        <w:t>Atmospheric science: An introductory survey: Second edition</w:t>
      </w:r>
      <w:r w:rsidRPr="0001634A">
        <w:rPr>
          <w:rFonts w:cs="Calibri"/>
          <w:noProof/>
          <w:sz w:val="24"/>
          <w:lang w:val="en-US"/>
        </w:rPr>
        <w:t xml:space="preserve">. </w:t>
      </w:r>
      <w:r w:rsidRPr="0001634A">
        <w:rPr>
          <w:rFonts w:cs="Calibri"/>
          <w:i/>
          <w:iCs/>
          <w:noProof/>
          <w:sz w:val="24"/>
          <w:lang w:val="en-US"/>
        </w:rPr>
        <w:t>Atmospheric Science: An Introductory Survey: Second Edition</w:t>
      </w:r>
      <w:r w:rsidRPr="0001634A">
        <w:rPr>
          <w:rFonts w:cs="Calibri"/>
          <w:noProof/>
          <w:sz w:val="24"/>
          <w:lang w:val="en-US"/>
        </w:rPr>
        <w:t xml:space="preserve">. </w:t>
      </w:r>
      <w:r w:rsidRPr="0001634A">
        <w:rPr>
          <w:rFonts w:cs="Calibri"/>
          <w:noProof/>
          <w:sz w:val="24"/>
          <w:lang w:val="en-US"/>
        </w:rPr>
        <w:lastRenderedPageBreak/>
        <w:t>https://doi.org/10.1016/C2009-0-00034-8</w:t>
      </w:r>
    </w:p>
    <w:p w14:paraId="5E4593BA"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Watts, N., Amann, M., Arnell, N., Ayeb-karlsson, S., Belesova, K., Lucien, P., … Grace, D. (2018). The 2018 report of the Lancet Countdown on health and climate change: shaping health of nations for centuries to come. </w:t>
      </w:r>
      <w:r w:rsidRPr="0001634A">
        <w:rPr>
          <w:rFonts w:cs="Calibri"/>
          <w:i/>
          <w:iCs/>
          <w:noProof/>
          <w:sz w:val="24"/>
          <w:lang w:val="en-US"/>
        </w:rPr>
        <w:t>The Lancet</w:t>
      </w:r>
      <w:r w:rsidRPr="0001634A">
        <w:rPr>
          <w:rFonts w:cs="Calibri"/>
          <w:noProof/>
          <w:sz w:val="24"/>
          <w:lang w:val="en-US"/>
        </w:rPr>
        <w:t xml:space="preserve">, </w:t>
      </w:r>
      <w:r w:rsidRPr="0001634A">
        <w:rPr>
          <w:rFonts w:cs="Calibri"/>
          <w:i/>
          <w:iCs/>
          <w:noProof/>
          <w:sz w:val="24"/>
          <w:lang w:val="en-US"/>
        </w:rPr>
        <w:t>6736</w:t>
      </w:r>
      <w:r w:rsidRPr="0001634A">
        <w:rPr>
          <w:rFonts w:cs="Calibri"/>
          <w:noProof/>
          <w:sz w:val="24"/>
          <w:lang w:val="en-US"/>
        </w:rPr>
        <w:t>(18), 1–4. https://doi.org/10.1016/S0140-6736(18)32594-7</w:t>
      </w:r>
    </w:p>
    <w:p w14:paraId="2E413AC9"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Wyon, D. P., Wyon, I., &amp; Norin, F. (1996). Effects of moderate heat stress on driver vigilance in a moving vehicle. </w:t>
      </w:r>
      <w:r w:rsidRPr="0001634A">
        <w:rPr>
          <w:rFonts w:cs="Calibri"/>
          <w:i/>
          <w:iCs/>
          <w:noProof/>
          <w:sz w:val="24"/>
          <w:lang w:val="en-US"/>
        </w:rPr>
        <w:t>Ergonomics</w:t>
      </w:r>
      <w:r w:rsidRPr="0001634A">
        <w:rPr>
          <w:rFonts w:cs="Calibri"/>
          <w:noProof/>
          <w:sz w:val="24"/>
          <w:lang w:val="en-US"/>
        </w:rPr>
        <w:t>. https://doi.org/10.1080/00140139608964434</w:t>
      </w:r>
    </w:p>
    <w:p w14:paraId="1779004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Xu, J. (2014). Unintentional drowning deaths in the United States, 1999-2010. </w:t>
      </w:r>
      <w:r w:rsidRPr="0001634A">
        <w:rPr>
          <w:rFonts w:cs="Calibri"/>
          <w:i/>
          <w:iCs/>
          <w:noProof/>
          <w:sz w:val="24"/>
          <w:lang w:val="en-US"/>
        </w:rPr>
        <w:t>NCHS Data Brief</w:t>
      </w:r>
      <w:r w:rsidRPr="0001634A">
        <w:rPr>
          <w:rFonts w:cs="Calibri"/>
          <w:noProof/>
          <w:sz w:val="24"/>
          <w:lang w:val="en-US"/>
        </w:rPr>
        <w:t>.</w:t>
      </w:r>
    </w:p>
    <w:p w14:paraId="180D1DD5"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Ye, X., Wolff, R., Yu, W., Vaneckova, P., Pan, X., &amp; Tong, S. (2012). Ambient temperature and morbidity: a review of epidemiological evidence. </w:t>
      </w:r>
      <w:r w:rsidRPr="0001634A">
        <w:rPr>
          <w:rFonts w:cs="Calibri"/>
          <w:i/>
          <w:iCs/>
          <w:noProof/>
          <w:sz w:val="24"/>
          <w:lang w:val="en-US"/>
        </w:rPr>
        <w:t>Environmental Health Perspectives</w:t>
      </w:r>
      <w:r w:rsidRPr="0001634A">
        <w:rPr>
          <w:rFonts w:cs="Calibri"/>
          <w:noProof/>
          <w:sz w:val="24"/>
          <w:lang w:val="en-US"/>
        </w:rPr>
        <w:t xml:space="preserve">, </w:t>
      </w:r>
      <w:r w:rsidRPr="0001634A">
        <w:rPr>
          <w:rFonts w:cs="Calibri"/>
          <w:i/>
          <w:iCs/>
          <w:noProof/>
          <w:sz w:val="24"/>
          <w:lang w:val="en-US"/>
        </w:rPr>
        <w:t>120</w:t>
      </w:r>
      <w:r w:rsidRPr="0001634A">
        <w:rPr>
          <w:rFonts w:cs="Calibri"/>
          <w:noProof/>
          <w:sz w:val="24"/>
          <w:lang w:val="en-US"/>
        </w:rPr>
        <w:t>(1), 19–28. https://doi.org/10.1289/ehp.1003198</w:t>
      </w:r>
    </w:p>
    <w:p w14:paraId="4A3E2D06" w14:textId="77777777" w:rsidR="0001634A" w:rsidRPr="0001634A" w:rsidRDefault="0001634A" w:rsidP="0001634A">
      <w:pPr>
        <w:widowControl w:val="0"/>
        <w:autoSpaceDE w:val="0"/>
        <w:autoSpaceDN w:val="0"/>
        <w:adjustRightInd w:val="0"/>
        <w:spacing w:line="240" w:lineRule="auto"/>
        <w:ind w:left="480" w:hanging="480"/>
        <w:rPr>
          <w:rFonts w:cs="Calibri"/>
          <w:noProof/>
          <w:sz w:val="24"/>
        </w:rPr>
      </w:pPr>
      <w:r w:rsidRPr="0001634A">
        <w:rPr>
          <w:rFonts w:cs="Calibri"/>
          <w:noProof/>
          <w:sz w:val="24"/>
          <w:lang w:val="en-US"/>
        </w:rPr>
        <w:t xml:space="preserve">Zlatoper, T. J. (1991). Determinants of motor vehicle deaths in the United States: A cross-sectional analysis. </w:t>
      </w:r>
      <w:r w:rsidRPr="0001634A">
        <w:rPr>
          <w:rFonts w:cs="Calibri"/>
          <w:i/>
          <w:iCs/>
          <w:noProof/>
          <w:sz w:val="24"/>
          <w:lang w:val="en-US"/>
        </w:rPr>
        <w:t>Accident Analysis and Prevention</w:t>
      </w:r>
      <w:r w:rsidRPr="0001634A">
        <w:rPr>
          <w:rFonts w:cs="Calibri"/>
          <w:noProof/>
          <w:sz w:val="24"/>
          <w:lang w:val="en-US"/>
        </w:rPr>
        <w:t>. https://doi.org/10.1016/0001-4575(91)90062-A</w:t>
      </w:r>
    </w:p>
    <w:p w14:paraId="2B228869" w14:textId="5E491F0C" w:rsidR="006675AE" w:rsidRPr="00127064" w:rsidRDefault="006675AE" w:rsidP="0001634A">
      <w:pPr>
        <w:spacing w:line="240" w:lineRule="auto"/>
        <w:jc w:val="both"/>
      </w:pPr>
      <w:r w:rsidRPr="00736834">
        <w:rPr>
          <w:sz w:val="24"/>
          <w:szCs w:val="24"/>
        </w:rPr>
        <w:fldChar w:fldCharType="end"/>
      </w:r>
    </w:p>
    <w:sectPr w:rsidR="006675AE" w:rsidRPr="00127064" w:rsidSect="0083190B">
      <w:footerReference w:type="even" r:id="rId11"/>
      <w:footerReference w:type="default" r:id="rId12"/>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2D1E7B" w14:textId="77777777" w:rsidR="00F91586" w:rsidRDefault="00F91586">
      <w:pPr>
        <w:spacing w:after="0" w:line="240" w:lineRule="auto"/>
      </w:pPr>
      <w:r>
        <w:separator/>
      </w:r>
    </w:p>
    <w:p w14:paraId="0DF749F3" w14:textId="77777777" w:rsidR="00F91586" w:rsidRDefault="00F91586"/>
  </w:endnote>
  <w:endnote w:type="continuationSeparator" w:id="0">
    <w:p w14:paraId="46E945F0" w14:textId="77777777" w:rsidR="00F91586" w:rsidRDefault="00F91586">
      <w:pPr>
        <w:spacing w:after="0" w:line="240" w:lineRule="auto"/>
      </w:pPr>
      <w:r>
        <w:continuationSeparator/>
      </w:r>
    </w:p>
    <w:p w14:paraId="7E2CE851" w14:textId="77777777" w:rsidR="00F91586" w:rsidRDefault="00F915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83193116"/>
      <w:docPartObj>
        <w:docPartGallery w:val="Page Numbers (Bottom of Page)"/>
        <w:docPartUnique/>
      </w:docPartObj>
    </w:sdtPr>
    <w:sdtContent>
      <w:p w14:paraId="1BBB362A" w14:textId="0B3117DE" w:rsidR="00905DF6" w:rsidRDefault="00905DF6"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905DF6" w:rsidRDefault="00905DF6"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66341741"/>
      <w:docPartObj>
        <w:docPartGallery w:val="Page Numbers (Bottom of Page)"/>
        <w:docPartUnique/>
      </w:docPartObj>
    </w:sdtPr>
    <w:sdtContent>
      <w:p w14:paraId="2C828E9F" w14:textId="5660A313" w:rsidR="00905DF6" w:rsidRDefault="00905DF6"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905DF6" w:rsidRDefault="00905DF6"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F1A45D" w14:textId="77777777" w:rsidR="00F91586" w:rsidRDefault="00F91586">
      <w:pPr>
        <w:spacing w:after="0" w:line="240" w:lineRule="auto"/>
      </w:pPr>
      <w:r>
        <w:separator/>
      </w:r>
    </w:p>
    <w:p w14:paraId="003B8B69" w14:textId="77777777" w:rsidR="00F91586" w:rsidRDefault="00F91586"/>
  </w:footnote>
  <w:footnote w:type="continuationSeparator" w:id="0">
    <w:p w14:paraId="0504AA71" w14:textId="77777777" w:rsidR="00F91586" w:rsidRDefault="00F91586">
      <w:pPr>
        <w:spacing w:after="0" w:line="240" w:lineRule="auto"/>
      </w:pPr>
      <w:r>
        <w:continuationSeparator/>
      </w:r>
    </w:p>
    <w:p w14:paraId="1F0B5DC7" w14:textId="77777777" w:rsidR="00F91586" w:rsidRDefault="00F9158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1"/>
  </w:num>
  <w:num w:numId="3">
    <w:abstractNumId w:val="34"/>
  </w:num>
  <w:num w:numId="4">
    <w:abstractNumId w:val="40"/>
  </w:num>
  <w:num w:numId="5">
    <w:abstractNumId w:val="5"/>
  </w:num>
  <w:num w:numId="6">
    <w:abstractNumId w:val="11"/>
  </w:num>
  <w:num w:numId="7">
    <w:abstractNumId w:val="1"/>
  </w:num>
  <w:num w:numId="8">
    <w:abstractNumId w:val="29"/>
  </w:num>
  <w:num w:numId="9">
    <w:abstractNumId w:val="36"/>
  </w:num>
  <w:num w:numId="10">
    <w:abstractNumId w:val="27"/>
  </w:num>
  <w:num w:numId="11">
    <w:abstractNumId w:val="30"/>
  </w:num>
  <w:num w:numId="12">
    <w:abstractNumId w:val="26"/>
  </w:num>
  <w:num w:numId="13">
    <w:abstractNumId w:val="22"/>
  </w:num>
  <w:num w:numId="14">
    <w:abstractNumId w:val="16"/>
  </w:num>
  <w:num w:numId="15">
    <w:abstractNumId w:val="38"/>
  </w:num>
  <w:num w:numId="16">
    <w:abstractNumId w:val="43"/>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2"/>
  </w:num>
  <w:num w:numId="27">
    <w:abstractNumId w:val="17"/>
  </w:num>
  <w:num w:numId="28">
    <w:abstractNumId w:val="15"/>
  </w:num>
  <w:num w:numId="29">
    <w:abstractNumId w:val="2"/>
  </w:num>
  <w:num w:numId="30">
    <w:abstractNumId w:val="14"/>
  </w:num>
  <w:num w:numId="31">
    <w:abstractNumId w:val="37"/>
  </w:num>
  <w:num w:numId="32">
    <w:abstractNumId w:val="35"/>
  </w:num>
  <w:num w:numId="33">
    <w:abstractNumId w:val="12"/>
  </w:num>
  <w:num w:numId="34">
    <w:abstractNumId w:val="39"/>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C50"/>
    <w:rsid w:val="00056C5A"/>
    <w:rsid w:val="00060181"/>
    <w:rsid w:val="0006104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F07"/>
    <w:rsid w:val="000A2462"/>
    <w:rsid w:val="000A2637"/>
    <w:rsid w:val="000A2E51"/>
    <w:rsid w:val="000A300F"/>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5837"/>
    <w:rsid w:val="000E60FC"/>
    <w:rsid w:val="000E6236"/>
    <w:rsid w:val="000F0627"/>
    <w:rsid w:val="000F0913"/>
    <w:rsid w:val="000F09F9"/>
    <w:rsid w:val="000F0A11"/>
    <w:rsid w:val="000F0A29"/>
    <w:rsid w:val="000F0C79"/>
    <w:rsid w:val="000F1035"/>
    <w:rsid w:val="000F12C0"/>
    <w:rsid w:val="000F1400"/>
    <w:rsid w:val="000F1DF7"/>
    <w:rsid w:val="000F3189"/>
    <w:rsid w:val="000F3360"/>
    <w:rsid w:val="000F3D7A"/>
    <w:rsid w:val="000F4320"/>
    <w:rsid w:val="000F44C0"/>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979"/>
    <w:rsid w:val="00103ED5"/>
    <w:rsid w:val="0010422E"/>
    <w:rsid w:val="00104231"/>
    <w:rsid w:val="0010440D"/>
    <w:rsid w:val="001046FA"/>
    <w:rsid w:val="001047DC"/>
    <w:rsid w:val="00104B66"/>
    <w:rsid w:val="00105420"/>
    <w:rsid w:val="00105569"/>
    <w:rsid w:val="00105708"/>
    <w:rsid w:val="00105731"/>
    <w:rsid w:val="0010581C"/>
    <w:rsid w:val="001063E9"/>
    <w:rsid w:val="0010644A"/>
    <w:rsid w:val="00107C70"/>
    <w:rsid w:val="00107E64"/>
    <w:rsid w:val="00110568"/>
    <w:rsid w:val="0011057A"/>
    <w:rsid w:val="0011072B"/>
    <w:rsid w:val="00111170"/>
    <w:rsid w:val="00111694"/>
    <w:rsid w:val="00111FB4"/>
    <w:rsid w:val="00112077"/>
    <w:rsid w:val="00112085"/>
    <w:rsid w:val="001121F5"/>
    <w:rsid w:val="00112CB4"/>
    <w:rsid w:val="00112F7C"/>
    <w:rsid w:val="00113023"/>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D04"/>
    <w:rsid w:val="001242F1"/>
    <w:rsid w:val="001243CC"/>
    <w:rsid w:val="00124496"/>
    <w:rsid w:val="00124537"/>
    <w:rsid w:val="001245A8"/>
    <w:rsid w:val="00124625"/>
    <w:rsid w:val="00124A53"/>
    <w:rsid w:val="00124F13"/>
    <w:rsid w:val="00125C9A"/>
    <w:rsid w:val="001266B6"/>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D66"/>
    <w:rsid w:val="00190108"/>
    <w:rsid w:val="00190701"/>
    <w:rsid w:val="00190B92"/>
    <w:rsid w:val="001910F8"/>
    <w:rsid w:val="001913FC"/>
    <w:rsid w:val="0019142A"/>
    <w:rsid w:val="00191434"/>
    <w:rsid w:val="001917D5"/>
    <w:rsid w:val="001918BF"/>
    <w:rsid w:val="00191AAE"/>
    <w:rsid w:val="00192959"/>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A03A0"/>
    <w:rsid w:val="001A0466"/>
    <w:rsid w:val="001A19F2"/>
    <w:rsid w:val="001A1BDF"/>
    <w:rsid w:val="001A1F00"/>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4116"/>
    <w:rsid w:val="001B41BA"/>
    <w:rsid w:val="001B46BA"/>
    <w:rsid w:val="001B4AE9"/>
    <w:rsid w:val="001B50DF"/>
    <w:rsid w:val="001B5646"/>
    <w:rsid w:val="001B5D4C"/>
    <w:rsid w:val="001B6834"/>
    <w:rsid w:val="001B68C3"/>
    <w:rsid w:val="001B713E"/>
    <w:rsid w:val="001B7484"/>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3AB"/>
    <w:rsid w:val="0020482E"/>
    <w:rsid w:val="0020498A"/>
    <w:rsid w:val="00204A05"/>
    <w:rsid w:val="0020532C"/>
    <w:rsid w:val="00205A33"/>
    <w:rsid w:val="00205AEF"/>
    <w:rsid w:val="002061EF"/>
    <w:rsid w:val="00206446"/>
    <w:rsid w:val="00206A3E"/>
    <w:rsid w:val="00206EE5"/>
    <w:rsid w:val="00207A73"/>
    <w:rsid w:val="00207B14"/>
    <w:rsid w:val="00207B39"/>
    <w:rsid w:val="00207F3E"/>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C2E"/>
    <w:rsid w:val="00252185"/>
    <w:rsid w:val="002522D1"/>
    <w:rsid w:val="00252CB9"/>
    <w:rsid w:val="00252D7A"/>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31F"/>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5D6"/>
    <w:rsid w:val="00285724"/>
    <w:rsid w:val="00285791"/>
    <w:rsid w:val="00285A1A"/>
    <w:rsid w:val="00285D75"/>
    <w:rsid w:val="0028623A"/>
    <w:rsid w:val="00287584"/>
    <w:rsid w:val="002905BB"/>
    <w:rsid w:val="0029087D"/>
    <w:rsid w:val="00290E98"/>
    <w:rsid w:val="002920F8"/>
    <w:rsid w:val="00292A75"/>
    <w:rsid w:val="00292DF8"/>
    <w:rsid w:val="002932B0"/>
    <w:rsid w:val="0029420D"/>
    <w:rsid w:val="00294C1D"/>
    <w:rsid w:val="002953F0"/>
    <w:rsid w:val="00295451"/>
    <w:rsid w:val="00295725"/>
    <w:rsid w:val="00295CE8"/>
    <w:rsid w:val="002961A7"/>
    <w:rsid w:val="002964A1"/>
    <w:rsid w:val="00296824"/>
    <w:rsid w:val="00296A5E"/>
    <w:rsid w:val="002970B8"/>
    <w:rsid w:val="0029781C"/>
    <w:rsid w:val="00297C0C"/>
    <w:rsid w:val="002A0C66"/>
    <w:rsid w:val="002A0CC7"/>
    <w:rsid w:val="002A0D68"/>
    <w:rsid w:val="002A14D7"/>
    <w:rsid w:val="002A17EC"/>
    <w:rsid w:val="002A1857"/>
    <w:rsid w:val="002A2B91"/>
    <w:rsid w:val="002A2B94"/>
    <w:rsid w:val="002A2DCD"/>
    <w:rsid w:val="002A2FF6"/>
    <w:rsid w:val="002A324D"/>
    <w:rsid w:val="002A4118"/>
    <w:rsid w:val="002A4346"/>
    <w:rsid w:val="002A4697"/>
    <w:rsid w:val="002A4698"/>
    <w:rsid w:val="002A4CEA"/>
    <w:rsid w:val="002A4CEB"/>
    <w:rsid w:val="002A4FB3"/>
    <w:rsid w:val="002A5534"/>
    <w:rsid w:val="002A58AD"/>
    <w:rsid w:val="002A58D9"/>
    <w:rsid w:val="002A60A8"/>
    <w:rsid w:val="002A658E"/>
    <w:rsid w:val="002A6760"/>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40EE"/>
    <w:rsid w:val="002B42BF"/>
    <w:rsid w:val="002B5115"/>
    <w:rsid w:val="002B526B"/>
    <w:rsid w:val="002B5412"/>
    <w:rsid w:val="002B5DCD"/>
    <w:rsid w:val="002B5DDD"/>
    <w:rsid w:val="002B6BF0"/>
    <w:rsid w:val="002B782C"/>
    <w:rsid w:val="002B7879"/>
    <w:rsid w:val="002B7F08"/>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5B8"/>
    <w:rsid w:val="002D4EED"/>
    <w:rsid w:val="002D52AB"/>
    <w:rsid w:val="002D5342"/>
    <w:rsid w:val="002D6C2C"/>
    <w:rsid w:val="002D6DF8"/>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60A89"/>
    <w:rsid w:val="00361098"/>
    <w:rsid w:val="0036143F"/>
    <w:rsid w:val="00361EAF"/>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6BC"/>
    <w:rsid w:val="00367B32"/>
    <w:rsid w:val="0037036F"/>
    <w:rsid w:val="0037073D"/>
    <w:rsid w:val="00370A14"/>
    <w:rsid w:val="00370B1F"/>
    <w:rsid w:val="00370CF6"/>
    <w:rsid w:val="00370F0B"/>
    <w:rsid w:val="00371A85"/>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C42"/>
    <w:rsid w:val="003A6E74"/>
    <w:rsid w:val="003A7C72"/>
    <w:rsid w:val="003B07E1"/>
    <w:rsid w:val="003B1420"/>
    <w:rsid w:val="003B1470"/>
    <w:rsid w:val="003B1924"/>
    <w:rsid w:val="003B1BCB"/>
    <w:rsid w:val="003B22D7"/>
    <w:rsid w:val="003B2A22"/>
    <w:rsid w:val="003B32ED"/>
    <w:rsid w:val="003B3A5E"/>
    <w:rsid w:val="003B43ED"/>
    <w:rsid w:val="003B456F"/>
    <w:rsid w:val="003B6079"/>
    <w:rsid w:val="003B6C35"/>
    <w:rsid w:val="003B71FE"/>
    <w:rsid w:val="003C0251"/>
    <w:rsid w:val="003C0448"/>
    <w:rsid w:val="003C1333"/>
    <w:rsid w:val="003C1415"/>
    <w:rsid w:val="003C153C"/>
    <w:rsid w:val="003C1C54"/>
    <w:rsid w:val="003C1E14"/>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100F6"/>
    <w:rsid w:val="00410654"/>
    <w:rsid w:val="004108DE"/>
    <w:rsid w:val="00411019"/>
    <w:rsid w:val="0041265F"/>
    <w:rsid w:val="0041272D"/>
    <w:rsid w:val="004127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B3"/>
    <w:rsid w:val="00440177"/>
    <w:rsid w:val="0044079D"/>
    <w:rsid w:val="0044093E"/>
    <w:rsid w:val="00441DFA"/>
    <w:rsid w:val="004421A6"/>
    <w:rsid w:val="00442AF2"/>
    <w:rsid w:val="00442CC2"/>
    <w:rsid w:val="0044350F"/>
    <w:rsid w:val="00443903"/>
    <w:rsid w:val="00443AA8"/>
    <w:rsid w:val="00444B11"/>
    <w:rsid w:val="00444D1A"/>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2234"/>
    <w:rsid w:val="004723C2"/>
    <w:rsid w:val="00472D21"/>
    <w:rsid w:val="00472F83"/>
    <w:rsid w:val="00474107"/>
    <w:rsid w:val="00474A2C"/>
    <w:rsid w:val="004752C7"/>
    <w:rsid w:val="00475442"/>
    <w:rsid w:val="00475B09"/>
    <w:rsid w:val="00475FD8"/>
    <w:rsid w:val="0047610E"/>
    <w:rsid w:val="00476919"/>
    <w:rsid w:val="0047730B"/>
    <w:rsid w:val="0047730E"/>
    <w:rsid w:val="004802FF"/>
    <w:rsid w:val="004813ED"/>
    <w:rsid w:val="004814FB"/>
    <w:rsid w:val="00481829"/>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D7D"/>
    <w:rsid w:val="004A5DE4"/>
    <w:rsid w:val="004A7E98"/>
    <w:rsid w:val="004B031E"/>
    <w:rsid w:val="004B0699"/>
    <w:rsid w:val="004B0A34"/>
    <w:rsid w:val="004B16A0"/>
    <w:rsid w:val="004B2216"/>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7C0"/>
    <w:rsid w:val="004C7EE7"/>
    <w:rsid w:val="004D037A"/>
    <w:rsid w:val="004D0498"/>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7526"/>
    <w:rsid w:val="004D7A48"/>
    <w:rsid w:val="004E031C"/>
    <w:rsid w:val="004E2224"/>
    <w:rsid w:val="004E2671"/>
    <w:rsid w:val="004E2682"/>
    <w:rsid w:val="004E2756"/>
    <w:rsid w:val="004E2BB9"/>
    <w:rsid w:val="004E2CAC"/>
    <w:rsid w:val="004E2FEA"/>
    <w:rsid w:val="004E31A7"/>
    <w:rsid w:val="004E39EF"/>
    <w:rsid w:val="004E46DC"/>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DBA"/>
    <w:rsid w:val="00516469"/>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738"/>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7FE"/>
    <w:rsid w:val="00553ABC"/>
    <w:rsid w:val="00553BFB"/>
    <w:rsid w:val="00554728"/>
    <w:rsid w:val="00554C35"/>
    <w:rsid w:val="005553AF"/>
    <w:rsid w:val="0055543E"/>
    <w:rsid w:val="005559FE"/>
    <w:rsid w:val="0055622E"/>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25E"/>
    <w:rsid w:val="005776AE"/>
    <w:rsid w:val="00577AB6"/>
    <w:rsid w:val="00577C4A"/>
    <w:rsid w:val="00580000"/>
    <w:rsid w:val="00580959"/>
    <w:rsid w:val="00581C63"/>
    <w:rsid w:val="0058211A"/>
    <w:rsid w:val="00582917"/>
    <w:rsid w:val="00582B8F"/>
    <w:rsid w:val="0058338A"/>
    <w:rsid w:val="005834DB"/>
    <w:rsid w:val="00583B1C"/>
    <w:rsid w:val="00584286"/>
    <w:rsid w:val="0058439A"/>
    <w:rsid w:val="00584476"/>
    <w:rsid w:val="00584D18"/>
    <w:rsid w:val="00584EF8"/>
    <w:rsid w:val="00585001"/>
    <w:rsid w:val="00586376"/>
    <w:rsid w:val="005870DD"/>
    <w:rsid w:val="00587150"/>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FCB"/>
    <w:rsid w:val="005C606D"/>
    <w:rsid w:val="005C6B5D"/>
    <w:rsid w:val="005C6E29"/>
    <w:rsid w:val="005C6F3E"/>
    <w:rsid w:val="005C7007"/>
    <w:rsid w:val="005C7354"/>
    <w:rsid w:val="005C776A"/>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30166"/>
    <w:rsid w:val="00630617"/>
    <w:rsid w:val="006306EA"/>
    <w:rsid w:val="00630AD8"/>
    <w:rsid w:val="00630B94"/>
    <w:rsid w:val="00630BA9"/>
    <w:rsid w:val="00631143"/>
    <w:rsid w:val="0063232C"/>
    <w:rsid w:val="006324CD"/>
    <w:rsid w:val="00632709"/>
    <w:rsid w:val="00632BD2"/>
    <w:rsid w:val="0063378A"/>
    <w:rsid w:val="0063436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56"/>
    <w:rsid w:val="0065029D"/>
    <w:rsid w:val="00650702"/>
    <w:rsid w:val="006507C3"/>
    <w:rsid w:val="00650B40"/>
    <w:rsid w:val="00650CDF"/>
    <w:rsid w:val="00650E39"/>
    <w:rsid w:val="00651062"/>
    <w:rsid w:val="00651564"/>
    <w:rsid w:val="00651E45"/>
    <w:rsid w:val="00651FB2"/>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920"/>
    <w:rsid w:val="006A1E28"/>
    <w:rsid w:val="006A1F9B"/>
    <w:rsid w:val="006A2128"/>
    <w:rsid w:val="006A2185"/>
    <w:rsid w:val="006A291E"/>
    <w:rsid w:val="006A2979"/>
    <w:rsid w:val="006A31A0"/>
    <w:rsid w:val="006A336D"/>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686"/>
    <w:rsid w:val="006D7A1E"/>
    <w:rsid w:val="006D7E94"/>
    <w:rsid w:val="006E0233"/>
    <w:rsid w:val="006E0C35"/>
    <w:rsid w:val="006E1126"/>
    <w:rsid w:val="006E1348"/>
    <w:rsid w:val="006E17A8"/>
    <w:rsid w:val="006E247C"/>
    <w:rsid w:val="006E27C6"/>
    <w:rsid w:val="006E2954"/>
    <w:rsid w:val="006E31DE"/>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1359"/>
    <w:rsid w:val="00701412"/>
    <w:rsid w:val="007025DD"/>
    <w:rsid w:val="00702978"/>
    <w:rsid w:val="00702D3B"/>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200"/>
    <w:rsid w:val="00711208"/>
    <w:rsid w:val="007126F3"/>
    <w:rsid w:val="007128A0"/>
    <w:rsid w:val="00712E39"/>
    <w:rsid w:val="00713F87"/>
    <w:rsid w:val="00714146"/>
    <w:rsid w:val="0071475B"/>
    <w:rsid w:val="00714847"/>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815"/>
    <w:rsid w:val="00744B09"/>
    <w:rsid w:val="00744CD4"/>
    <w:rsid w:val="0074519E"/>
    <w:rsid w:val="00745BDC"/>
    <w:rsid w:val="00746991"/>
    <w:rsid w:val="00746BF9"/>
    <w:rsid w:val="00746F68"/>
    <w:rsid w:val="007471B0"/>
    <w:rsid w:val="00747BDF"/>
    <w:rsid w:val="00747F42"/>
    <w:rsid w:val="007504B4"/>
    <w:rsid w:val="00750B80"/>
    <w:rsid w:val="00750F22"/>
    <w:rsid w:val="007510CB"/>
    <w:rsid w:val="00751171"/>
    <w:rsid w:val="00752388"/>
    <w:rsid w:val="0075393E"/>
    <w:rsid w:val="00753D15"/>
    <w:rsid w:val="00753EA7"/>
    <w:rsid w:val="007548DC"/>
    <w:rsid w:val="00755262"/>
    <w:rsid w:val="00755632"/>
    <w:rsid w:val="00755C72"/>
    <w:rsid w:val="00756333"/>
    <w:rsid w:val="00756618"/>
    <w:rsid w:val="00756E96"/>
    <w:rsid w:val="00757088"/>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FB"/>
    <w:rsid w:val="00780D35"/>
    <w:rsid w:val="00780FD9"/>
    <w:rsid w:val="0078103C"/>
    <w:rsid w:val="0078145E"/>
    <w:rsid w:val="007816AA"/>
    <w:rsid w:val="00781F13"/>
    <w:rsid w:val="00782319"/>
    <w:rsid w:val="00782C8F"/>
    <w:rsid w:val="00783024"/>
    <w:rsid w:val="007836E6"/>
    <w:rsid w:val="00784530"/>
    <w:rsid w:val="00784644"/>
    <w:rsid w:val="00784B82"/>
    <w:rsid w:val="00784FCA"/>
    <w:rsid w:val="00785965"/>
    <w:rsid w:val="00785B04"/>
    <w:rsid w:val="00785C4C"/>
    <w:rsid w:val="007862FA"/>
    <w:rsid w:val="00786405"/>
    <w:rsid w:val="007867B5"/>
    <w:rsid w:val="00787227"/>
    <w:rsid w:val="00787EAD"/>
    <w:rsid w:val="007902A9"/>
    <w:rsid w:val="007903E4"/>
    <w:rsid w:val="00791079"/>
    <w:rsid w:val="007915F6"/>
    <w:rsid w:val="00791F6B"/>
    <w:rsid w:val="00792201"/>
    <w:rsid w:val="00792E4B"/>
    <w:rsid w:val="00793F3A"/>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64A7"/>
    <w:rsid w:val="007B0103"/>
    <w:rsid w:val="007B0511"/>
    <w:rsid w:val="007B0C32"/>
    <w:rsid w:val="007B0ECD"/>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458C"/>
    <w:rsid w:val="007E471C"/>
    <w:rsid w:val="007E4C5E"/>
    <w:rsid w:val="007E4DC1"/>
    <w:rsid w:val="007E5354"/>
    <w:rsid w:val="007E763C"/>
    <w:rsid w:val="007E7656"/>
    <w:rsid w:val="007F13BB"/>
    <w:rsid w:val="007F16E4"/>
    <w:rsid w:val="007F1D43"/>
    <w:rsid w:val="007F1E4D"/>
    <w:rsid w:val="007F1EBD"/>
    <w:rsid w:val="007F214C"/>
    <w:rsid w:val="007F2E1E"/>
    <w:rsid w:val="007F2ED8"/>
    <w:rsid w:val="007F35DF"/>
    <w:rsid w:val="007F370C"/>
    <w:rsid w:val="007F3DC5"/>
    <w:rsid w:val="007F4756"/>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27F1"/>
    <w:rsid w:val="0080289E"/>
    <w:rsid w:val="008028FD"/>
    <w:rsid w:val="00802A0B"/>
    <w:rsid w:val="00802B30"/>
    <w:rsid w:val="00802B74"/>
    <w:rsid w:val="00802BF1"/>
    <w:rsid w:val="00802E81"/>
    <w:rsid w:val="00803BCD"/>
    <w:rsid w:val="00804099"/>
    <w:rsid w:val="00804296"/>
    <w:rsid w:val="0080609A"/>
    <w:rsid w:val="008070E4"/>
    <w:rsid w:val="008071E5"/>
    <w:rsid w:val="00807267"/>
    <w:rsid w:val="00807692"/>
    <w:rsid w:val="00807CE5"/>
    <w:rsid w:val="00807DD4"/>
    <w:rsid w:val="008106DC"/>
    <w:rsid w:val="008108B0"/>
    <w:rsid w:val="00810FB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1206"/>
    <w:rsid w:val="00821395"/>
    <w:rsid w:val="0082159D"/>
    <w:rsid w:val="00821A19"/>
    <w:rsid w:val="00821D05"/>
    <w:rsid w:val="00821E32"/>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3379"/>
    <w:rsid w:val="008537D1"/>
    <w:rsid w:val="008539F0"/>
    <w:rsid w:val="00853C02"/>
    <w:rsid w:val="008540FF"/>
    <w:rsid w:val="008544CD"/>
    <w:rsid w:val="008544FE"/>
    <w:rsid w:val="00854507"/>
    <w:rsid w:val="008549BA"/>
    <w:rsid w:val="00854D59"/>
    <w:rsid w:val="00855E08"/>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685"/>
    <w:rsid w:val="00874745"/>
    <w:rsid w:val="008747D5"/>
    <w:rsid w:val="00874830"/>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BDC"/>
    <w:rsid w:val="008A3AAD"/>
    <w:rsid w:val="008A4562"/>
    <w:rsid w:val="008A4638"/>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C59"/>
    <w:rsid w:val="00903EED"/>
    <w:rsid w:val="00903F16"/>
    <w:rsid w:val="00904CBD"/>
    <w:rsid w:val="00904ED0"/>
    <w:rsid w:val="00905058"/>
    <w:rsid w:val="00905D8A"/>
    <w:rsid w:val="00905DF6"/>
    <w:rsid w:val="0090621A"/>
    <w:rsid w:val="00906940"/>
    <w:rsid w:val="009076D0"/>
    <w:rsid w:val="009077DC"/>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CA"/>
    <w:rsid w:val="00941F07"/>
    <w:rsid w:val="0094213C"/>
    <w:rsid w:val="00942430"/>
    <w:rsid w:val="00942708"/>
    <w:rsid w:val="009431B8"/>
    <w:rsid w:val="0094330D"/>
    <w:rsid w:val="00943B03"/>
    <w:rsid w:val="00943F70"/>
    <w:rsid w:val="009443A5"/>
    <w:rsid w:val="009446D6"/>
    <w:rsid w:val="009449C3"/>
    <w:rsid w:val="00944F8F"/>
    <w:rsid w:val="0094573F"/>
    <w:rsid w:val="009457A0"/>
    <w:rsid w:val="00945A70"/>
    <w:rsid w:val="00945D79"/>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78D"/>
    <w:rsid w:val="00952C48"/>
    <w:rsid w:val="00952D9C"/>
    <w:rsid w:val="0095310E"/>
    <w:rsid w:val="0095384A"/>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2EEE"/>
    <w:rsid w:val="00973147"/>
    <w:rsid w:val="009749C6"/>
    <w:rsid w:val="00974D98"/>
    <w:rsid w:val="00974DC6"/>
    <w:rsid w:val="0097561D"/>
    <w:rsid w:val="00975723"/>
    <w:rsid w:val="00975ED8"/>
    <w:rsid w:val="00976958"/>
    <w:rsid w:val="00976B65"/>
    <w:rsid w:val="00976F0A"/>
    <w:rsid w:val="009770CE"/>
    <w:rsid w:val="00977303"/>
    <w:rsid w:val="009777B8"/>
    <w:rsid w:val="0098094E"/>
    <w:rsid w:val="00980EBF"/>
    <w:rsid w:val="00982278"/>
    <w:rsid w:val="00983055"/>
    <w:rsid w:val="00983C6F"/>
    <w:rsid w:val="00983CEE"/>
    <w:rsid w:val="00984328"/>
    <w:rsid w:val="0098453F"/>
    <w:rsid w:val="00984FB6"/>
    <w:rsid w:val="0098558B"/>
    <w:rsid w:val="009859D1"/>
    <w:rsid w:val="00985A0D"/>
    <w:rsid w:val="0098603C"/>
    <w:rsid w:val="00986413"/>
    <w:rsid w:val="00986B0C"/>
    <w:rsid w:val="00986D79"/>
    <w:rsid w:val="00986E45"/>
    <w:rsid w:val="009870FF"/>
    <w:rsid w:val="00987747"/>
    <w:rsid w:val="00987B41"/>
    <w:rsid w:val="00987F8E"/>
    <w:rsid w:val="00990906"/>
    <w:rsid w:val="009913FE"/>
    <w:rsid w:val="009914AB"/>
    <w:rsid w:val="009917CE"/>
    <w:rsid w:val="0099199B"/>
    <w:rsid w:val="00991C6F"/>
    <w:rsid w:val="00991C78"/>
    <w:rsid w:val="00992AC9"/>
    <w:rsid w:val="00992F03"/>
    <w:rsid w:val="009932B5"/>
    <w:rsid w:val="00993B11"/>
    <w:rsid w:val="00993E8C"/>
    <w:rsid w:val="00993FB4"/>
    <w:rsid w:val="00994D8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C5E"/>
    <w:rsid w:val="009A359F"/>
    <w:rsid w:val="009A36CE"/>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5285"/>
    <w:rsid w:val="009B5576"/>
    <w:rsid w:val="009B5A29"/>
    <w:rsid w:val="009B63C4"/>
    <w:rsid w:val="009B7A5F"/>
    <w:rsid w:val="009B7A89"/>
    <w:rsid w:val="009B7C1B"/>
    <w:rsid w:val="009B7E67"/>
    <w:rsid w:val="009C0E80"/>
    <w:rsid w:val="009C15DD"/>
    <w:rsid w:val="009C1AC8"/>
    <w:rsid w:val="009C2305"/>
    <w:rsid w:val="009C29A6"/>
    <w:rsid w:val="009C2CAA"/>
    <w:rsid w:val="009C2FC1"/>
    <w:rsid w:val="009C31A8"/>
    <w:rsid w:val="009C376E"/>
    <w:rsid w:val="009C3975"/>
    <w:rsid w:val="009C3D92"/>
    <w:rsid w:val="009C478E"/>
    <w:rsid w:val="009C4D03"/>
    <w:rsid w:val="009C52A5"/>
    <w:rsid w:val="009C5745"/>
    <w:rsid w:val="009C599D"/>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402F"/>
    <w:rsid w:val="00A34256"/>
    <w:rsid w:val="00A343CC"/>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3182"/>
    <w:rsid w:val="00AC40A4"/>
    <w:rsid w:val="00AC4D0E"/>
    <w:rsid w:val="00AC5900"/>
    <w:rsid w:val="00AC5EFA"/>
    <w:rsid w:val="00AC6587"/>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E004C"/>
    <w:rsid w:val="00AE00A1"/>
    <w:rsid w:val="00AE0241"/>
    <w:rsid w:val="00AE02C9"/>
    <w:rsid w:val="00AE03FB"/>
    <w:rsid w:val="00AE077A"/>
    <w:rsid w:val="00AE0BC1"/>
    <w:rsid w:val="00AE1B6C"/>
    <w:rsid w:val="00AE2912"/>
    <w:rsid w:val="00AE3126"/>
    <w:rsid w:val="00AE3495"/>
    <w:rsid w:val="00AE3FDB"/>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3023D"/>
    <w:rsid w:val="00B312AA"/>
    <w:rsid w:val="00B31621"/>
    <w:rsid w:val="00B3191E"/>
    <w:rsid w:val="00B31D70"/>
    <w:rsid w:val="00B32A64"/>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0FA8"/>
    <w:rsid w:val="00B71742"/>
    <w:rsid w:val="00B717BD"/>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445B"/>
    <w:rsid w:val="00C14712"/>
    <w:rsid w:val="00C14E52"/>
    <w:rsid w:val="00C14E6E"/>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CC4"/>
    <w:rsid w:val="00C645EF"/>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436"/>
    <w:rsid w:val="00C95829"/>
    <w:rsid w:val="00C95977"/>
    <w:rsid w:val="00C974B6"/>
    <w:rsid w:val="00C97974"/>
    <w:rsid w:val="00CA0A7E"/>
    <w:rsid w:val="00CA0B8B"/>
    <w:rsid w:val="00CA0FA0"/>
    <w:rsid w:val="00CA1682"/>
    <w:rsid w:val="00CA2EF4"/>
    <w:rsid w:val="00CA2FE9"/>
    <w:rsid w:val="00CA3319"/>
    <w:rsid w:val="00CA3BFC"/>
    <w:rsid w:val="00CA3CAD"/>
    <w:rsid w:val="00CA3EB6"/>
    <w:rsid w:val="00CA4063"/>
    <w:rsid w:val="00CA4ACD"/>
    <w:rsid w:val="00CA51B8"/>
    <w:rsid w:val="00CA5600"/>
    <w:rsid w:val="00CA5706"/>
    <w:rsid w:val="00CA5899"/>
    <w:rsid w:val="00CA729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4763"/>
    <w:rsid w:val="00CC47CE"/>
    <w:rsid w:val="00CC4EC2"/>
    <w:rsid w:val="00CC5323"/>
    <w:rsid w:val="00CC571C"/>
    <w:rsid w:val="00CC574F"/>
    <w:rsid w:val="00CC5D7B"/>
    <w:rsid w:val="00CC6021"/>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3E4"/>
    <w:rsid w:val="00CD479A"/>
    <w:rsid w:val="00CD4D6B"/>
    <w:rsid w:val="00CD5264"/>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317B"/>
    <w:rsid w:val="00CE3780"/>
    <w:rsid w:val="00CE3A58"/>
    <w:rsid w:val="00CE3E2E"/>
    <w:rsid w:val="00CE3F4F"/>
    <w:rsid w:val="00CE4917"/>
    <w:rsid w:val="00CE4993"/>
    <w:rsid w:val="00CE4FDC"/>
    <w:rsid w:val="00CE59B7"/>
    <w:rsid w:val="00CE666A"/>
    <w:rsid w:val="00CE6961"/>
    <w:rsid w:val="00CE77F8"/>
    <w:rsid w:val="00CE7A14"/>
    <w:rsid w:val="00CF0736"/>
    <w:rsid w:val="00CF0FAB"/>
    <w:rsid w:val="00CF12F8"/>
    <w:rsid w:val="00CF138F"/>
    <w:rsid w:val="00CF1464"/>
    <w:rsid w:val="00CF15C7"/>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787"/>
    <w:rsid w:val="00D5380A"/>
    <w:rsid w:val="00D53F78"/>
    <w:rsid w:val="00D54ADF"/>
    <w:rsid w:val="00D54C45"/>
    <w:rsid w:val="00D54C9F"/>
    <w:rsid w:val="00D5554F"/>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289"/>
    <w:rsid w:val="00DA1674"/>
    <w:rsid w:val="00DA17AC"/>
    <w:rsid w:val="00DA2010"/>
    <w:rsid w:val="00DA2BC8"/>
    <w:rsid w:val="00DA2D75"/>
    <w:rsid w:val="00DA302B"/>
    <w:rsid w:val="00DA31AD"/>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13AB"/>
    <w:rsid w:val="00DD1646"/>
    <w:rsid w:val="00DD1C87"/>
    <w:rsid w:val="00DD22F0"/>
    <w:rsid w:val="00DD2582"/>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449C"/>
    <w:rsid w:val="00E24FE8"/>
    <w:rsid w:val="00E252C8"/>
    <w:rsid w:val="00E256AA"/>
    <w:rsid w:val="00E25D9A"/>
    <w:rsid w:val="00E26D38"/>
    <w:rsid w:val="00E2758D"/>
    <w:rsid w:val="00E278E4"/>
    <w:rsid w:val="00E27B55"/>
    <w:rsid w:val="00E300C8"/>
    <w:rsid w:val="00E31070"/>
    <w:rsid w:val="00E3109E"/>
    <w:rsid w:val="00E31122"/>
    <w:rsid w:val="00E3197A"/>
    <w:rsid w:val="00E3247A"/>
    <w:rsid w:val="00E32605"/>
    <w:rsid w:val="00E329CD"/>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7949"/>
    <w:rsid w:val="00E47B9F"/>
    <w:rsid w:val="00E507B1"/>
    <w:rsid w:val="00E50CDD"/>
    <w:rsid w:val="00E50E8E"/>
    <w:rsid w:val="00E516CA"/>
    <w:rsid w:val="00E518A8"/>
    <w:rsid w:val="00E51EF6"/>
    <w:rsid w:val="00E52409"/>
    <w:rsid w:val="00E5265B"/>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C21"/>
    <w:rsid w:val="00E744E2"/>
    <w:rsid w:val="00E7481F"/>
    <w:rsid w:val="00E74C0C"/>
    <w:rsid w:val="00E7505A"/>
    <w:rsid w:val="00E75CC4"/>
    <w:rsid w:val="00E76273"/>
    <w:rsid w:val="00E76588"/>
    <w:rsid w:val="00E76992"/>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1027"/>
    <w:rsid w:val="00EA1251"/>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83E"/>
    <w:rsid w:val="00EB0D86"/>
    <w:rsid w:val="00EB0FEC"/>
    <w:rsid w:val="00EB1BB4"/>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9E7"/>
    <w:rsid w:val="00EC2A0B"/>
    <w:rsid w:val="00EC32A6"/>
    <w:rsid w:val="00EC33E7"/>
    <w:rsid w:val="00EC3C58"/>
    <w:rsid w:val="00EC401C"/>
    <w:rsid w:val="00EC51F2"/>
    <w:rsid w:val="00EC5ABC"/>
    <w:rsid w:val="00EC5C23"/>
    <w:rsid w:val="00EC6075"/>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60D0"/>
    <w:rsid w:val="00ED6525"/>
    <w:rsid w:val="00ED673A"/>
    <w:rsid w:val="00ED6CCE"/>
    <w:rsid w:val="00ED6F45"/>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606F"/>
    <w:rsid w:val="00F16542"/>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7F68"/>
    <w:rsid w:val="00F80435"/>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B80"/>
    <w:rsid w:val="00F96E9C"/>
    <w:rsid w:val="00F97BC9"/>
    <w:rsid w:val="00FA0F9B"/>
    <w:rsid w:val="00FA1DA9"/>
    <w:rsid w:val="00FA1E49"/>
    <w:rsid w:val="00FA24AD"/>
    <w:rsid w:val="00FA26FA"/>
    <w:rsid w:val="00FA292F"/>
    <w:rsid w:val="00FA3045"/>
    <w:rsid w:val="00FA33E7"/>
    <w:rsid w:val="00FA3553"/>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F4"/>
    <w:rsid w:val="00FB460B"/>
    <w:rsid w:val="00FB6151"/>
    <w:rsid w:val="00FB691A"/>
    <w:rsid w:val="00FB6A38"/>
    <w:rsid w:val="00FB6FA0"/>
    <w:rsid w:val="00FB7503"/>
    <w:rsid w:val="00FB7527"/>
    <w:rsid w:val="00FB78EA"/>
    <w:rsid w:val="00FB7E3F"/>
    <w:rsid w:val="00FB7EE0"/>
    <w:rsid w:val="00FC1054"/>
    <w:rsid w:val="00FC12B5"/>
    <w:rsid w:val="00FC154E"/>
    <w:rsid w:val="00FC1658"/>
    <w:rsid w:val="00FC16DF"/>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A7A"/>
    <w:rsid w:val="00FE05DF"/>
    <w:rsid w:val="00FE079B"/>
    <w:rsid w:val="00FE0F40"/>
    <w:rsid w:val="00FE1193"/>
    <w:rsid w:val="00FE15DD"/>
    <w:rsid w:val="00FE1D10"/>
    <w:rsid w:val="00FE2503"/>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4470"/>
    <w:rsid w:val="00FF4519"/>
    <w:rsid w:val="00FF479A"/>
    <w:rsid w:val="00FF4A40"/>
    <w:rsid w:val="00FF57A3"/>
    <w:rsid w:val="00FF5B78"/>
    <w:rsid w:val="00FF5CF2"/>
    <w:rsid w:val="00FF65CC"/>
    <w:rsid w:val="00FF6E7C"/>
    <w:rsid w:val="00FF7529"/>
    <w:rsid w:val="00FF79D0"/>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D11E33"/>
    <w:pPr>
      <w:tabs>
        <w:tab w:val="left" w:pos="440"/>
        <w:tab w:val="right" w:leader="dot" w:pos="9010"/>
      </w:tabs>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 w:type="paragraph" w:styleId="FootnoteText">
    <w:name w:val="footnote text"/>
    <w:basedOn w:val="Normal"/>
    <w:link w:val="FootnoteTextChar"/>
    <w:uiPriority w:val="99"/>
    <w:semiHidden/>
    <w:unhideWhenUsed/>
    <w:rsid w:val="00FD43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383"/>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FD4383"/>
    <w:rPr>
      <w:vertAlign w:val="superscript"/>
    </w:rPr>
  </w:style>
  <w:style w:type="paragraph" w:styleId="EndnoteText">
    <w:name w:val="endnote text"/>
    <w:basedOn w:val="Normal"/>
    <w:link w:val="EndnoteTextChar"/>
    <w:uiPriority w:val="99"/>
    <w:semiHidden/>
    <w:unhideWhenUsed/>
    <w:rsid w:val="00C6157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61575"/>
    <w:rPr>
      <w:rFonts w:ascii="Calibri" w:eastAsia="Calibri" w:hAnsi="Calibri" w:cs="Times New Roman"/>
      <w:sz w:val="20"/>
      <w:szCs w:val="20"/>
      <w:lang w:val="en-GB"/>
    </w:rPr>
  </w:style>
  <w:style w:type="character" w:styleId="EndnoteReference">
    <w:name w:val="endnote reference"/>
    <w:basedOn w:val="DefaultParagraphFont"/>
    <w:uiPriority w:val="99"/>
    <w:semiHidden/>
    <w:unhideWhenUsed/>
    <w:rsid w:val="00C61575"/>
    <w:rPr>
      <w:vertAlign w:val="superscript"/>
    </w:rPr>
  </w:style>
  <w:style w:type="table" w:customStyle="1" w:styleId="TableGrid1">
    <w:name w:val="Table Grid1"/>
    <w:basedOn w:val="TableNormal"/>
    <w:next w:val="TableGrid"/>
    <w:uiPriority w:val="39"/>
    <w:rsid w:val="002F1F61"/>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6675AE"/>
    <w:pPr>
      <w:spacing w:after="240" w:line="240" w:lineRule="atLeast"/>
      <w:ind w:firstLine="720"/>
      <w:jc w:val="both"/>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6675AE"/>
    <w:rPr>
      <w:rFonts w:ascii="Arial" w:eastAsia="MS Mincho" w:hAnsi="Arial" w:cs="Times New Roman"/>
      <w:color w:val="000000" w:themeColor="text1"/>
      <w:kern w:val="18"/>
      <w:sz w:val="22"/>
      <w:szCs w:val="20"/>
      <w:lang w:val="en-GB"/>
    </w:rPr>
  </w:style>
  <w:style w:type="character" w:styleId="PlaceholderText">
    <w:name w:val="Placeholder Text"/>
    <w:basedOn w:val="DefaultParagraphFont"/>
    <w:uiPriority w:val="99"/>
    <w:semiHidden/>
    <w:rsid w:val="006675A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census.gov/data/developers/data-sets/popest-popproj/popest.html" TargetMode="External"/><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4806606-8C0C-B74C-9251-FC9A80112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17</Pages>
  <Words>30420</Words>
  <Characters>173400</Characters>
  <Application>Microsoft Office Word</Application>
  <DocSecurity>0</DocSecurity>
  <Lines>1445</Lines>
  <Paragraphs>406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181</cp:revision>
  <cp:lastPrinted>2019-04-05T14:52:00Z</cp:lastPrinted>
  <dcterms:created xsi:type="dcterms:W3CDTF">2019-04-13T13:22:00Z</dcterms:created>
  <dcterms:modified xsi:type="dcterms:W3CDTF">2019-04-14T21:01:00Z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