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1F30D4EB" w:rsidR="006675AE" w:rsidRPr="00C875DA" w:rsidRDefault="00C875DA" w:rsidP="00C875DA">
      <w:pPr>
        <w:pStyle w:val="Heading1"/>
        <w:rPr>
          <w:lang w:val="en-US"/>
        </w:rPr>
      </w:pPr>
      <w:bookmarkStart w:id="0" w:name="_Toc6045006"/>
      <w:r w:rsidRPr="00A74A83">
        <w:rPr>
          <w:lang w:val="en-US"/>
        </w:rPr>
        <w:t xml:space="preserve">Anomalous temperature and seasonality of injury mortality in the </w:t>
      </w:r>
      <w:r>
        <w:rPr>
          <w:lang w:val="en-US"/>
        </w:rPr>
        <w:t>U</w:t>
      </w:r>
      <w:r>
        <w:rPr>
          <w:lang w:val="en-US"/>
        </w:rPr>
        <w:t>nited States</w:t>
      </w:r>
      <w:r w:rsidRPr="00A74A83">
        <w:rPr>
          <w:lang w:val="en-US"/>
        </w:rPr>
        <w:t xml:space="preserve"> </w:t>
      </w:r>
    </w:p>
    <w:p w14:paraId="1310F75B" w14:textId="46DB6980" w:rsidR="006675AE" w:rsidRPr="00127064" w:rsidRDefault="006675AE" w:rsidP="004677D4">
      <w:pPr>
        <w:pStyle w:val="Heading2"/>
      </w:pPr>
      <w:bookmarkStart w:id="1" w:name="_Toc7509890"/>
      <w:r w:rsidRPr="00127064">
        <w:t>Overview</w:t>
      </w:r>
      <w:bookmarkEnd w:id="0"/>
      <w:bookmarkEnd w:id="1"/>
    </w:p>
    <w:p w14:paraId="5378A7AA" w14:textId="7E162516" w:rsidR="002B3A74" w:rsidRDefault="002B3A74" w:rsidP="002B3A74">
      <w:pPr>
        <w:ind w:firstLine="720"/>
        <w:rPr>
          <w:rFonts w:cs="Calibri"/>
          <w:szCs w:val="24"/>
        </w:rPr>
      </w:pPr>
      <w:bookmarkStart w:id="2"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w:t>
      </w:r>
      <w:r w:rsidR="00883023">
        <w:rPr>
          <w:rFonts w:cs="Calibri"/>
          <w:szCs w:val="24"/>
        </w:rPr>
        <w:t xml:space="preserve"> </w:t>
      </w:r>
      <w:r w:rsidRPr="002B3A74">
        <w:rPr>
          <w:rFonts w:cs="Calibri"/>
          <w:szCs w:val="24"/>
        </w:rPr>
        <w:t xml:space="preserve">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w:t>
      </w:r>
      <w:r w:rsidR="00676776">
        <w:rPr>
          <w:rFonts w:cs="Calibri"/>
          <w:szCs w:val="24"/>
        </w:rPr>
        <w:t xml:space="preserve">deaths from </w:t>
      </w:r>
      <w:r w:rsidRPr="002B3A74">
        <w:rPr>
          <w:rFonts w:cs="Calibri"/>
          <w:szCs w:val="24"/>
        </w:rPr>
        <w:t>drowning</w:t>
      </w:r>
      <w:r w:rsidR="00676776">
        <w:rPr>
          <w:rFonts w:cs="Calibri"/>
          <w:szCs w:val="24"/>
        </w:rPr>
        <w:t>s</w:t>
      </w:r>
      <w:r w:rsidRPr="002B3A74">
        <w:rPr>
          <w:rFonts w:cs="Calibri"/>
          <w:szCs w:val="24"/>
        </w:rPr>
        <w:t xml:space="preserve">, transport,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F24DAF">
        <w:rPr>
          <w:rStyle w:val="FootnoteReference"/>
        </w:rPr>
        <w:footnoteReference w:id="1"/>
      </w:r>
    </w:p>
    <w:p w14:paraId="2C8ED6BF" w14:textId="49C97810" w:rsidR="000377CB" w:rsidRPr="000377CB" w:rsidRDefault="000377CB" w:rsidP="000377CB">
      <w:pPr>
        <w:pStyle w:val="Heading2"/>
        <w:rPr>
          <w:rFonts w:ascii="Calibri" w:hAnsi="Calibri"/>
        </w:rPr>
      </w:pPr>
      <w:bookmarkStart w:id="3" w:name="_Toc7509891"/>
      <w:r>
        <w:lastRenderedPageBreak/>
        <w:t>Introduction</w:t>
      </w:r>
      <w:bookmarkEnd w:id="3"/>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4" w:name="_Toc7509892"/>
      <w:r>
        <w:t>Data</w:t>
      </w:r>
      <w:bookmarkEnd w:id="4"/>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46A0453E" w14:textId="77777777" w:rsidR="009D3283" w:rsidRPr="000377CB" w:rsidRDefault="009D3283" w:rsidP="009D3283">
      <w:pPr>
        <w:pStyle w:val="Heading2"/>
      </w:pPr>
      <w:r w:rsidRPr="000377CB">
        <w:lastRenderedPageBreak/>
        <w:t>Statistical methods</w:t>
      </w:r>
    </w:p>
    <w:p w14:paraId="22A85A10" w14:textId="0FFCFE54" w:rsidR="001601AE" w:rsidRPr="00A74A83" w:rsidRDefault="001601AE" w:rsidP="001601AE">
      <w:pPr>
        <w:ind w:firstLine="720"/>
        <w:outlineLvl w:val="0"/>
        <w:rPr>
          <w:color w:val="000000" w:themeColor="text1"/>
          <w:lang w:val="en-US"/>
        </w:rPr>
      </w:pPr>
      <w:r>
        <w:rPr>
          <w:color w:val="000000" w:themeColor="text1"/>
          <w:lang w:val="en-US"/>
        </w:rPr>
        <w:t>I</w:t>
      </w:r>
      <w:r w:rsidRPr="00A74A83">
        <w:rPr>
          <w:color w:val="000000" w:themeColor="text1"/>
          <w:lang w:val="en-US"/>
        </w:rPr>
        <w:t xml:space="preserve"> analyzed the association of monthly injury death rates with anomalous temperature using a Bayesian spatio-temporal model, described in the </w:t>
      </w:r>
      <w:r>
        <w:rPr>
          <w:color w:val="000000" w:themeColor="text1"/>
          <w:lang w:val="en-US"/>
        </w:rPr>
        <w:t>Chapter XX</w:t>
      </w:r>
      <w:r w:rsidRPr="00A74A83">
        <w:rPr>
          <w:color w:val="000000" w:themeColor="text1"/>
          <w:lang w:val="en-US"/>
        </w:rPr>
        <w:t>. Analyses were done separately by injury type, sex and age group</w:t>
      </w:r>
      <w:r>
        <w:rPr>
          <w:color w:val="000000" w:themeColor="text1"/>
          <w:lang w:val="en-US"/>
        </w:rPr>
        <w:t xml:space="preserve"> </w:t>
      </w:r>
      <w:r w:rsidRPr="00A74A83">
        <w:rPr>
          <w:color w:val="000000" w:themeColor="text1"/>
          <w:lang w:val="en-US"/>
        </w:rPr>
        <w:t xml:space="preserve">(0-4 years, 10-year age groups from 5 to 84 years, and 85+ years) because injury death rates vary by age group and sex </w:t>
      </w:r>
      <w:r w:rsidRPr="00A74A83">
        <w:rPr>
          <w:color w:val="000000" w:themeColor="text1"/>
          <w:lang w:val="en-US"/>
        </w:rPr>
        <w:fldChar w:fldCharType="begin" w:fldLock="1"/>
      </w:r>
      <w:r w:rsidR="003C6D30">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2004)","previouslyFormattedCitation":"&lt;sup&gt;10,11,18&lt;/sup&gt;"},"properties":{"noteIndex":0},"schema":"https://github.com/citation-style-language/schema/raw/master/csl-citation.json"}</w:instrText>
      </w:r>
      <w:r w:rsidRPr="00A74A83">
        <w:rPr>
          <w:color w:val="000000" w:themeColor="text1"/>
          <w:lang w:val="en-US"/>
        </w:rPr>
        <w:fldChar w:fldCharType="separate"/>
      </w:r>
      <w:r w:rsidR="003C6D30" w:rsidRPr="003C6D30">
        <w:rPr>
          <w:noProof/>
          <w:color w:val="000000" w:themeColor="text1"/>
          <w:lang w:val="en-US"/>
        </w:rPr>
        <w:t>(Lozano et al., 2012; Parks et al., 2018; Rau, 2004)</w:t>
      </w:r>
      <w:r w:rsidRPr="00A74A83">
        <w:rPr>
          <w:color w:val="000000" w:themeColor="text1"/>
          <w:lang w:val="en-US"/>
        </w:rPr>
        <w:fldChar w:fldCharType="end"/>
      </w:r>
      <w:r w:rsidRPr="00A74A83">
        <w:rPr>
          <w:color w:val="000000" w:themeColor="text1"/>
          <w:lang w:val="en-US"/>
        </w:rPr>
        <w:t xml:space="preserve">, as might their associations with temperature. </w:t>
      </w:r>
      <w:r w:rsidR="00AE1CA4">
        <w:rPr>
          <w:color w:val="000000" w:themeColor="text1"/>
          <w:lang w:val="en-US"/>
        </w:rPr>
        <w:t>I</w:t>
      </w:r>
      <w:r w:rsidRPr="00A74A83">
        <w:rPr>
          <w:color w:val="000000" w:themeColor="text1"/>
          <w:lang w:val="en-US"/>
        </w:rPr>
        <w:t xml:space="preserve"> used the resultant risk estimates </w:t>
      </w:r>
      <w:r w:rsidR="0027534E">
        <w:rPr>
          <w:rFonts w:cs="Calibri"/>
          <w:szCs w:val="24"/>
        </w:rPr>
        <w:t>(</w:t>
      </w:r>
      <w:r w:rsidR="0027534E">
        <w:rPr>
          <w:rFonts w:cs="Calibri"/>
          <w:szCs w:val="24"/>
        </w:rPr>
        <w:fldChar w:fldCharType="begin"/>
      </w:r>
      <w:r w:rsidR="0027534E">
        <w:rPr>
          <w:rFonts w:cs="Calibri"/>
          <w:szCs w:val="24"/>
        </w:rPr>
        <w:instrText xml:space="preserve"> REF _Ref7260430 \h </w:instrText>
      </w:r>
      <w:r w:rsidR="0027534E">
        <w:rPr>
          <w:rFonts w:cs="Calibri"/>
          <w:szCs w:val="24"/>
        </w:rPr>
      </w:r>
      <w:r w:rsidR="0027534E">
        <w:rPr>
          <w:rFonts w:cs="Calibri"/>
          <w:szCs w:val="24"/>
        </w:rPr>
        <w:fldChar w:fldCharType="separate"/>
      </w:r>
      <w:r w:rsidR="00937C14" w:rsidRPr="003A0C00">
        <w:rPr>
          <w:b/>
        </w:rPr>
        <w:t xml:space="preserve">Figure </w:t>
      </w:r>
      <w:r w:rsidR="00937C14">
        <w:rPr>
          <w:b/>
          <w:noProof/>
        </w:rPr>
        <w:t>7</w:t>
      </w:r>
      <w:r w:rsidR="0027534E">
        <w:rPr>
          <w:rFonts w:cs="Calibri"/>
          <w:szCs w:val="24"/>
        </w:rPr>
        <w:fldChar w:fldCharType="end"/>
      </w:r>
      <w:r w:rsidR="0027534E">
        <w:rPr>
          <w:rFonts w:cs="Calibri"/>
          <w:szCs w:val="24"/>
        </w:rPr>
        <w:t>-</w:t>
      </w:r>
      <w:r w:rsidR="0027534E">
        <w:rPr>
          <w:rFonts w:cs="Calibri"/>
          <w:szCs w:val="24"/>
        </w:rPr>
        <w:fldChar w:fldCharType="begin"/>
      </w:r>
      <w:r w:rsidR="0027534E">
        <w:rPr>
          <w:rFonts w:cs="Calibri"/>
          <w:szCs w:val="24"/>
        </w:rPr>
        <w:instrText xml:space="preserve"> REF _Ref7260437 \h </w:instrText>
      </w:r>
      <w:r w:rsidR="0027534E">
        <w:rPr>
          <w:rFonts w:cs="Calibri"/>
          <w:szCs w:val="24"/>
        </w:rPr>
      </w:r>
      <w:r w:rsidR="0027534E">
        <w:rPr>
          <w:rFonts w:cs="Calibri"/>
          <w:szCs w:val="24"/>
        </w:rPr>
        <w:fldChar w:fldCharType="separate"/>
      </w:r>
      <w:r w:rsidR="00937C14" w:rsidRPr="00752547">
        <w:rPr>
          <w:b/>
        </w:rPr>
        <w:t xml:space="preserve">Figure </w:t>
      </w:r>
      <w:r w:rsidR="00937C14">
        <w:rPr>
          <w:b/>
          <w:noProof/>
        </w:rPr>
        <w:t>11</w:t>
      </w:r>
      <w:r w:rsidR="0027534E">
        <w:rPr>
          <w:rFonts w:cs="Calibri"/>
          <w:szCs w:val="24"/>
        </w:rPr>
        <w:fldChar w:fldCharType="end"/>
      </w:r>
      <w:r w:rsidR="0027534E">
        <w:rPr>
          <w:rFonts w:cs="Calibri"/>
          <w:szCs w:val="24"/>
        </w:rPr>
        <w:t>)</w:t>
      </w:r>
      <w:r w:rsidR="0027534E">
        <w:rPr>
          <w:rFonts w:cs="Calibri"/>
          <w:szCs w:val="24"/>
        </w:rPr>
        <w:t xml:space="preserve"> </w:t>
      </w:r>
      <w:r w:rsidRPr="00A74A83">
        <w:rPr>
          <w:color w:val="000000" w:themeColor="text1"/>
          <w:lang w:val="en-US"/>
        </w:rPr>
        <w:t>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 xml:space="preserve">C above its long-term norm, </w:t>
      </w:r>
      <w:r w:rsidRPr="00A74A83">
        <w:rPr>
          <w:lang w:val="en-US"/>
        </w:rPr>
        <w:t xml:space="preserve">realistic in our lifetimes under current projections of global climate change </w:t>
      </w:r>
      <w:r w:rsidRPr="00A74A83">
        <w:rPr>
          <w:color w:val="000000" w:themeColor="text1"/>
          <w:lang w:val="en-US"/>
        </w:rPr>
        <w:fldChar w:fldCharType="begin" w:fldLock="1"/>
      </w:r>
      <w:r w:rsidR="003C6D30">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2018)","previouslyFormattedCitation":"&lt;sup&gt;19&lt;/sup&gt;"},"properties":{"noteIndex":0},"schema":"https://github.com/citation-style-language/schema/raw/master/csl-citation.json"}</w:instrText>
      </w:r>
      <w:r w:rsidRPr="00A74A83">
        <w:rPr>
          <w:color w:val="000000" w:themeColor="text1"/>
          <w:lang w:val="en-US"/>
        </w:rPr>
        <w:fldChar w:fldCharType="separate"/>
      </w:r>
      <w:r w:rsidR="003C6D30" w:rsidRPr="003C6D30">
        <w:rPr>
          <w:noProof/>
          <w:color w:val="000000" w:themeColor="text1"/>
          <w:lang w:val="en-US"/>
        </w:rPr>
        <w:t>(IPCC, 2018)</w:t>
      </w:r>
      <w:r w:rsidRPr="00A74A83">
        <w:rPr>
          <w:color w:val="000000" w:themeColor="text1"/>
          <w:lang w:val="en-US"/>
        </w:rPr>
        <w:fldChar w:fldCharType="end"/>
      </w:r>
      <w:r w:rsidRPr="00A74A83">
        <w:rPr>
          <w:color w:val="000000" w:themeColor="text1"/>
          <w:lang w:val="en-US"/>
        </w:rPr>
        <w:t xml:space="preserve">, as well as within the range of anomaly size experienced by some states (Figure </w:t>
      </w:r>
      <w:r w:rsidR="008222FD">
        <w:rPr>
          <w:color w:val="000000" w:themeColor="text1"/>
          <w:lang w:val="en-US"/>
        </w:rPr>
        <w:t>XX in Chapter XX</w:t>
      </w:r>
      <w:r w:rsidRPr="00A74A83">
        <w:rPr>
          <w:color w:val="000000" w:themeColor="text1"/>
          <w:lang w:val="en-US"/>
        </w:rPr>
        <w:t>).</w:t>
      </w:r>
      <w:r w:rsidRPr="00A74A83">
        <w:rPr>
          <w:lang w:val="en-US"/>
        </w:rPr>
        <w:t xml:space="preserve"> </w:t>
      </w:r>
      <w:r w:rsidRPr="00A74A83">
        <w:rPr>
          <w:color w:val="000000" w:themeColor="text1"/>
          <w:lang w:val="en-US"/>
        </w:rPr>
        <w:t xml:space="preserve">For this calculation, </w:t>
      </w:r>
      <w:r w:rsidR="00AE1CA4">
        <w:rPr>
          <w:color w:val="000000" w:themeColor="text1"/>
          <w:lang w:val="en-US"/>
        </w:rPr>
        <w:t>I</w:t>
      </w:r>
      <w:r w:rsidRPr="00A74A83">
        <w:rPr>
          <w:color w:val="000000" w:themeColor="text1"/>
          <w:lang w:val="en-US"/>
        </w:rPr>
        <w:t xml:space="preserve"> multiplied the actual death counts for each month, sex, state and age group in 2016 by the corresponding excess relative risk, which was calculated as the exponential of the coefficient of the temperature anomaly term from the above analysis.</w:t>
      </w:r>
      <w:r w:rsidR="00042CB9">
        <w:rPr>
          <w:color w:val="000000" w:themeColor="text1"/>
          <w:lang w:val="en-US"/>
        </w:rPr>
        <w:t xml:space="preserve"> </w:t>
      </w:r>
      <w:r w:rsidR="00042CB9">
        <w:rPr>
          <w:rFonts w:cs="Calibri"/>
          <w:szCs w:val="24"/>
        </w:rPr>
        <w:t>I found no association between proportional change in deaths for other unintentional injuries and anomalous temperature (</w:t>
      </w:r>
      <w:r w:rsidR="00042CB9">
        <w:rPr>
          <w:rFonts w:cs="Calibri"/>
          <w:szCs w:val="24"/>
        </w:rPr>
        <w:fldChar w:fldCharType="begin"/>
      </w:r>
      <w:r w:rsidR="00042CB9">
        <w:rPr>
          <w:rFonts w:cs="Calibri"/>
          <w:szCs w:val="24"/>
        </w:rPr>
        <w:instrText xml:space="preserve"> REF _Ref7260386 \h </w:instrText>
      </w:r>
      <w:r w:rsidR="00042CB9">
        <w:rPr>
          <w:rFonts w:cs="Calibri"/>
          <w:szCs w:val="24"/>
        </w:rPr>
      </w:r>
      <w:r w:rsidR="00042CB9">
        <w:rPr>
          <w:rFonts w:cs="Calibri"/>
          <w:szCs w:val="24"/>
        </w:rPr>
        <w:fldChar w:fldCharType="separate"/>
      </w:r>
      <w:r w:rsidR="00937C14" w:rsidRPr="00752547">
        <w:rPr>
          <w:b/>
        </w:rPr>
        <w:t xml:space="preserve">Figure </w:t>
      </w:r>
      <w:r w:rsidR="00937C14">
        <w:rPr>
          <w:b/>
          <w:noProof/>
        </w:rPr>
        <w:t>12</w:t>
      </w:r>
      <w:r w:rsidR="00042CB9">
        <w:rPr>
          <w:rFonts w:cs="Calibri"/>
          <w:szCs w:val="24"/>
        </w:rPr>
        <w:fldChar w:fldCharType="end"/>
      </w:r>
      <w:r w:rsidR="00042CB9">
        <w:rPr>
          <w:rFonts w:cs="Calibri"/>
          <w:szCs w:val="24"/>
        </w:rPr>
        <w:t>).</w:t>
      </w:r>
      <w:r w:rsidR="00BB1587">
        <w:rPr>
          <w:rFonts w:cs="Calibri"/>
          <w:szCs w:val="24"/>
        </w:rPr>
        <w:t xml:space="preserve"> </w:t>
      </w:r>
      <w:r w:rsidR="00042CB9">
        <w:rPr>
          <w:rFonts w:cs="Calibri"/>
          <w:szCs w:val="24"/>
        </w:rPr>
        <w:t>I therefore did not include the results in further calculations.</w:t>
      </w:r>
    </w:p>
    <w:p w14:paraId="788F2936" w14:textId="16BDA995" w:rsidR="00111093" w:rsidRPr="00111093" w:rsidRDefault="009D3283" w:rsidP="00EC2CF3">
      <w:pPr>
        <w:ind w:firstLine="720"/>
        <w:sectPr w:rsidR="00111093" w:rsidRPr="00111093" w:rsidSect="00EC2CF3">
          <w:footerReference w:type="even" r:id="rId8"/>
          <w:footerReference w:type="default" r:id="rId9"/>
          <w:pgSz w:w="11900" w:h="16840"/>
          <w:pgMar w:top="1440" w:right="1440" w:bottom="1440" w:left="1440" w:header="720" w:footer="720" w:gutter="0"/>
          <w:cols w:space="720"/>
          <w:docGrid w:linePitch="360"/>
        </w:sectPr>
      </w:pPr>
      <w:r>
        <w:rPr>
          <w:szCs w:val="24"/>
        </w:rPr>
        <w:t>I also attempted to run a model where each state was given a separate</w:t>
      </w:r>
      <w:r w:rsidR="0031434E">
        <w:rPr>
          <w:szCs w:val="24"/>
        </w:rPr>
        <w:t xml:space="preserve"> set of</w:t>
      </w:r>
      <w:r>
        <w:rPr>
          <w:szCs w:val="24"/>
        </w:rPr>
        <w:t xml:space="preserve"> temperature anomaly coefficient</w:t>
      </w:r>
      <w:r w:rsidR="00D070F4">
        <w:rPr>
          <w:szCs w:val="24"/>
        </w:rPr>
        <w:t>s</w:t>
      </w:r>
      <w:r w:rsidR="008418B3">
        <w:rPr>
          <w:szCs w:val="24"/>
        </w:rPr>
        <w:t xml:space="preserve"> </w:t>
      </w:r>
      <w:r>
        <w:rPr>
          <w:szCs w:val="24"/>
        </w:rPr>
        <w:t>(Equation XX in Chapter XX). However, the model would either not converge or not achieve sensible results and are therefore not shown here.</w:t>
      </w:r>
      <w:r>
        <w:rPr>
          <w:rFonts w:cs="Calibri"/>
          <w:szCs w:val="24"/>
        </w:rPr>
        <w:t xml:space="preserve"> </w:t>
      </w:r>
    </w:p>
    <w:p w14:paraId="4AB64C33" w14:textId="6A46D2F1" w:rsidR="001474FA" w:rsidRDefault="00964136" w:rsidP="001474FA">
      <w:pPr>
        <w:pStyle w:val="Heading2"/>
        <w:rPr>
          <w:rFonts w:cs="Calibri"/>
          <w:szCs w:val="24"/>
        </w:rPr>
      </w:pPr>
      <w:bookmarkStart w:id="5" w:name="_Toc7509896"/>
      <w:r>
        <w:t>Results</w:t>
      </w:r>
      <w:bookmarkEnd w:id="5"/>
      <w:r>
        <w:rPr>
          <w:rFonts w:cs="Calibri"/>
          <w:szCs w:val="24"/>
        </w:rPr>
        <w:t xml:space="preserve"> </w:t>
      </w:r>
    </w:p>
    <w:p w14:paraId="2AF4D6D4" w14:textId="4F05D257" w:rsidR="009D3283" w:rsidRPr="008112A6" w:rsidRDefault="009D3283" w:rsidP="009D3283">
      <w:pPr>
        <w:ind w:firstLine="720"/>
        <w:rPr>
          <w:rFonts w:cs="Calibri"/>
          <w:color w:val="000000" w:themeColor="text1"/>
          <w:szCs w:val="24"/>
        </w:rPr>
      </w:pPr>
      <w:r>
        <w:rPr>
          <w:rFonts w:cs="Calibri"/>
          <w:color w:val="000000" w:themeColor="text1"/>
          <w:szCs w:val="24"/>
        </w:rPr>
        <w:t>From</w:t>
      </w:r>
      <w:r w:rsidRPr="008112A6">
        <w:rPr>
          <w:rFonts w:cs="Calibri"/>
          <w:color w:val="000000" w:themeColor="text1"/>
          <w:szCs w:val="24"/>
        </w:rPr>
        <w:t xml:space="preserve"> </w:t>
      </w:r>
      <w:r>
        <w:rPr>
          <w:rFonts w:cs="Calibri"/>
          <w:color w:val="000000" w:themeColor="text1"/>
          <w:szCs w:val="24"/>
        </w:rPr>
        <w:t>1980 to 2016</w:t>
      </w:r>
      <w:r w:rsidRPr="008112A6">
        <w:rPr>
          <w:rFonts w:cs="Calibri"/>
          <w:color w:val="000000" w:themeColor="text1"/>
          <w:szCs w:val="24"/>
        </w:rPr>
        <w:t>, 4,006,454 boys and men and 1,757,862 girls and women died from an injury</w:t>
      </w:r>
      <w:r>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Pr>
          <w:rFonts w:cs="Calibri"/>
          <w:color w:val="000000" w:themeColor="text1"/>
          <w:szCs w:val="24"/>
        </w:rPr>
        <w:t xml:space="preserve"> </w:t>
      </w:r>
      <w:r w:rsidRPr="008112A6">
        <w:rPr>
          <w:rFonts w:cs="Calibri"/>
          <w:color w:val="000000" w:themeColor="text1"/>
          <w:szCs w:val="24"/>
        </w:rPr>
        <w:t>(</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937C14" w:rsidRPr="00C1349F">
        <w:rPr>
          <w:b/>
        </w:rPr>
        <w:t xml:space="preserve">Figure </w:t>
      </w:r>
      <w:r w:rsidR="00937C14">
        <w:rPr>
          <w:b/>
          <w:noProof/>
        </w:rPr>
        <w:t>1</w:t>
      </w:r>
      <w:r w:rsidR="00695492">
        <w:rPr>
          <w:rFonts w:cs="Calibri"/>
          <w:color w:val="000000" w:themeColor="text1"/>
          <w:szCs w:val="24"/>
        </w:rPr>
        <w:fldChar w:fldCharType="end"/>
      </w:r>
      <w:r w:rsidR="00695492">
        <w:rPr>
          <w:rFonts w:cs="Calibri"/>
          <w:color w:val="000000" w:themeColor="text1"/>
          <w:szCs w:val="24"/>
        </w:rPr>
        <w:t>)</w:t>
      </w:r>
      <w:r w:rsidRPr="008112A6">
        <w:rPr>
          <w:rFonts w:cs="Calibri"/>
          <w:color w:val="000000" w:themeColor="text1"/>
          <w:szCs w:val="24"/>
        </w:rPr>
        <w:t xml:space="preserve">95.6% of male injury deaths and 93.9% of female injury deaths were in those aged 15 years </w:t>
      </w:r>
      <w:r w:rsidRPr="008112A6">
        <w:rPr>
          <w:rFonts w:cs="Calibri"/>
          <w:color w:val="000000" w:themeColor="text1"/>
          <w:szCs w:val="24"/>
        </w:rPr>
        <w:lastRenderedPageBreak/>
        <w:t>and older, and over half (52.6%) of male injury deaths were in those aged 15-44 years (</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937C14" w:rsidRPr="00C1349F">
        <w:rPr>
          <w:b/>
        </w:rPr>
        <w:t xml:space="preserve">Figure </w:t>
      </w:r>
      <w:r w:rsidR="00937C14">
        <w:rPr>
          <w:b/>
          <w:noProof/>
        </w:rPr>
        <w:t>1</w:t>
      </w:r>
      <w:r w:rsidR="00695492">
        <w:rPr>
          <w:rFonts w:cs="Calibri"/>
          <w:color w:val="000000" w:themeColor="text1"/>
          <w:szCs w:val="24"/>
        </w:rPr>
        <w:fldChar w:fldCharType="end"/>
      </w:r>
      <w:r w:rsidR="00695492">
        <w:rPr>
          <w:rFonts w:cs="Calibri"/>
          <w:color w:val="000000" w:themeColor="text1"/>
          <w:szCs w:val="24"/>
        </w:rPr>
        <w:t xml:space="preserve">). </w:t>
      </w:r>
      <w:r w:rsidRPr="008112A6">
        <w:rPr>
          <w:rFonts w:cs="Calibri"/>
          <w:color w:val="000000" w:themeColor="text1"/>
          <w:szCs w:val="24"/>
        </w:rPr>
        <w:t>In contrast with males, there was less of an age gradient in females after 15 years of age.</w:t>
      </w:r>
    </w:p>
    <w:p w14:paraId="0DE23F56" w14:textId="77777777" w:rsidR="009D3283" w:rsidRDefault="009D3283" w:rsidP="009D3283">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3A174D14" w14:textId="0EACE2A8" w:rsidR="00EC2CF3" w:rsidRDefault="009D3283" w:rsidP="002941C3">
      <w:pPr>
        <w:ind w:firstLine="720"/>
        <w:rPr>
          <w:lang w:val="en-US"/>
        </w:rPr>
      </w:pPr>
      <w:r w:rsidRPr="00A74A83">
        <w:rPr>
          <w:lang w:val="en-US"/>
        </w:rPr>
        <w:t>There was a decline in age-standardized death rates of three out of five major injuries (transport, drownings and assault) from 1980 to 2016, although assault deaths have shown a recent increase since 2014 (</w:t>
      </w:r>
      <w:r w:rsidR="00695492">
        <w:rPr>
          <w:rFonts w:cs="Calibri"/>
          <w:color w:val="000000" w:themeColor="text1"/>
          <w:szCs w:val="24"/>
        </w:rPr>
        <w:fldChar w:fldCharType="begin"/>
      </w:r>
      <w:r w:rsidR="00695492">
        <w:rPr>
          <w:lang w:val="en-US"/>
        </w:rPr>
        <w:instrText xml:space="preserve"> REF _Ref8480339 \h </w:instrText>
      </w:r>
      <w:r w:rsidR="00695492">
        <w:rPr>
          <w:rFonts w:cs="Calibri"/>
          <w:color w:val="000000" w:themeColor="text1"/>
          <w:szCs w:val="24"/>
        </w:rPr>
      </w:r>
      <w:r w:rsidR="00695492">
        <w:rPr>
          <w:rFonts w:cs="Calibri"/>
          <w:color w:val="000000" w:themeColor="text1"/>
          <w:szCs w:val="24"/>
        </w:rPr>
        <w:fldChar w:fldCharType="separate"/>
      </w:r>
      <w:r w:rsidR="00937C14" w:rsidRPr="00EA12B7">
        <w:rPr>
          <w:b/>
        </w:rPr>
        <w:t xml:space="preserve">Figure </w:t>
      </w:r>
      <w:r w:rsidR="00937C14">
        <w:rPr>
          <w:b/>
          <w:noProof/>
        </w:rPr>
        <w:t>2</w:t>
      </w:r>
      <w:r w:rsidR="00695492">
        <w:rPr>
          <w:rFonts w:cs="Calibri"/>
          <w:color w:val="000000" w:themeColor="text1"/>
          <w:szCs w:val="24"/>
        </w:rPr>
        <w:fldChar w:fldCharType="end"/>
      </w:r>
      <w:r w:rsidRPr="00A74A83">
        <w:rPr>
          <w:lang w:val="en-US"/>
        </w:rPr>
        <w:t>). In contrast, age-standardized death rates from falls increased over time while those from suicide initially decreased followed by an increase to surpass 1980 levels. The largest overall decline over time was for transport deaths</w:t>
      </w:r>
      <w:r w:rsidRPr="00C8635F">
        <w:rPr>
          <w:lang w:val="en-US"/>
        </w:rPr>
        <w:t xml:space="preserve"> </w:t>
      </w:r>
      <w:r>
        <w:rPr>
          <w:lang w:val="en-US"/>
        </w:rPr>
        <w:t>in both sexes and for deaths from drownings in men</w:t>
      </w:r>
      <w:r w:rsidRPr="00A74A83">
        <w:rPr>
          <w:lang w:val="en-US"/>
        </w:rPr>
        <w:t>, which declined by over 50% from 1980 to 2016. Age-standardized death rates for transport injuries and drownings peaked in summer months but deaths from other major injuries did not have clear seasonal patterns</w:t>
      </w:r>
      <w:r w:rsidR="00AC6905">
        <w:rPr>
          <w:lang w:val="en-US"/>
        </w:rPr>
        <w:t>.</w:t>
      </w:r>
    </w:p>
    <w:p w14:paraId="76773FB5" w14:textId="77777777" w:rsidR="00EC2CF3" w:rsidRDefault="00EC2CF3">
      <w:pPr>
        <w:spacing w:after="0" w:line="240" w:lineRule="auto"/>
        <w:jc w:val="left"/>
        <w:rPr>
          <w:lang w:val="en-US"/>
        </w:rPr>
      </w:pPr>
      <w:r>
        <w:rPr>
          <w:lang w:val="en-US"/>
        </w:rPr>
        <w:br w:type="page"/>
      </w:r>
    </w:p>
    <w:p w14:paraId="5BF509D8" w14:textId="77777777" w:rsidR="00EC2CF3" w:rsidRDefault="00EC2CF3" w:rsidP="00EC2CF3">
      <w:pPr>
        <w:spacing w:after="0" w:line="240" w:lineRule="auto"/>
        <w:jc w:val="left"/>
        <w:sectPr w:rsidR="00EC2CF3" w:rsidSect="00E824F8">
          <w:type w:val="continuous"/>
          <w:pgSz w:w="11900" w:h="16840"/>
          <w:pgMar w:top="1440" w:right="1440" w:bottom="1440" w:left="1440" w:header="720" w:footer="720" w:gutter="0"/>
          <w:cols w:space="720"/>
          <w:docGrid w:linePitch="360"/>
        </w:sectPr>
      </w:pPr>
    </w:p>
    <w:p w14:paraId="03214082" w14:textId="53B9BA06" w:rsidR="00EC2CF3" w:rsidRDefault="00EC2CF3" w:rsidP="00EC2CF3">
      <w:pPr>
        <w:spacing w:after="0" w:line="240" w:lineRule="auto"/>
        <w:jc w:val="left"/>
      </w:pPr>
      <w:r>
        <w:lastRenderedPageBreak/>
        <w:br w:type="page"/>
      </w:r>
      <w:r w:rsidRPr="00EC2CF3">
        <mc:AlternateContent>
          <mc:Choice Requires="wps">
            <w:drawing>
              <wp:anchor distT="0" distB="0" distL="114300" distR="114300" simplePos="0" relativeHeight="251698176" behindDoc="0" locked="0" layoutInCell="1" allowOverlap="1" wp14:anchorId="17225984" wp14:editId="1BD0CE8F">
                <wp:simplePos x="0" y="0"/>
                <wp:positionH relativeFrom="column">
                  <wp:posOffset>199390</wp:posOffset>
                </wp:positionH>
                <wp:positionV relativeFrom="paragraph">
                  <wp:posOffset>6395085</wp:posOffset>
                </wp:positionV>
                <wp:extent cx="9387840" cy="635"/>
                <wp:effectExtent l="0" t="0" r="0" b="5080"/>
                <wp:wrapNone/>
                <wp:docPr id="34" name="Text Box 3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7687D315" w14:textId="082277B1" w:rsidR="00EC2CF3" w:rsidRPr="00AC2AD1" w:rsidRDefault="00EC2CF3" w:rsidP="00EC2CF3">
                            <w:pPr>
                              <w:suppressLineNumbers/>
                              <w:spacing w:line="240" w:lineRule="auto"/>
                              <w:rPr>
                                <w:rFonts w:cs="Calibri"/>
                                <w:noProof/>
                              </w:rPr>
                            </w:pPr>
                            <w:bookmarkStart w:id="6"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937C14">
                              <w:rPr>
                                <w:b/>
                                <w:noProof/>
                              </w:rPr>
                              <w:t>1</w:t>
                            </w:r>
                            <w:r w:rsidRPr="00C1349F">
                              <w:rPr>
                                <w:b/>
                              </w:rPr>
                              <w:fldChar w:fldCharType="end"/>
                            </w:r>
                            <w:bookmarkEnd w:id="6"/>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225984" id="_x0000_t202" coordsize="21600,21600" o:spt="202" path="m,l,21600r21600,l21600,xe">
                <v:stroke joinstyle="miter"/>
                <v:path gradientshapeok="t" o:connecttype="rect"/>
              </v:shapetype>
              <v:shape id="Text Box 34" o:spid="_x0000_s1026" type="#_x0000_t202" style="position:absolute;margin-left:15.7pt;margin-top:503.55pt;width:739.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aysLQIAAF8EAAAOAAAAZHJzL2Uyb0RvYy54bWysVFFv2jAQfp+0/2D5fQRK1z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" stroked="f">
                <v:textbox style="mso-fit-shape-to-text:t" inset="0,0,0,0">
                  <w:txbxContent>
                    <w:p w14:paraId="7687D315" w14:textId="082277B1" w:rsidR="00EC2CF3" w:rsidRPr="00AC2AD1" w:rsidRDefault="00EC2CF3" w:rsidP="00EC2CF3">
                      <w:pPr>
                        <w:suppressLineNumbers/>
                        <w:spacing w:line="240" w:lineRule="auto"/>
                        <w:rPr>
                          <w:rFonts w:cs="Calibri"/>
                          <w:noProof/>
                        </w:rPr>
                      </w:pPr>
                      <w:bookmarkStart w:id="7"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937C14">
                        <w:rPr>
                          <w:b/>
                          <w:noProof/>
                        </w:rPr>
                        <w:t>1</w:t>
                      </w:r>
                      <w:r w:rsidRPr="00C1349F">
                        <w:rPr>
                          <w:b/>
                        </w:rPr>
                        <w:fldChar w:fldCharType="end"/>
                      </w:r>
                      <w:bookmarkEnd w:id="7"/>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v:textbox>
              </v:shape>
            </w:pict>
          </mc:Fallback>
        </mc:AlternateContent>
      </w:r>
      <w:r w:rsidRPr="00EC2CF3">
        <w:drawing>
          <wp:anchor distT="0" distB="0" distL="114300" distR="114300" simplePos="0" relativeHeight="251699200" behindDoc="0" locked="0" layoutInCell="1" allowOverlap="1" wp14:anchorId="349100DE" wp14:editId="39DB11FA">
            <wp:simplePos x="0" y="0"/>
            <wp:positionH relativeFrom="column">
              <wp:posOffset>0</wp:posOffset>
            </wp:positionH>
            <wp:positionV relativeFrom="paragraph">
              <wp:posOffset>0</wp:posOffset>
            </wp:positionV>
            <wp:extent cx="9323070" cy="627634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7BC4" w14:textId="20F9BAF9" w:rsidR="009D3283" w:rsidRPr="009D3283" w:rsidRDefault="00EC2CF3" w:rsidP="00EC2CF3">
      <w:pPr>
        <w:spacing w:after="0" w:line="240" w:lineRule="auto"/>
        <w:jc w:val="left"/>
      </w:pPr>
      <w:r>
        <w:lastRenderedPageBreak/>
        <w:br w:type="page"/>
      </w:r>
      <w:r w:rsidRPr="00EC2CF3">
        <w:drawing>
          <wp:anchor distT="0" distB="0" distL="114300" distR="114300" simplePos="0" relativeHeight="251701248" behindDoc="0" locked="0" layoutInCell="1" allowOverlap="1" wp14:anchorId="27869A6E" wp14:editId="71DF3BBC">
            <wp:simplePos x="0" y="0"/>
            <wp:positionH relativeFrom="column">
              <wp:posOffset>0</wp:posOffset>
            </wp:positionH>
            <wp:positionV relativeFrom="paragraph">
              <wp:posOffset>0</wp:posOffset>
            </wp:positionV>
            <wp:extent cx="9474200" cy="670306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2CF3">
        <mc:AlternateContent>
          <mc:Choice Requires="wps">
            <w:drawing>
              <wp:anchor distT="0" distB="0" distL="114300" distR="114300" simplePos="0" relativeHeight="251702272" behindDoc="0" locked="0" layoutInCell="1" allowOverlap="1" wp14:anchorId="1C0389F8" wp14:editId="4ED0AD82">
                <wp:simplePos x="0" y="0"/>
                <wp:positionH relativeFrom="column">
                  <wp:posOffset>168275</wp:posOffset>
                </wp:positionH>
                <wp:positionV relativeFrom="paragraph">
                  <wp:posOffset>6513195</wp:posOffset>
                </wp:positionV>
                <wp:extent cx="9387840" cy="236483"/>
                <wp:effectExtent l="0" t="0" r="0" b="5080"/>
                <wp:wrapNone/>
                <wp:docPr id="40" name="Text Box 40"/>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1D1CB7A5" w14:textId="2A91D08F" w:rsidR="00EC2CF3" w:rsidRDefault="00EC2CF3" w:rsidP="00EC2CF3">
                            <w:pPr>
                              <w:pStyle w:val="BalloonTextChar"/>
                            </w:pPr>
                            <w:bookmarkStart w:id="8"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937C14">
                              <w:rPr>
                                <w:b/>
                                <w:noProof/>
                              </w:rPr>
                              <w:t>2</w:t>
                            </w:r>
                            <w:r w:rsidRPr="00EA12B7">
                              <w:rPr>
                                <w:b/>
                              </w:rPr>
                              <w:fldChar w:fldCharType="end"/>
                            </w:r>
                            <w:bookmarkEnd w:id="8"/>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389F8" id="Text Box 40" o:spid="_x0000_s1027" type="#_x0000_t202" style="position:absolute;margin-left:13.25pt;margin-top:512.85pt;width:739.2pt;height:18.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" stroked="f">
                <v:textbox inset="0,0,0,0">
                  <w:txbxContent>
                    <w:p w14:paraId="1D1CB7A5" w14:textId="2A91D08F" w:rsidR="00EC2CF3" w:rsidRDefault="00EC2CF3" w:rsidP="00EC2CF3">
                      <w:pPr>
                        <w:pStyle w:val="BalloonTextChar"/>
                      </w:pPr>
                      <w:bookmarkStart w:id="9"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937C14">
                        <w:rPr>
                          <w:b/>
                          <w:noProof/>
                        </w:rPr>
                        <w:t>2</w:t>
                      </w:r>
                      <w:r w:rsidRPr="00EA12B7">
                        <w:rPr>
                          <w:b/>
                        </w:rPr>
                        <w:fldChar w:fldCharType="end"/>
                      </w:r>
                      <w:bookmarkEnd w:id="9"/>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v:textbox>
              </v:shape>
            </w:pict>
          </mc:Fallback>
        </mc:AlternateContent>
      </w:r>
    </w:p>
    <w:p w14:paraId="006645C8" w14:textId="77777777" w:rsidR="00EC2CF3" w:rsidRDefault="00EC2CF3" w:rsidP="00A32CCB">
      <w:pPr>
        <w:ind w:firstLine="720"/>
        <w:rPr>
          <w:rFonts w:cs="Calibri"/>
          <w:szCs w:val="24"/>
        </w:rPr>
        <w:sectPr w:rsidR="00EC2CF3" w:rsidSect="00EC2CF3">
          <w:pgSz w:w="16840" w:h="11900" w:orient="landscape"/>
          <w:pgMar w:top="720" w:right="720" w:bottom="720" w:left="720" w:header="720" w:footer="720" w:gutter="0"/>
          <w:cols w:space="720"/>
          <w:docGrid w:linePitch="360"/>
        </w:sectPr>
      </w:pPr>
    </w:p>
    <w:p w14:paraId="71E57E24" w14:textId="4C66BDE5" w:rsidR="001474FA" w:rsidRDefault="00F536F4" w:rsidP="00A32CCB">
      <w:pPr>
        <w:ind w:firstLine="720"/>
        <w:rPr>
          <w:rFonts w:cs="Calibri"/>
          <w:szCs w:val="24"/>
        </w:rPr>
      </w:pPr>
      <w:r>
        <w:rPr>
          <w:rFonts w:cs="Calibri"/>
          <w:szCs w:val="24"/>
        </w:rPr>
        <w:lastRenderedPageBreak/>
        <w:t xml:space="preserve">I </w:t>
      </w:r>
      <w:r>
        <w:rPr>
          <w:lang w:val="en-US"/>
        </w:rPr>
        <w:t>estimated that</w:t>
      </w:r>
      <w:r w:rsidR="001474FA" w:rsidRPr="00555EEF">
        <w:rPr>
          <w:rFonts w:cs="Calibri"/>
          <w:szCs w:val="24"/>
        </w:rPr>
        <w:t xml:space="preserve"> there would be an estimated 941 (95% credible interval 831, 1,053) excess injury deaths, equivalent to 0.47% of all injury deaths in 2016,</w:t>
      </w:r>
      <w:r w:rsidR="001474FA" w:rsidRPr="00555EEF">
        <w:rPr>
          <w:rFonts w:cs="Calibri"/>
          <w:color w:val="000000" w:themeColor="text1"/>
          <w:szCs w:val="24"/>
        </w:rPr>
        <w:t xml:space="preserve"> in each year in which each month in each state were +1</w:t>
      </w:r>
      <w:r w:rsidR="001474FA" w:rsidRPr="00555EEF">
        <w:rPr>
          <w:rFonts w:eastAsia="Times New Roman" w:cs="Calibri"/>
          <w:bCs/>
          <w:color w:val="222222"/>
          <w:szCs w:val="24"/>
          <w:shd w:val="clear" w:color="auto" w:fill="FFFFFF"/>
        </w:rPr>
        <w:t>°</w:t>
      </w:r>
      <w:r w:rsidR="001474FA" w:rsidRPr="00555EEF">
        <w:rPr>
          <w:rFonts w:cs="Calibri"/>
          <w:color w:val="000000" w:themeColor="text1"/>
          <w:szCs w:val="24"/>
        </w:rPr>
        <w:t>C above its long-term norm</w:t>
      </w:r>
      <w:r w:rsidR="001474FA"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937C14" w:rsidRPr="00562D13">
        <w:rPr>
          <w:b/>
        </w:rPr>
        <w:t xml:space="preserve">Figure </w:t>
      </w:r>
      <w:r w:rsidR="00937C14">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Deaths from drowning, transport, assault and </w:t>
      </w:r>
      <w:r w:rsidR="001474FA">
        <w:rPr>
          <w:rFonts w:cs="Calibri"/>
          <w:szCs w:val="24"/>
        </w:rPr>
        <w:t>suicide</w:t>
      </w:r>
      <w:r w:rsidR="001474FA"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937C14" w:rsidRPr="00562D13">
        <w:rPr>
          <w:b/>
        </w:rPr>
        <w:t xml:space="preserve">Figure </w:t>
      </w:r>
      <w:r w:rsidR="00937C14">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Most excess deaths would be from transport injuries (448) followed by </w:t>
      </w:r>
      <w:r w:rsidR="001474FA">
        <w:rPr>
          <w:rFonts w:cs="Calibri"/>
          <w:szCs w:val="24"/>
        </w:rPr>
        <w:t>suicide</w:t>
      </w:r>
      <w:r w:rsidR="001474FA"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r w:rsidR="00937C14">
        <w:rPr>
          <w:rFonts w:cs="Calibri"/>
          <w:szCs w:val="24"/>
        </w:rPr>
        <w:t>.</w:t>
      </w:r>
      <w:bookmarkStart w:id="10" w:name="_GoBack"/>
      <w:bookmarkEnd w:id="10"/>
    </w:p>
    <w:p w14:paraId="75D34D74" w14:textId="6E9B1A9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937C14" w:rsidRPr="00FA43E1">
        <w:rPr>
          <w:b/>
        </w:rPr>
        <w:t xml:space="preserve">Figure </w:t>
      </w:r>
      <w:r w:rsidR="00937C14">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937C14" w:rsidRPr="00FA43E1">
        <w:rPr>
          <w:b/>
        </w:rPr>
        <w:t xml:space="preserve">Figure </w:t>
      </w:r>
      <w:r w:rsidR="00937C14">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1CEB8EA8" w:rsidR="004A5CEA" w:rsidRDefault="00CD5481" w:rsidP="001474FA">
      <w:pPr>
        <w:ind w:firstLine="720"/>
        <w:rPr>
          <w:rFonts w:cs="Calibri"/>
          <w:szCs w:val="24"/>
        </w:rPr>
        <w:sectPr w:rsidR="004A5CEA" w:rsidSect="00EC2CF3">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937C14" w:rsidRPr="00ED73AC">
        <w:rPr>
          <w:b/>
        </w:rPr>
        <w:t xml:space="preserve">Figure </w:t>
      </w:r>
      <w:r w:rsidR="00937C14">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937C14" w:rsidRPr="00ED73AC">
        <w:rPr>
          <w:b/>
        </w:rPr>
        <w:t xml:space="preserve">Figure </w:t>
      </w:r>
      <w:r w:rsidR="00937C14">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7AE50324">
            <wp:simplePos x="0" y="0"/>
            <wp:positionH relativeFrom="column">
              <wp:posOffset>0</wp:posOffset>
            </wp:positionH>
            <wp:positionV relativeFrom="paragraph">
              <wp:posOffset>49</wp:posOffset>
            </wp:positionV>
            <wp:extent cx="9453600" cy="6688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453600" cy="668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1714A928" w:rsidR="004A5CEA" w:rsidRPr="00AC2AD1" w:rsidRDefault="004A5CEA" w:rsidP="004A5CEA">
                            <w:pPr>
                              <w:suppressLineNumbers/>
                              <w:spacing w:line="240" w:lineRule="auto"/>
                              <w:rPr>
                                <w:rFonts w:cs="Calibri"/>
                                <w:noProof/>
                              </w:rPr>
                            </w:pPr>
                            <w:bookmarkStart w:id="11"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937C14">
                              <w:rPr>
                                <w:b/>
                                <w:noProof/>
                              </w:rPr>
                              <w:t>3</w:t>
                            </w:r>
                            <w:r w:rsidRPr="00562D13">
                              <w:rPr>
                                <w:b/>
                              </w:rPr>
                              <w:fldChar w:fldCharType="end"/>
                            </w:r>
                            <w:bookmarkEnd w:id="1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1714A928" w:rsidR="004A5CEA" w:rsidRPr="00AC2AD1" w:rsidRDefault="004A5CEA" w:rsidP="004A5CEA">
                      <w:pPr>
                        <w:suppressLineNumbers/>
                        <w:spacing w:line="240" w:lineRule="auto"/>
                        <w:rPr>
                          <w:rFonts w:cs="Calibri"/>
                          <w:noProof/>
                        </w:rPr>
                      </w:pPr>
                      <w:bookmarkStart w:id="12"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937C14">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43789968" w:rsidR="00F458DA" w:rsidRPr="00AC2AD1" w:rsidRDefault="00F458DA" w:rsidP="00F458DA">
                            <w:pPr>
                              <w:suppressLineNumbers/>
                              <w:spacing w:line="240" w:lineRule="auto"/>
                              <w:rPr>
                                <w:rFonts w:cs="Calibri"/>
                                <w:noProof/>
                              </w:rPr>
                            </w:pPr>
                            <w:bookmarkStart w:id="1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937C14">
                              <w:rPr>
                                <w:b/>
                                <w:noProof/>
                              </w:rPr>
                              <w:t>4</w:t>
                            </w:r>
                            <w:r w:rsidRPr="00FA43E1">
                              <w:rPr>
                                <w:b/>
                              </w:rPr>
                              <w:fldChar w:fldCharType="end"/>
                            </w:r>
                            <w:bookmarkEnd w:id="1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43789968" w:rsidR="00F458DA" w:rsidRPr="00AC2AD1" w:rsidRDefault="00F458DA" w:rsidP="00F458DA">
                      <w:pPr>
                        <w:suppressLineNumbers/>
                        <w:spacing w:line="240" w:lineRule="auto"/>
                        <w:rPr>
                          <w:rFonts w:cs="Calibri"/>
                          <w:noProof/>
                        </w:rPr>
                      </w:pPr>
                      <w:bookmarkStart w:id="14"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937C14">
                        <w:rPr>
                          <w:b/>
                          <w:noProof/>
                        </w:rPr>
                        <w:t>4</w:t>
                      </w:r>
                      <w:r w:rsidRPr="00FA43E1">
                        <w:rPr>
                          <w:b/>
                        </w:rPr>
                        <w:fldChar w:fldCharType="end"/>
                      </w:r>
                      <w:bookmarkEnd w:id="14"/>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251AE04A">
            <wp:extent cx="9175329" cy="6491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29"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1212D86C" w:rsidR="001B21C8" w:rsidRPr="00AC2AD1" w:rsidRDefault="001B21C8" w:rsidP="001B21C8">
                            <w:pPr>
                              <w:suppressLineNumbers/>
                              <w:spacing w:line="240" w:lineRule="auto"/>
                              <w:rPr>
                                <w:rFonts w:cs="Calibri"/>
                                <w:noProof/>
                              </w:rPr>
                            </w:pPr>
                            <w:bookmarkStart w:id="1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937C14">
                              <w:rPr>
                                <w:b/>
                                <w:noProof/>
                              </w:rPr>
                              <w:t>5</w:t>
                            </w:r>
                            <w:r w:rsidRPr="00ED73AC">
                              <w:rPr>
                                <w:b/>
                              </w:rPr>
                              <w:fldChar w:fldCharType="end"/>
                            </w:r>
                            <w:bookmarkEnd w:id="15"/>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1212D86C" w:rsidR="001B21C8" w:rsidRPr="00AC2AD1" w:rsidRDefault="001B21C8" w:rsidP="001B21C8">
                      <w:pPr>
                        <w:suppressLineNumbers/>
                        <w:spacing w:line="240" w:lineRule="auto"/>
                        <w:rPr>
                          <w:rFonts w:cs="Calibri"/>
                          <w:noProof/>
                        </w:rPr>
                      </w:pPr>
                      <w:bookmarkStart w:id="16"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937C14">
                        <w:rPr>
                          <w:b/>
                          <w:noProof/>
                        </w:rPr>
                        <w:t>5</w:t>
                      </w:r>
                      <w:r w:rsidRPr="00ED73AC">
                        <w:rPr>
                          <w:b/>
                        </w:rPr>
                        <w:fldChar w:fldCharType="end"/>
                      </w:r>
                      <w:bookmarkEnd w:id="16"/>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19DD9BEB">
            <wp:extent cx="9164089" cy="64835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11"/>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49FDDA43" w:rsidR="00251A09" w:rsidRPr="00AC2AD1" w:rsidRDefault="00251A09" w:rsidP="00251A09">
                            <w:pPr>
                              <w:suppressLineNumbers/>
                              <w:spacing w:line="240" w:lineRule="auto"/>
                              <w:rPr>
                                <w:rFonts w:cs="Calibri"/>
                                <w:noProof/>
                              </w:rPr>
                            </w:pPr>
                            <w:bookmarkStart w:id="1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937C14">
                              <w:rPr>
                                <w:b/>
                                <w:noProof/>
                              </w:rPr>
                              <w:t>6</w:t>
                            </w:r>
                            <w:r w:rsidRPr="00CC3E7E">
                              <w:rPr>
                                <w:b/>
                              </w:rPr>
                              <w:fldChar w:fldCharType="end"/>
                            </w:r>
                            <w:bookmarkEnd w:id="1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49FDDA43" w:rsidR="00251A09" w:rsidRPr="00AC2AD1" w:rsidRDefault="00251A09" w:rsidP="00251A09">
                      <w:pPr>
                        <w:suppressLineNumbers/>
                        <w:spacing w:line="240" w:lineRule="auto"/>
                        <w:rPr>
                          <w:rFonts w:cs="Calibri"/>
                          <w:noProof/>
                        </w:rPr>
                      </w:pPr>
                      <w:bookmarkStart w:id="18"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937C14">
                        <w:rPr>
                          <w:b/>
                          <w:noProof/>
                        </w:rPr>
                        <w:t>6</w:t>
                      </w:r>
                      <w:r w:rsidRPr="00CC3E7E">
                        <w:rPr>
                          <w:b/>
                        </w:rPr>
                        <w:fldChar w:fldCharType="end"/>
                      </w:r>
                      <w:bookmarkEnd w:id="18"/>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446AFDCC"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60288" behindDoc="0" locked="0" layoutInCell="1" allowOverlap="1" wp14:anchorId="254C5612" wp14:editId="64E10C75">
            <wp:simplePos x="0" y="0"/>
            <wp:positionH relativeFrom="column">
              <wp:posOffset>0</wp:posOffset>
            </wp:positionH>
            <wp:positionV relativeFrom="paragraph">
              <wp:posOffset>0</wp:posOffset>
            </wp:positionV>
            <wp:extent cx="952881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28810" cy="6741795"/>
                    </a:xfrm>
                    <a:prstGeom prst="rect">
                      <a:avLst/>
                    </a:prstGeom>
                    <a:noFill/>
                  </pic:spPr>
                </pic:pic>
              </a:graphicData>
            </a:graphic>
            <wp14:sizeRelH relativeFrom="page">
              <wp14:pctWidth>0</wp14:pctWidth>
            </wp14:sizeRelH>
            <wp14:sizeRelV relativeFrom="page">
              <wp14:pctHeight>0</wp14:pctHeight>
            </wp14:sizeRelV>
          </wp:anchor>
        </w:drawing>
      </w:r>
      <w:r w:rsidR="0093648C">
        <w:rPr>
          <w:noProof/>
        </w:rPr>
        <mc:AlternateContent>
          <mc:Choice Requires="wps">
            <w:drawing>
              <wp:anchor distT="0" distB="0" distL="114300" distR="114300" simplePos="0" relativeHeight="251661312" behindDoc="0" locked="0" layoutInCell="1" allowOverlap="1" wp14:anchorId="09D7A0DE" wp14:editId="28A7BEA5">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302D48B7" w:rsidR="003B1140" w:rsidRPr="003A0C00" w:rsidRDefault="003B1140" w:rsidP="00BE230B">
                            <w:pPr>
                              <w:spacing w:line="240" w:lineRule="auto"/>
                              <w:rPr>
                                <w:rFonts w:cs="Calibri"/>
                                <w:b/>
                                <w:noProof/>
                              </w:rPr>
                            </w:pPr>
                            <w:bookmarkStart w:id="19" w:name="_Ref7260430"/>
                            <w:bookmarkStart w:id="20" w:name="_Toc7509904"/>
                            <w:bookmarkStart w:id="21"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937C14">
                              <w:rPr>
                                <w:b/>
                                <w:noProof/>
                              </w:rPr>
                              <w:t>7</w:t>
                            </w:r>
                            <w:r w:rsidRPr="003A0C00">
                              <w:rPr>
                                <w:b/>
                              </w:rPr>
                              <w:fldChar w:fldCharType="end"/>
                            </w:r>
                            <w:bookmarkEnd w:id="19"/>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302D48B7" w:rsidR="003B1140" w:rsidRPr="003A0C00" w:rsidRDefault="003B1140" w:rsidP="00BE230B">
                      <w:pPr>
                        <w:spacing w:line="240" w:lineRule="auto"/>
                        <w:rPr>
                          <w:rFonts w:cs="Calibri"/>
                          <w:b/>
                          <w:noProof/>
                        </w:rPr>
                      </w:pPr>
                      <w:bookmarkStart w:id="22" w:name="_Ref7260430"/>
                      <w:bookmarkStart w:id="23" w:name="_Toc7509904"/>
                      <w:bookmarkStart w:id="24"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937C14">
                        <w:rPr>
                          <w:b/>
                          <w:noProof/>
                        </w:rPr>
                        <w:t>7</w:t>
                      </w:r>
                      <w:r w:rsidRPr="003A0C00">
                        <w:rPr>
                          <w:b/>
                        </w:rPr>
                        <w:fldChar w:fldCharType="end"/>
                      </w:r>
                      <w:bookmarkEnd w:id="22"/>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23"/>
                      <w:bookmarkEnd w:id="24"/>
                    </w:p>
                  </w:txbxContent>
                </v:textbox>
              </v:shape>
            </w:pict>
          </mc:Fallback>
        </mc:AlternateContent>
      </w:r>
    </w:p>
    <w:p w14:paraId="4409CFCA" w14:textId="76DEF40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2336" behindDoc="0" locked="0" layoutInCell="1" allowOverlap="1" wp14:anchorId="1A0DE4D1" wp14:editId="46498720">
            <wp:simplePos x="0" y="0"/>
            <wp:positionH relativeFrom="column">
              <wp:posOffset>0</wp:posOffset>
            </wp:positionH>
            <wp:positionV relativeFrom="paragraph">
              <wp:posOffset>0</wp:posOffset>
            </wp:positionV>
            <wp:extent cx="9525000" cy="673862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916B2" w:rsidRPr="009C2944">
        <w:rPr>
          <w:rFonts w:cs="Calibri"/>
          <w:noProof/>
          <w:szCs w:val="24"/>
        </w:rPr>
        <mc:AlternateContent>
          <mc:Choice Requires="wps">
            <w:drawing>
              <wp:anchor distT="0" distB="0" distL="114300" distR="114300" simplePos="0" relativeHeight="251663360" behindDoc="0" locked="0" layoutInCell="1" allowOverlap="1" wp14:anchorId="1826DF21" wp14:editId="0DD19F89">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3F7504F9" w:rsidR="003B1140" w:rsidRPr="003A0C00" w:rsidRDefault="003B1140" w:rsidP="00BE230B">
                            <w:pPr>
                              <w:spacing w:line="240" w:lineRule="auto"/>
                              <w:rPr>
                                <w:rFonts w:cs="Calibri"/>
                                <w:b/>
                                <w:noProof/>
                              </w:rPr>
                            </w:pPr>
                            <w:bookmarkStart w:id="25" w:name="_Toc7509905"/>
                            <w:bookmarkStart w:id="26"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937C14">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3F7504F9" w:rsidR="003B1140" w:rsidRPr="003A0C00" w:rsidRDefault="003B1140" w:rsidP="00BE230B">
                      <w:pPr>
                        <w:spacing w:line="240" w:lineRule="auto"/>
                        <w:rPr>
                          <w:rFonts w:cs="Calibri"/>
                          <w:b/>
                          <w:noProof/>
                        </w:rPr>
                      </w:pPr>
                      <w:bookmarkStart w:id="27" w:name="_Toc7509905"/>
                      <w:bookmarkStart w:id="28"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937C14">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7"/>
                      <w:bookmarkEnd w:id="28"/>
                    </w:p>
                  </w:txbxContent>
                </v:textbox>
              </v:shape>
            </w:pict>
          </mc:Fallback>
        </mc:AlternateContent>
      </w:r>
    </w:p>
    <w:p w14:paraId="47754303" w14:textId="1771AD45"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4384" behindDoc="0" locked="0" layoutInCell="1" allowOverlap="1" wp14:anchorId="6B3BB1DF" wp14:editId="3DE1F421">
            <wp:simplePos x="0" y="0"/>
            <wp:positionH relativeFrom="column">
              <wp:posOffset>12700</wp:posOffset>
            </wp:positionH>
            <wp:positionV relativeFrom="paragraph">
              <wp:posOffset>0</wp:posOffset>
            </wp:positionV>
            <wp:extent cx="9525000" cy="673862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5408" behindDoc="0" locked="0" layoutInCell="1" allowOverlap="1" wp14:anchorId="5894EDBD" wp14:editId="205F7A05">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7C3585A9" w:rsidR="003B1140" w:rsidRPr="003A0C00" w:rsidRDefault="003B1140" w:rsidP="009916B2">
                            <w:pPr>
                              <w:spacing w:line="240" w:lineRule="auto"/>
                              <w:rPr>
                                <w:rFonts w:cs="Calibri"/>
                                <w:b/>
                                <w:noProof/>
                              </w:rPr>
                            </w:pPr>
                            <w:bookmarkStart w:id="29" w:name="_Toc7509906"/>
                            <w:bookmarkStart w:id="30"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937C14">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7C3585A9" w:rsidR="003B1140" w:rsidRPr="003A0C00" w:rsidRDefault="003B1140" w:rsidP="009916B2">
                      <w:pPr>
                        <w:spacing w:line="240" w:lineRule="auto"/>
                        <w:rPr>
                          <w:rFonts w:cs="Calibri"/>
                          <w:b/>
                          <w:noProof/>
                        </w:rPr>
                      </w:pPr>
                      <w:bookmarkStart w:id="31" w:name="_Toc7509906"/>
                      <w:bookmarkStart w:id="3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937C14">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31"/>
                      <w:bookmarkEnd w:id="32"/>
                    </w:p>
                  </w:txbxContent>
                </v:textbox>
              </v:shape>
            </w:pict>
          </mc:Fallback>
        </mc:AlternateContent>
      </w:r>
    </w:p>
    <w:p w14:paraId="7898A0A1" w14:textId="0E99F5F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6432" behindDoc="0" locked="0" layoutInCell="1" allowOverlap="1" wp14:anchorId="2537D5A0" wp14:editId="09D8D81A">
            <wp:simplePos x="0" y="0"/>
            <wp:positionH relativeFrom="column">
              <wp:posOffset>52705</wp:posOffset>
            </wp:positionH>
            <wp:positionV relativeFrom="paragraph">
              <wp:posOffset>0</wp:posOffset>
            </wp:positionV>
            <wp:extent cx="9525000" cy="6738620"/>
            <wp:effectExtent l="0" t="0" r="0" b="0"/>
            <wp:wrapTopAndBottom/>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7456" behindDoc="0" locked="0" layoutInCell="1" allowOverlap="1" wp14:anchorId="3153683F" wp14:editId="5EE71F75">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2AA1B8E8" w:rsidR="003B1140" w:rsidRPr="003A0C00" w:rsidRDefault="003B1140" w:rsidP="00132D11">
                            <w:pPr>
                              <w:spacing w:line="240" w:lineRule="auto"/>
                              <w:rPr>
                                <w:rFonts w:cs="Calibri"/>
                                <w:b/>
                                <w:noProof/>
                              </w:rPr>
                            </w:pPr>
                            <w:bookmarkStart w:id="33" w:name="_Toc7509907"/>
                            <w:bookmarkStart w:id="34"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937C14">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2AA1B8E8" w:rsidR="003B1140" w:rsidRPr="003A0C00" w:rsidRDefault="003B1140" w:rsidP="00132D11">
                      <w:pPr>
                        <w:spacing w:line="240" w:lineRule="auto"/>
                        <w:rPr>
                          <w:rFonts w:cs="Calibri"/>
                          <w:b/>
                          <w:noProof/>
                        </w:rPr>
                      </w:pPr>
                      <w:bookmarkStart w:id="35" w:name="_Toc7509907"/>
                      <w:bookmarkStart w:id="36"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937C14">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5"/>
                      <w:bookmarkEnd w:id="36"/>
                    </w:p>
                  </w:txbxContent>
                </v:textbox>
              </v:shape>
            </w:pict>
          </mc:Fallback>
        </mc:AlternateContent>
      </w:r>
    </w:p>
    <w:p w14:paraId="125738D4" w14:textId="1A0B4F0A"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w:drawing>
          <wp:anchor distT="0" distB="0" distL="114300" distR="114300" simplePos="0" relativeHeight="251670528" behindDoc="0" locked="0" layoutInCell="1" allowOverlap="1" wp14:anchorId="43150BA1" wp14:editId="194DA6A0">
            <wp:simplePos x="0" y="0"/>
            <wp:positionH relativeFrom="column">
              <wp:posOffset>0</wp:posOffset>
            </wp:positionH>
            <wp:positionV relativeFrom="paragraph">
              <wp:posOffset>0</wp:posOffset>
            </wp:positionV>
            <wp:extent cx="9524671" cy="67386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4671" cy="6738620"/>
                    </a:xfrm>
                    <a:prstGeom prst="rect">
                      <a:avLst/>
                    </a:prstGeom>
                    <a:noFill/>
                    <a:ln>
                      <a:noFill/>
                    </a:ln>
                  </pic:spPr>
                </pic:pic>
              </a:graphicData>
            </a:graphic>
          </wp:anchor>
        </w:drawing>
      </w:r>
      <w:r>
        <w:rPr>
          <w:rFonts w:cs="Calibri"/>
          <w:noProof/>
          <w:szCs w:val="24"/>
        </w:rPr>
        <mc:AlternateContent>
          <mc:Choice Requires="wps">
            <w:drawing>
              <wp:anchor distT="0" distB="0" distL="114300" distR="114300" simplePos="0" relativeHeight="251671552" behindDoc="0" locked="0" layoutInCell="1" allowOverlap="1" wp14:anchorId="3EE3F505" wp14:editId="14FE6FDA">
                <wp:simplePos x="0" y="0"/>
                <wp:positionH relativeFrom="column">
                  <wp:posOffset>755904</wp:posOffset>
                </wp:positionH>
                <wp:positionV relativeFrom="paragraph">
                  <wp:posOffset>158496</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3759E" id="Rectangle 22" o:spid="_x0000_s1026" style="position:absolute;margin-left:59.5pt;margin-top:12.5pt;width:132.35pt;height:22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A1A3260">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12B7E02A" w:rsidR="003B1140" w:rsidRPr="00752547" w:rsidRDefault="003B1140" w:rsidP="003D5D4F">
                            <w:pPr>
                              <w:spacing w:line="240" w:lineRule="auto"/>
                              <w:rPr>
                                <w:rFonts w:cs="Calibri"/>
                                <w:b/>
                                <w:noProof/>
                              </w:rPr>
                            </w:pPr>
                            <w:bookmarkStart w:id="37" w:name="_Ref7260437"/>
                            <w:bookmarkStart w:id="38" w:name="_Toc7509908"/>
                            <w:bookmarkStart w:id="39"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937C14">
                              <w:rPr>
                                <w:b/>
                                <w:noProof/>
                              </w:rPr>
                              <w:t>11</w:t>
                            </w:r>
                            <w:r w:rsidRPr="00752547">
                              <w:rPr>
                                <w:b/>
                              </w:rPr>
                              <w:fldChar w:fldCharType="end"/>
                            </w:r>
                            <w:bookmarkEnd w:id="37"/>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12B7E02A" w:rsidR="003B1140" w:rsidRPr="00752547" w:rsidRDefault="003B1140" w:rsidP="003D5D4F">
                      <w:pPr>
                        <w:spacing w:line="240" w:lineRule="auto"/>
                        <w:rPr>
                          <w:rFonts w:cs="Calibri"/>
                          <w:b/>
                          <w:noProof/>
                        </w:rPr>
                      </w:pPr>
                      <w:bookmarkStart w:id="40" w:name="_Ref7260437"/>
                      <w:bookmarkStart w:id="41" w:name="_Toc7509908"/>
                      <w:bookmarkStart w:id="42"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937C14">
                        <w:rPr>
                          <w:b/>
                          <w:noProof/>
                        </w:rPr>
                        <w:t>11</w:t>
                      </w:r>
                      <w:r w:rsidRPr="00752547">
                        <w:rPr>
                          <w:b/>
                        </w:rPr>
                        <w:fldChar w:fldCharType="end"/>
                      </w:r>
                      <w:bookmarkEnd w:id="40"/>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41"/>
                      <w:bookmarkEnd w:id="42"/>
                    </w:p>
                  </w:txbxContent>
                </v:textbox>
              </v:shape>
            </w:pict>
          </mc:Fallback>
        </mc:AlternateContent>
      </w:r>
    </w:p>
    <w:p w14:paraId="372BC5B4" w14:textId="0AEBE843"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w:drawing>
          <wp:anchor distT="0" distB="0" distL="114300" distR="114300" simplePos="0" relativeHeight="251673600" behindDoc="0" locked="0" layoutInCell="1" allowOverlap="1" wp14:anchorId="1AFEA941" wp14:editId="2A371AFE">
            <wp:simplePos x="0" y="0"/>
            <wp:positionH relativeFrom="column">
              <wp:posOffset>0</wp:posOffset>
            </wp:positionH>
            <wp:positionV relativeFrom="paragraph">
              <wp:posOffset>0</wp:posOffset>
            </wp:positionV>
            <wp:extent cx="9525000" cy="673862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B72CFB">
        <w:rPr>
          <w:rFonts w:cs="Calibri"/>
          <w:noProof/>
          <w:szCs w:val="24"/>
        </w:rPr>
        <mc:AlternateContent>
          <mc:Choice Requires="wps">
            <w:drawing>
              <wp:anchor distT="0" distB="0" distL="114300" distR="114300" simplePos="0" relativeHeight="251674624" behindDoc="0" locked="0" layoutInCell="1" allowOverlap="1" wp14:anchorId="63A3F883" wp14:editId="173A14A7">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6FA550CA" w:rsidR="003B1140" w:rsidRPr="00752547" w:rsidRDefault="003B1140" w:rsidP="007343D2">
                            <w:pPr>
                              <w:spacing w:line="240" w:lineRule="auto"/>
                              <w:rPr>
                                <w:rFonts w:cs="Calibri"/>
                                <w:b/>
                                <w:noProof/>
                              </w:rPr>
                            </w:pPr>
                            <w:bookmarkStart w:id="43" w:name="_Ref7260386"/>
                            <w:bookmarkStart w:id="44" w:name="_Toc7509909"/>
                            <w:bookmarkStart w:id="45"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937C14">
                              <w:rPr>
                                <w:b/>
                                <w:noProof/>
                              </w:rPr>
                              <w:t>12</w:t>
                            </w:r>
                            <w:r w:rsidRPr="00752547">
                              <w:rPr>
                                <w:b/>
                              </w:rPr>
                              <w:fldChar w:fldCharType="end"/>
                            </w:r>
                            <w:bookmarkEnd w:id="43"/>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6FA550CA" w:rsidR="003B1140" w:rsidRPr="00752547" w:rsidRDefault="003B1140" w:rsidP="007343D2">
                      <w:pPr>
                        <w:spacing w:line="240" w:lineRule="auto"/>
                        <w:rPr>
                          <w:rFonts w:cs="Calibri"/>
                          <w:b/>
                          <w:noProof/>
                        </w:rPr>
                      </w:pPr>
                      <w:bookmarkStart w:id="46" w:name="_Ref7260386"/>
                      <w:bookmarkStart w:id="47" w:name="_Toc7509909"/>
                      <w:bookmarkStart w:id="48"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937C14">
                        <w:rPr>
                          <w:b/>
                          <w:noProof/>
                        </w:rPr>
                        <w:t>12</w:t>
                      </w:r>
                      <w:r w:rsidRPr="00752547">
                        <w:rPr>
                          <w:b/>
                        </w:rPr>
                        <w:fldChar w:fldCharType="end"/>
                      </w:r>
                      <w:bookmarkEnd w:id="46"/>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7"/>
                      <w:bookmarkEnd w:id="48"/>
                    </w:p>
                  </w:txbxContent>
                </v:textbox>
              </v:shape>
            </w:pict>
          </mc:Fallback>
        </mc:AlternateContent>
      </w:r>
    </w:p>
    <w:bookmarkEnd w:id="2"/>
    <w:p w14:paraId="32C20CB3" w14:textId="50F14C24" w:rsidR="008F54EA" w:rsidRPr="00127064" w:rsidRDefault="008F54EA" w:rsidP="008F54EA">
      <w:pPr>
        <w:pStyle w:val="Heading1"/>
      </w:pPr>
      <w:r>
        <w:lastRenderedPageBreak/>
        <w:t>Works cited</w:t>
      </w:r>
    </w:p>
    <w:p w14:paraId="69F3C46F" w14:textId="26FA7B5B" w:rsidR="003C6D30" w:rsidRPr="003C6D30" w:rsidRDefault="006675AE" w:rsidP="003C6D30">
      <w:pPr>
        <w:widowControl w:val="0"/>
        <w:autoSpaceDE w:val="0"/>
        <w:autoSpaceDN w:val="0"/>
        <w:adjustRightInd w:val="0"/>
        <w:spacing w:line="240" w:lineRule="auto"/>
        <w:ind w:left="480" w:hanging="480"/>
        <w:rPr>
          <w:rFonts w:cs="Times New Roman"/>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3C6D30" w:rsidRPr="003C6D30">
        <w:rPr>
          <w:rFonts w:cs="Times New Roman"/>
          <w:noProof/>
          <w:lang w:val="en-US"/>
        </w:rPr>
        <w:t xml:space="preserve">Ambrose, A. F., Paul, G., &amp; Hausdorff, J. M. (2013). Risk factors for falls among older adults: A review of the literature. </w:t>
      </w:r>
      <w:r w:rsidR="003C6D30" w:rsidRPr="003C6D30">
        <w:rPr>
          <w:rFonts w:cs="Times New Roman"/>
          <w:i/>
          <w:iCs/>
          <w:noProof/>
          <w:lang w:val="en-US"/>
        </w:rPr>
        <w:t>Maturitas</w:t>
      </w:r>
      <w:r w:rsidR="003C6D30" w:rsidRPr="003C6D30">
        <w:rPr>
          <w:rFonts w:cs="Times New Roman"/>
          <w:noProof/>
          <w:lang w:val="en-US"/>
        </w:rPr>
        <w:t>. https://doi.org/10.1016/j.maturitas.2013.02.009</w:t>
      </w:r>
    </w:p>
    <w:p w14:paraId="47C3B3FC"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Anderson, C. A. (1989). Temperature and aggression: Ubiquitous effects of heat on occurrence of human violence. </w:t>
      </w:r>
      <w:r w:rsidRPr="003C6D30">
        <w:rPr>
          <w:rFonts w:cs="Times New Roman"/>
          <w:i/>
          <w:iCs/>
          <w:noProof/>
          <w:lang w:val="en-US"/>
        </w:rPr>
        <w:t>Psychological Bulletin</w:t>
      </w:r>
      <w:r w:rsidRPr="003C6D30">
        <w:rPr>
          <w:rFonts w:cs="Times New Roman"/>
          <w:noProof/>
          <w:lang w:val="en-US"/>
        </w:rPr>
        <w:t>. https://doi.org/10.1037/0033-2909.106.1.74</w:t>
      </w:r>
    </w:p>
    <w:p w14:paraId="39DCA656"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Baron, R. A., &amp; Bell, P. A. (1976). Aggression and heat: The influence of ambient temperature, negative affect, and a cooling drink on physical aggression. </w:t>
      </w:r>
      <w:r w:rsidRPr="003C6D30">
        <w:rPr>
          <w:rFonts w:cs="Times New Roman"/>
          <w:i/>
          <w:iCs/>
          <w:noProof/>
          <w:lang w:val="en-US"/>
        </w:rPr>
        <w:t>Journal of Personality and Social Psychology</w:t>
      </w:r>
      <w:r w:rsidRPr="003C6D30">
        <w:rPr>
          <w:rFonts w:cs="Times New Roman"/>
          <w:noProof/>
          <w:lang w:val="en-US"/>
        </w:rPr>
        <w:t>. https://doi.org/10.1037/0022-3514.33.3.245</w:t>
      </w:r>
    </w:p>
    <w:p w14:paraId="60E5F846"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Berry, H. L., Waite, T. D., Dear, K. B. G., Capon, A. G., &amp; Murray, V. (2018). The case for systems thinking about climate change and mental health. </w:t>
      </w:r>
      <w:r w:rsidRPr="003C6D30">
        <w:rPr>
          <w:rFonts w:cs="Times New Roman"/>
          <w:i/>
          <w:iCs/>
          <w:noProof/>
          <w:lang w:val="en-US"/>
        </w:rPr>
        <w:t>Nature Climate Change</w:t>
      </w:r>
      <w:r w:rsidRPr="003C6D30">
        <w:rPr>
          <w:rFonts w:cs="Times New Roman"/>
          <w:noProof/>
          <w:lang w:val="en-US"/>
        </w:rPr>
        <w:t>. https://doi.org/10.1038/s41558-018-0102-4</w:t>
      </w:r>
    </w:p>
    <w:p w14:paraId="717276C2"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3C6D30">
        <w:rPr>
          <w:rFonts w:cs="Times New Roman"/>
          <w:i/>
          <w:iCs/>
          <w:noProof/>
          <w:lang w:val="en-US"/>
        </w:rPr>
        <w:t>American Journal of Epidemiology</w:t>
      </w:r>
      <w:r w:rsidRPr="003C6D30">
        <w:rPr>
          <w:rFonts w:cs="Times New Roman"/>
          <w:noProof/>
          <w:lang w:val="en-US"/>
        </w:rPr>
        <w:t xml:space="preserve">, </w:t>
      </w:r>
      <w:r w:rsidRPr="003C6D30">
        <w:rPr>
          <w:rFonts w:cs="Times New Roman"/>
          <w:i/>
          <w:iCs/>
          <w:noProof/>
          <w:lang w:val="en-US"/>
        </w:rPr>
        <w:t>185</w:t>
      </w:r>
      <w:r w:rsidRPr="003C6D30">
        <w:rPr>
          <w:rFonts w:cs="Times New Roman"/>
          <w:noProof/>
          <w:lang w:val="en-US"/>
        </w:rPr>
        <w:t>(4), 283–294. https://doi.org/10.1093/aje/kww219</w:t>
      </w:r>
    </w:p>
    <w:p w14:paraId="4F42EECE"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Burke, M., González, F., Baylis, P., Heft-Neal, S., Baysan, C., Basu, S., &amp; Hsiang, S. (2018). Higher temperatures increase suicide rates in the United States and Mexico. </w:t>
      </w:r>
      <w:r w:rsidRPr="003C6D30">
        <w:rPr>
          <w:rFonts w:cs="Times New Roman"/>
          <w:i/>
          <w:iCs/>
          <w:noProof/>
          <w:lang w:val="en-US"/>
        </w:rPr>
        <w:t>Nature Climate Change</w:t>
      </w:r>
      <w:r w:rsidRPr="003C6D30">
        <w:rPr>
          <w:rFonts w:cs="Times New Roman"/>
          <w:noProof/>
          <w:lang w:val="en-US"/>
        </w:rPr>
        <w:t>. https://doi.org/10.1038/s41558-018-0222-x</w:t>
      </w:r>
    </w:p>
    <w:p w14:paraId="55D03844"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Daanen, H. A. M., Van De Vliert, E., &amp; Huang, X. (2003). Driving performance in cold, warm, and thermoneutral environments. </w:t>
      </w:r>
      <w:r w:rsidRPr="003C6D30">
        <w:rPr>
          <w:rFonts w:cs="Times New Roman"/>
          <w:i/>
          <w:iCs/>
          <w:noProof/>
          <w:lang w:val="en-US"/>
        </w:rPr>
        <w:t>Applied Ergonomics</w:t>
      </w:r>
      <w:r w:rsidRPr="003C6D30">
        <w:rPr>
          <w:rFonts w:cs="Times New Roman"/>
          <w:noProof/>
          <w:lang w:val="en-US"/>
        </w:rPr>
        <w:t>. https://doi.org/10.1016/S0003-6870(03)00055-3</w:t>
      </w:r>
    </w:p>
    <w:p w14:paraId="300B63F8"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Datla, S., Sahu, P., Roh, H.-J., &amp; Sharma, S. (2013). A comprehensive analysis of the association of highway traffic with winter weather conditions. </w:t>
      </w:r>
      <w:r w:rsidRPr="003C6D30">
        <w:rPr>
          <w:rFonts w:cs="Times New Roman"/>
          <w:i/>
          <w:iCs/>
          <w:noProof/>
          <w:lang w:val="en-US"/>
        </w:rPr>
        <w:t>Procedia - Social and Behavioral Sciences</w:t>
      </w:r>
      <w:r w:rsidRPr="003C6D30">
        <w:rPr>
          <w:rFonts w:cs="Times New Roman"/>
          <w:noProof/>
          <w:lang w:val="en-US"/>
        </w:rPr>
        <w:t>. https://doi.org/10.1016/j.sbspro.2013.11.143</w:t>
      </w:r>
    </w:p>
    <w:p w14:paraId="4006DDB6"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3C6D30">
        <w:rPr>
          <w:rFonts w:cs="Times New Roman"/>
          <w:i/>
          <w:iCs/>
          <w:noProof/>
          <w:lang w:val="en-US"/>
        </w:rPr>
        <w:t>The Lancet</w:t>
      </w:r>
      <w:r w:rsidRPr="003C6D30">
        <w:rPr>
          <w:rFonts w:cs="Times New Roman"/>
          <w:noProof/>
          <w:lang w:val="en-US"/>
        </w:rPr>
        <w:t xml:space="preserve">, </w:t>
      </w:r>
      <w:r w:rsidRPr="003C6D30">
        <w:rPr>
          <w:rFonts w:cs="Times New Roman"/>
          <w:i/>
          <w:iCs/>
          <w:noProof/>
          <w:lang w:val="en-US"/>
        </w:rPr>
        <w:t>386</w:t>
      </w:r>
      <w:r w:rsidRPr="003C6D30">
        <w:rPr>
          <w:rFonts w:cs="Times New Roman"/>
          <w:noProof/>
          <w:lang w:val="en-US"/>
        </w:rPr>
        <w:t>(9991), 369–375. https://doi.org/10.1016/S0140-6736(14)62114-0</w:t>
      </w:r>
    </w:p>
    <w:p w14:paraId="627466EE"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Gasparrini, A., Guo, Y., Sera, F., Vicedo-Cabrera, A. M., Huber, V., Tong, S., … Armstrong, B. (2017). Projections of temperature-related excess mortality under climate change scenarios. </w:t>
      </w:r>
      <w:r w:rsidRPr="003C6D30">
        <w:rPr>
          <w:rFonts w:cs="Times New Roman"/>
          <w:i/>
          <w:iCs/>
          <w:noProof/>
          <w:lang w:val="en-US"/>
        </w:rPr>
        <w:t>The Lancet Planetary Health</w:t>
      </w:r>
      <w:r w:rsidRPr="003C6D30">
        <w:rPr>
          <w:rFonts w:cs="Times New Roman"/>
          <w:noProof/>
          <w:lang w:val="en-US"/>
        </w:rPr>
        <w:t>. https://doi.org/10.1016/S2542-5196(17)30156-0</w:t>
      </w:r>
    </w:p>
    <w:p w14:paraId="269DB42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Glaeser, E. L., Sacerdote, B., &amp; Scheinkman, J. A. (1996). Crime and social interactions. </w:t>
      </w:r>
      <w:r w:rsidRPr="003C6D30">
        <w:rPr>
          <w:rFonts w:cs="Times New Roman"/>
          <w:i/>
          <w:iCs/>
          <w:noProof/>
          <w:lang w:val="en-US"/>
        </w:rPr>
        <w:t>The Quarterly Journal of Economics</w:t>
      </w:r>
      <w:r w:rsidRPr="003C6D30">
        <w:rPr>
          <w:rFonts w:cs="Times New Roman"/>
          <w:noProof/>
          <w:lang w:val="en-US"/>
        </w:rPr>
        <w:t>. https://doi.org/10.2307/2946686</w:t>
      </w:r>
    </w:p>
    <w:p w14:paraId="0B15AB31"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lastRenderedPageBreak/>
        <w:t xml:space="preserve">Graff Zivin, J., &amp; Neidell, M. (2014). Temperature and the allocation of time: Implications for climate change. </w:t>
      </w:r>
      <w:r w:rsidRPr="003C6D30">
        <w:rPr>
          <w:rFonts w:cs="Times New Roman"/>
          <w:i/>
          <w:iCs/>
          <w:noProof/>
          <w:lang w:val="en-US"/>
        </w:rPr>
        <w:t>Journal of Labor Economics</w:t>
      </w:r>
      <w:r w:rsidRPr="003C6D30">
        <w:rPr>
          <w:rFonts w:cs="Times New Roman"/>
          <w:noProof/>
          <w:lang w:val="en-US"/>
        </w:rPr>
        <w:t>. https://doi.org/10.1086/671766</w:t>
      </w:r>
    </w:p>
    <w:p w14:paraId="59553AE9"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Haines, A., &amp; Ebi, K. (2019). The imperative for climate action to protect health. </w:t>
      </w:r>
      <w:r w:rsidRPr="003C6D30">
        <w:rPr>
          <w:rFonts w:cs="Times New Roman"/>
          <w:i/>
          <w:iCs/>
          <w:noProof/>
          <w:lang w:val="en-US"/>
        </w:rPr>
        <w:t>New England Journal of Medicine</w:t>
      </w:r>
      <w:r w:rsidRPr="003C6D30">
        <w:rPr>
          <w:rFonts w:cs="Times New Roman"/>
          <w:noProof/>
          <w:lang w:val="en-US"/>
        </w:rPr>
        <w:t>, (380), 263–273.</w:t>
      </w:r>
    </w:p>
    <w:p w14:paraId="35C1DAC1"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Huang, C., Barnett, A. G., Wang, X., Vaneckova, P., Fitzgerald, G., &amp; Tong, S. (2011). Projecting future heat-related mortality under climate change scenarios: A systematic review. </w:t>
      </w:r>
      <w:r w:rsidRPr="003C6D30">
        <w:rPr>
          <w:rFonts w:cs="Times New Roman"/>
          <w:i/>
          <w:iCs/>
          <w:noProof/>
          <w:lang w:val="en-US"/>
        </w:rPr>
        <w:t>Environmental Health Perspectives</w:t>
      </w:r>
      <w:r w:rsidRPr="003C6D30">
        <w:rPr>
          <w:rFonts w:cs="Times New Roman"/>
          <w:noProof/>
          <w:lang w:val="en-US"/>
        </w:rPr>
        <w:t>. https://doi.org/10.1289/ehp.1103456</w:t>
      </w:r>
    </w:p>
    <w:p w14:paraId="68F1FD58"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IPCC. (2018). IPCC special report on the impacts of global warming of 1.5 °C - Summary for policy makers, (October 2018). Retrieved from http://www.ipcc.ch/report/sr15/</w:t>
      </w:r>
    </w:p>
    <w:p w14:paraId="26911401"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3C6D30">
        <w:rPr>
          <w:rFonts w:cs="Times New Roman"/>
          <w:i/>
          <w:iCs/>
          <w:noProof/>
          <w:lang w:val="en-US"/>
        </w:rPr>
        <w:t>Journal of the American Geriatrics Society</w:t>
      </w:r>
      <w:r w:rsidRPr="003C6D30">
        <w:rPr>
          <w:rFonts w:cs="Times New Roman"/>
          <w:noProof/>
          <w:lang w:val="en-US"/>
        </w:rPr>
        <w:t>. https://doi.org/10.1111/j.1532-5415.2010.03062.x</w:t>
      </w:r>
    </w:p>
    <w:p w14:paraId="26B92795"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3C6D30">
        <w:rPr>
          <w:rFonts w:cs="Times New Roman"/>
          <w:i/>
          <w:iCs/>
          <w:noProof/>
          <w:lang w:val="en-US"/>
        </w:rPr>
        <w:t>The Lancet</w:t>
      </w:r>
      <w:r w:rsidRPr="003C6D30">
        <w:rPr>
          <w:rFonts w:cs="Times New Roman"/>
          <w:noProof/>
          <w:lang w:val="en-US"/>
        </w:rPr>
        <w:t>. https://doi.org/10.1016/S0140-6736(12)61728-0</w:t>
      </w:r>
    </w:p>
    <w:p w14:paraId="283041F7"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Mackie, R. R., &amp; Hanlon, J. F. . O. (1976). A study of the combined effects of extented driving and heat stress on driver arousal and performance. In </w:t>
      </w:r>
      <w:r w:rsidRPr="003C6D30">
        <w:rPr>
          <w:rFonts w:cs="Times New Roman"/>
          <w:i/>
          <w:iCs/>
          <w:noProof/>
          <w:lang w:val="en-US"/>
        </w:rPr>
        <w:t>Symposium on relationships among theory, physiological correlates, and operational performance</w:t>
      </w:r>
      <w:r w:rsidRPr="003C6D30">
        <w:rPr>
          <w:rFonts w:cs="Times New Roman"/>
          <w:noProof/>
          <w:lang w:val="en-US"/>
        </w:rPr>
        <w:t>. https://doi.org/10.1007/978-1-4684-2529-1_25</w:t>
      </w:r>
    </w:p>
    <w:p w14:paraId="5E5F7B78"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Majeed, H., &amp; Lee, J. (2017). The impact of climate change on youth depression and mental health. </w:t>
      </w:r>
      <w:r w:rsidRPr="003C6D30">
        <w:rPr>
          <w:rFonts w:cs="Times New Roman"/>
          <w:i/>
          <w:iCs/>
          <w:noProof/>
          <w:lang w:val="en-US"/>
        </w:rPr>
        <w:t>The Lancet Planetary Health</w:t>
      </w:r>
      <w:r w:rsidRPr="003C6D30">
        <w:rPr>
          <w:rFonts w:cs="Times New Roman"/>
          <w:noProof/>
          <w:lang w:val="en-US"/>
        </w:rPr>
        <w:t xml:space="preserve">, </w:t>
      </w:r>
      <w:r w:rsidRPr="003C6D30">
        <w:rPr>
          <w:rFonts w:cs="Times New Roman"/>
          <w:i/>
          <w:iCs/>
          <w:noProof/>
          <w:lang w:val="en-US"/>
        </w:rPr>
        <w:t>1</w:t>
      </w:r>
      <w:r w:rsidRPr="003C6D30">
        <w:rPr>
          <w:rFonts w:cs="Times New Roman"/>
          <w:noProof/>
          <w:lang w:val="en-US"/>
        </w:rPr>
        <w:t>(3), e94–e95. https://doi.org/10.1016/S2542-5196(17)30045-1</w:t>
      </w:r>
    </w:p>
    <w:p w14:paraId="1010832A"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McMichael, A. J., Woodruff, R. E., &amp; Hales, S. (2006). Climate change and human health: Present and future risks. </w:t>
      </w:r>
      <w:r w:rsidRPr="003C6D30">
        <w:rPr>
          <w:rFonts w:cs="Times New Roman"/>
          <w:i/>
          <w:iCs/>
          <w:noProof/>
          <w:lang w:val="en-US"/>
        </w:rPr>
        <w:t>Lancet</w:t>
      </w:r>
      <w:r w:rsidRPr="003C6D30">
        <w:rPr>
          <w:rFonts w:cs="Times New Roman"/>
          <w:noProof/>
          <w:lang w:val="en-US"/>
        </w:rPr>
        <w:t>. https://doi.org/10.1016/S0140-6736(06)68079-3</w:t>
      </w:r>
    </w:p>
    <w:p w14:paraId="64848A31"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Opinium. (2018). Brits drink more alcohol in warmer weather. Retrieved January 10, 2019, from https://www.opinium.co.uk/brits-drink-more-alcohol-in-warmer-weather/</w:t>
      </w:r>
    </w:p>
    <w:p w14:paraId="4BB672E2"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Orru, H., &amp; Åström, D. O. (2017). Increases in external cause mortality due to high and low temperatures: evidence from northeastern Europe. </w:t>
      </w:r>
      <w:r w:rsidRPr="003C6D30">
        <w:rPr>
          <w:rFonts w:cs="Times New Roman"/>
          <w:i/>
          <w:iCs/>
          <w:noProof/>
          <w:lang w:val="en-US"/>
        </w:rPr>
        <w:t>International Journal of Biometeorology</w:t>
      </w:r>
      <w:r w:rsidRPr="003C6D30">
        <w:rPr>
          <w:rFonts w:cs="Times New Roman"/>
          <w:noProof/>
          <w:lang w:val="en-US"/>
        </w:rPr>
        <w:t>. https://doi.org/10.1007/s00484-016-1270-4</w:t>
      </w:r>
    </w:p>
    <w:p w14:paraId="31623653"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Parks, R. M., Bennett, J. E., Foreman, K. J., Toumi, R., &amp; Ezzati, M. (2018). National and regional seasonal dynamics of all-cause and cause-specific mortality in the USA from 1980 to 2016. </w:t>
      </w:r>
      <w:r w:rsidRPr="003C6D30">
        <w:rPr>
          <w:rFonts w:cs="Times New Roman"/>
          <w:i/>
          <w:iCs/>
          <w:noProof/>
          <w:lang w:val="en-US"/>
        </w:rPr>
        <w:t>ELife</w:t>
      </w:r>
      <w:r w:rsidRPr="003C6D30">
        <w:rPr>
          <w:rFonts w:cs="Times New Roman"/>
          <w:noProof/>
          <w:lang w:val="en-US"/>
        </w:rPr>
        <w:t xml:space="preserve">, </w:t>
      </w:r>
      <w:r w:rsidRPr="003C6D30">
        <w:rPr>
          <w:rFonts w:cs="Times New Roman"/>
          <w:i/>
          <w:iCs/>
          <w:noProof/>
          <w:lang w:val="en-US"/>
        </w:rPr>
        <w:t>7</w:t>
      </w:r>
      <w:r w:rsidRPr="003C6D30">
        <w:rPr>
          <w:rFonts w:cs="Times New Roman"/>
          <w:noProof/>
          <w:lang w:val="en-US"/>
        </w:rPr>
        <w:t>. https://doi.org/10.7554/eLife.35500</w:t>
      </w:r>
    </w:p>
    <w:p w14:paraId="1FCAC90C"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lastRenderedPageBreak/>
        <w:t xml:space="preserve">Rau, R. (2004). Seasonality in human mortality. A demographic approach. </w:t>
      </w:r>
      <w:r w:rsidRPr="003C6D30">
        <w:rPr>
          <w:rFonts w:cs="Times New Roman"/>
          <w:i/>
          <w:iCs/>
          <w:noProof/>
          <w:lang w:val="en-US"/>
        </w:rPr>
        <w:t>Wirtschafts- Und Sozialwissenschaftlichen Fakultät</w:t>
      </w:r>
      <w:r w:rsidRPr="003C6D30">
        <w:rPr>
          <w:rFonts w:cs="Times New Roman"/>
          <w:noProof/>
          <w:lang w:val="en-US"/>
        </w:rPr>
        <w:t xml:space="preserve">, </w:t>
      </w:r>
      <w:r w:rsidRPr="003C6D30">
        <w:rPr>
          <w:rFonts w:cs="Times New Roman"/>
          <w:i/>
          <w:iCs/>
          <w:noProof/>
          <w:lang w:val="en-US"/>
        </w:rPr>
        <w:t>PhD</w:t>
      </w:r>
      <w:r w:rsidRPr="003C6D30">
        <w:rPr>
          <w:rFonts w:cs="Times New Roman"/>
          <w:noProof/>
          <w:lang w:val="en-US"/>
        </w:rPr>
        <w:t>, 361. https://doi.org/10.1007/978-3-540-44902-7</w:t>
      </w:r>
    </w:p>
    <w:p w14:paraId="418FA25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Rey, G., Jougla, E., Fouillet, A., Pavillon, G., Bessemoulin, P., Frayssinet, P., … Hémon, D. (2007). The impact of major heat waves on all-cause and cause-specific mortality in France from 1971 to 2003. </w:t>
      </w:r>
      <w:r w:rsidRPr="003C6D30">
        <w:rPr>
          <w:rFonts w:cs="Times New Roman"/>
          <w:i/>
          <w:iCs/>
          <w:noProof/>
          <w:lang w:val="en-US"/>
        </w:rPr>
        <w:t>International Archives of Occupational and Environmental Health</w:t>
      </w:r>
      <w:r w:rsidRPr="003C6D30">
        <w:rPr>
          <w:rFonts w:cs="Times New Roman"/>
          <w:noProof/>
          <w:lang w:val="en-US"/>
        </w:rPr>
        <w:t>. https://doi.org/10.1007/s00420-007-0173-4</w:t>
      </w:r>
    </w:p>
    <w:p w14:paraId="3E546476"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Roh, H.-J., Datla, S., &amp; Sharma, S. (2013). Effect of snow, temperature and their interaction on highway truck traffic. </w:t>
      </w:r>
      <w:r w:rsidRPr="003C6D30">
        <w:rPr>
          <w:rFonts w:cs="Times New Roman"/>
          <w:i/>
          <w:iCs/>
          <w:noProof/>
          <w:lang w:val="en-US"/>
        </w:rPr>
        <w:t>J. Transport. Techn.</w:t>
      </w:r>
      <w:r w:rsidRPr="003C6D30">
        <w:rPr>
          <w:rFonts w:cs="Times New Roman"/>
          <w:noProof/>
          <w:lang w:val="en-US"/>
        </w:rPr>
        <w:t xml:space="preserve"> https://doi.org/10.4236/jtts.2013.31003</w:t>
      </w:r>
    </w:p>
    <w:p w14:paraId="469ECFD2"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Roh, H.-J., Sahu, P. K., Sharma, S., Datla, S., &amp; Mehran, B. (2016). Statistical investigations of snowfall and temperature interaction with passenger car and truck traffic on primary highways in Canada. </w:t>
      </w:r>
      <w:r w:rsidRPr="003C6D30">
        <w:rPr>
          <w:rFonts w:cs="Times New Roman"/>
          <w:i/>
          <w:iCs/>
          <w:noProof/>
          <w:lang w:val="en-US"/>
        </w:rPr>
        <w:t>Journal of Cold Regions Engineering</w:t>
      </w:r>
      <w:r w:rsidRPr="003C6D30">
        <w:rPr>
          <w:rFonts w:cs="Times New Roman"/>
          <w:noProof/>
          <w:lang w:val="en-US"/>
        </w:rPr>
        <w:t>. https://doi.org/10.1061/(ASCE)CR.1943-5495.0000099</w:t>
      </w:r>
    </w:p>
    <w:p w14:paraId="559773A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Roh, H. J., Sharma, S., &amp; Sahu, P. K. (2016). Modeling snow and cold effects for classified highway traffic volumes. </w:t>
      </w:r>
      <w:r w:rsidRPr="003C6D30">
        <w:rPr>
          <w:rFonts w:cs="Times New Roman"/>
          <w:i/>
          <w:iCs/>
          <w:noProof/>
          <w:lang w:val="en-US"/>
        </w:rPr>
        <w:t>KSCE Journal of Civil Engineering</w:t>
      </w:r>
      <w:r w:rsidRPr="003C6D30">
        <w:rPr>
          <w:rFonts w:cs="Times New Roman"/>
          <w:noProof/>
          <w:lang w:val="en-US"/>
        </w:rPr>
        <w:t>. https://doi.org/10.1007/s12205-015-0236-0</w:t>
      </w:r>
    </w:p>
    <w:p w14:paraId="2E3D52C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Rotton, J., &amp; Cohn, E. G. (2003). Global warming and U.S. crime rates: An application of routine activity theory. </w:t>
      </w:r>
      <w:r w:rsidRPr="003C6D30">
        <w:rPr>
          <w:rFonts w:cs="Times New Roman"/>
          <w:i/>
          <w:iCs/>
          <w:noProof/>
          <w:lang w:val="en-US"/>
        </w:rPr>
        <w:t>Environment and Behavior</w:t>
      </w:r>
      <w:r w:rsidRPr="003C6D30">
        <w:rPr>
          <w:rFonts w:cs="Times New Roman"/>
          <w:noProof/>
          <w:lang w:val="en-US"/>
        </w:rPr>
        <w:t>. https://doi.org/10.1177/0013916503255565</w:t>
      </w:r>
    </w:p>
    <w:p w14:paraId="019E1043"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Smith, K. R., Woodward, A., Campbell-Lendrum, D., Chadee, D. D., Honda, Y., Liu, Q., … Rocklov, J. (2015). Human health: Impacts, adaptation, and co-benefits. In </w:t>
      </w:r>
      <w:r w:rsidRPr="003C6D30">
        <w:rPr>
          <w:rFonts w:cs="Times New Roman"/>
          <w:i/>
          <w:iCs/>
          <w:noProof/>
          <w:lang w:val="en-US"/>
        </w:rPr>
        <w:t>Climate Change 2014 Impacts, Adaptation and Vulnerability: Part A: Global and Sectoral Aspects</w:t>
      </w:r>
      <w:r w:rsidRPr="003C6D30">
        <w:rPr>
          <w:rFonts w:cs="Times New Roman"/>
          <w:noProof/>
          <w:lang w:val="en-US"/>
        </w:rPr>
        <w:t>. https://doi.org/10.1017/CBO9781107415379.016</w:t>
      </w:r>
    </w:p>
    <w:p w14:paraId="27E29E00"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Voas, R. B., Torres, P., Romano, E., &amp; Lacey, J. H. (2012). Alcohol-related risk of driver fatalities: An update using 2007 data. </w:t>
      </w:r>
      <w:r w:rsidRPr="003C6D30">
        <w:rPr>
          <w:rFonts w:cs="Times New Roman"/>
          <w:i/>
          <w:iCs/>
          <w:noProof/>
          <w:lang w:val="en-US"/>
        </w:rPr>
        <w:t>Journal of Studies on Alcohol and Drugs</w:t>
      </w:r>
      <w:r w:rsidRPr="003C6D30">
        <w:rPr>
          <w:rFonts w:cs="Times New Roman"/>
          <w:noProof/>
          <w:lang w:val="en-US"/>
        </w:rPr>
        <w:t>. https://doi.org/10.15288/jsad.2012.73.341</w:t>
      </w:r>
    </w:p>
    <w:p w14:paraId="3BD440AA"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Watts, N., Amann, M., Arnell, N., Ayeb-karlsson, S., Belesova, K., Lucien, P., … Grace, D. (2018). The 2018 report of the Lancet Countdown on health and climate change: shaping health of nations for centuries to come. </w:t>
      </w:r>
      <w:r w:rsidRPr="003C6D30">
        <w:rPr>
          <w:rFonts w:cs="Times New Roman"/>
          <w:i/>
          <w:iCs/>
          <w:noProof/>
          <w:lang w:val="en-US"/>
        </w:rPr>
        <w:t>The Lancet</w:t>
      </w:r>
      <w:r w:rsidRPr="003C6D30">
        <w:rPr>
          <w:rFonts w:cs="Times New Roman"/>
          <w:noProof/>
          <w:lang w:val="en-US"/>
        </w:rPr>
        <w:t xml:space="preserve">, </w:t>
      </w:r>
      <w:r w:rsidRPr="003C6D30">
        <w:rPr>
          <w:rFonts w:cs="Times New Roman"/>
          <w:i/>
          <w:iCs/>
          <w:noProof/>
          <w:lang w:val="en-US"/>
        </w:rPr>
        <w:t>6736</w:t>
      </w:r>
      <w:r w:rsidRPr="003C6D30">
        <w:rPr>
          <w:rFonts w:cs="Times New Roman"/>
          <w:noProof/>
          <w:lang w:val="en-US"/>
        </w:rPr>
        <w:t>(18), 1–4. https://doi.org/10.1016/S0140-6736(18)32594-7</w:t>
      </w:r>
    </w:p>
    <w:p w14:paraId="58C196D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Wyon, D. P., Wyon, I., &amp; Norin, F. (1996). Effects of moderate heat stress on driver vigilance in a moving vehicle. </w:t>
      </w:r>
      <w:r w:rsidRPr="003C6D30">
        <w:rPr>
          <w:rFonts w:cs="Times New Roman"/>
          <w:i/>
          <w:iCs/>
          <w:noProof/>
          <w:lang w:val="en-US"/>
        </w:rPr>
        <w:t>Ergonomics</w:t>
      </w:r>
      <w:r w:rsidRPr="003C6D30">
        <w:rPr>
          <w:rFonts w:cs="Times New Roman"/>
          <w:noProof/>
          <w:lang w:val="en-US"/>
        </w:rPr>
        <w:t>. https://doi.org/10.1080/00140139608964434</w:t>
      </w:r>
    </w:p>
    <w:p w14:paraId="15C530A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Xu, J. (2014). Unintentional drowning deaths in the United States, 1999-2010. </w:t>
      </w:r>
      <w:r w:rsidRPr="003C6D30">
        <w:rPr>
          <w:rFonts w:cs="Times New Roman"/>
          <w:i/>
          <w:iCs/>
          <w:noProof/>
          <w:lang w:val="en-US"/>
        </w:rPr>
        <w:t>NCHS Data Brief</w:t>
      </w:r>
      <w:r w:rsidRPr="003C6D30">
        <w:rPr>
          <w:rFonts w:cs="Times New Roman"/>
          <w:noProof/>
          <w:lang w:val="en-US"/>
        </w:rPr>
        <w:t>.</w:t>
      </w:r>
    </w:p>
    <w:p w14:paraId="48E8D32F" w14:textId="77777777" w:rsidR="003C6D30" w:rsidRPr="003C6D30" w:rsidRDefault="003C6D30" w:rsidP="003C6D30">
      <w:pPr>
        <w:widowControl w:val="0"/>
        <w:autoSpaceDE w:val="0"/>
        <w:autoSpaceDN w:val="0"/>
        <w:adjustRightInd w:val="0"/>
        <w:spacing w:line="240" w:lineRule="auto"/>
        <w:ind w:left="480" w:hanging="480"/>
        <w:rPr>
          <w:rFonts w:cs="Times New Roman"/>
          <w:noProof/>
        </w:rPr>
      </w:pPr>
      <w:r w:rsidRPr="003C6D30">
        <w:rPr>
          <w:rFonts w:cs="Times New Roman"/>
          <w:noProof/>
          <w:lang w:val="en-US"/>
        </w:rPr>
        <w:t xml:space="preserve">Zlatoper, T. J. (1991). Determinants of motor vehicle deaths in the United States: A cross-sectional analysis. </w:t>
      </w:r>
      <w:r w:rsidRPr="003C6D30">
        <w:rPr>
          <w:rFonts w:cs="Times New Roman"/>
          <w:i/>
          <w:iCs/>
          <w:noProof/>
          <w:lang w:val="en-US"/>
        </w:rPr>
        <w:t>Accident Analysis and Prevention</w:t>
      </w:r>
      <w:r w:rsidRPr="003C6D30">
        <w:rPr>
          <w:rFonts w:cs="Times New Roman"/>
          <w:noProof/>
          <w:lang w:val="en-US"/>
        </w:rPr>
        <w:t>. https://doi.org/10.1016/0001-</w:t>
      </w:r>
      <w:r w:rsidRPr="003C6D30">
        <w:rPr>
          <w:rFonts w:cs="Times New Roman"/>
          <w:noProof/>
          <w:lang w:val="en-US"/>
        </w:rPr>
        <w:lastRenderedPageBreak/>
        <w:t>4575(91)90062-A</w:t>
      </w:r>
    </w:p>
    <w:p w14:paraId="2B228869" w14:textId="0254A5A3" w:rsidR="006675AE" w:rsidRPr="00127064" w:rsidRDefault="006675AE" w:rsidP="003C6D30">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5543EA" w14:textId="77777777" w:rsidR="001C1E5B" w:rsidRDefault="001C1E5B">
      <w:pPr>
        <w:spacing w:after="0" w:line="240" w:lineRule="auto"/>
      </w:pPr>
      <w:r>
        <w:separator/>
      </w:r>
    </w:p>
    <w:p w14:paraId="421B636A" w14:textId="77777777" w:rsidR="001C1E5B" w:rsidRDefault="001C1E5B"/>
  </w:endnote>
  <w:endnote w:type="continuationSeparator" w:id="0">
    <w:p w14:paraId="35F8C445" w14:textId="77777777" w:rsidR="001C1E5B" w:rsidRDefault="001C1E5B">
      <w:pPr>
        <w:spacing w:after="0" w:line="240" w:lineRule="auto"/>
      </w:pPr>
      <w:r>
        <w:continuationSeparator/>
      </w:r>
    </w:p>
    <w:p w14:paraId="238E67AE" w14:textId="77777777" w:rsidR="001C1E5B" w:rsidRDefault="001C1E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21814268"/>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8081991"/>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5B070A" w14:textId="77777777" w:rsidR="001C1E5B" w:rsidRDefault="001C1E5B" w:rsidP="00402F30">
      <w:pPr>
        <w:spacing w:after="0" w:line="240" w:lineRule="auto"/>
      </w:pPr>
      <w:r>
        <w:separator/>
      </w:r>
    </w:p>
  </w:footnote>
  <w:footnote w:type="continuationSeparator" w:id="0">
    <w:p w14:paraId="047958C3" w14:textId="77777777" w:rsidR="001C1E5B" w:rsidRDefault="001C1E5B">
      <w:pPr>
        <w:spacing w:after="0" w:line="240" w:lineRule="auto"/>
      </w:pPr>
      <w:r>
        <w:continuationSeparator/>
      </w:r>
    </w:p>
    <w:p w14:paraId="3E4ED64E" w14:textId="77777777" w:rsidR="001C1E5B" w:rsidRDefault="001C1E5B"/>
  </w:footnote>
  <w:footnote w:id="1">
    <w:p w14:paraId="09B10195" w14:textId="1A077EE3" w:rsidR="00402F30" w:rsidRPr="003914B4" w:rsidRDefault="00293CB3" w:rsidP="00402F30">
      <w:pPr>
        <w:spacing w:line="240" w:lineRule="auto"/>
        <w:rPr>
          <w:sz w:val="20"/>
          <w:szCs w:val="20"/>
        </w:rPr>
      </w:pPr>
      <w:r>
        <w:t>S</w:t>
      </w:r>
      <w:r w:rsidR="003914B4" w:rsidRPr="003914B4">
        <w:rPr>
          <w:sz w:val="20"/>
          <w:szCs w:val="20"/>
        </w:rPr>
        <w:t xml:space="preserve">ome of the contents of this chapter </w:t>
      </w:r>
      <w:r w:rsidR="003F49D6">
        <w:rPr>
          <w:sz w:val="20"/>
          <w:szCs w:val="20"/>
        </w:rPr>
        <w:t>are in a</w:t>
      </w:r>
      <w:r w:rsidR="003914B4">
        <w:rPr>
          <w:sz w:val="20"/>
          <w:szCs w:val="20"/>
        </w:rPr>
        <w:t xml:space="preserve"> paper</w:t>
      </w:r>
      <w:r w:rsidR="00402F30" w:rsidRPr="003914B4">
        <w:rPr>
          <w:sz w:val="20"/>
          <w:szCs w:val="20"/>
        </w:rPr>
        <w:t xml:space="preserve"> which is currently under review in </w:t>
      </w:r>
      <w:r w:rsidR="00652036">
        <w:rPr>
          <w:i/>
          <w:sz w:val="20"/>
          <w:szCs w:val="20"/>
        </w:rPr>
        <w:t>T</w:t>
      </w:r>
      <w:r>
        <w:rPr>
          <w:i/>
          <w:sz w:val="20"/>
          <w:szCs w:val="20"/>
        </w:rPr>
        <w:t xml:space="preserve">he New England Journal of </w:t>
      </w:r>
      <w:r w:rsidR="00872CF9">
        <w:rPr>
          <w:i/>
          <w:sz w:val="20"/>
          <w:szCs w:val="20"/>
        </w:rPr>
        <w:t>Medicine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CB9"/>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841"/>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AE"/>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1E5B"/>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0F25"/>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34E"/>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3CB3"/>
    <w:rsid w:val="002941C3"/>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81"/>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BF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34E"/>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8DC"/>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AF0"/>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D30"/>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1AD"/>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4CA"/>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A41"/>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82A"/>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5FB7"/>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62C"/>
    <w:rsid w:val="00651E45"/>
    <w:rsid w:val="00651FB2"/>
    <w:rsid w:val="00652036"/>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776"/>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549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6F63"/>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B93"/>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9B1"/>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2FD"/>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8B3"/>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2CF9"/>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023"/>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37C14"/>
    <w:rsid w:val="009404AB"/>
    <w:rsid w:val="009407EE"/>
    <w:rsid w:val="00941013"/>
    <w:rsid w:val="009414AD"/>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B77"/>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59D"/>
    <w:rsid w:val="009A17D0"/>
    <w:rsid w:val="009A1883"/>
    <w:rsid w:val="009A2664"/>
    <w:rsid w:val="009A2825"/>
    <w:rsid w:val="009A2C5E"/>
    <w:rsid w:val="009A359F"/>
    <w:rsid w:val="009A36CE"/>
    <w:rsid w:val="009A38F6"/>
    <w:rsid w:val="009A3F89"/>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283"/>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DB1"/>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52"/>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90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1CA4"/>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747"/>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87"/>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8F2"/>
    <w:rsid w:val="00C86B36"/>
    <w:rsid w:val="00C86BC6"/>
    <w:rsid w:val="00C8708D"/>
    <w:rsid w:val="00C875DA"/>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0F4"/>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8FB"/>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7EE"/>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2CF3"/>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7A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DAF"/>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6F4"/>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CAF"/>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3E4A"/>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86FE1F5-B03F-3147-9AC1-03B977C36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23</Pages>
  <Words>23878</Words>
  <Characters>131334</Characters>
  <Application>Microsoft Office Word</Application>
  <DocSecurity>0</DocSecurity>
  <Lines>2226</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46</cp:revision>
  <cp:lastPrinted>2019-05-11T14:18:00Z</cp:lastPrinted>
  <dcterms:created xsi:type="dcterms:W3CDTF">2019-05-11T11:23:00Z</dcterms:created>
  <dcterms:modified xsi:type="dcterms:W3CDTF">2019-05-11T14:19:00Z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