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4406C50E"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r w:rsidR="00A23AAC">
        <w:rPr>
          <w:b/>
          <w:color w:val="000000" w:themeColor="text1"/>
        </w:rPr>
        <w:t>6</w:t>
      </w:r>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05383870" w:rsidR="0027631A" w:rsidRDefault="0027631A">
      <w:pPr>
        <w:rPr>
          <w:b/>
          <w:color w:val="000000" w:themeColor="text1"/>
        </w:rPr>
      </w:pPr>
      <w:r>
        <w:rPr>
          <w:b/>
          <w:color w:val="000000" w:themeColor="text1"/>
        </w:rPr>
        <w:br w:type="page"/>
      </w: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lastRenderedPageBreak/>
        <w:t>Abstract</w:t>
      </w:r>
    </w:p>
    <w:p w14:paraId="46341449" w14:textId="0FAEAF8D" w:rsidR="00773692" w:rsidRPr="00AC73A1" w:rsidRDefault="009570B0" w:rsidP="006D0249">
      <w:pPr>
        <w:spacing w:line="480" w:lineRule="auto"/>
        <w:jc w:val="both"/>
        <w:rPr>
          <w:color w:val="000000" w:themeColor="text1"/>
        </w:rPr>
      </w:pPr>
      <w:r>
        <w:rPr>
          <w:color w:val="000000" w:themeColor="text1"/>
        </w:rPr>
        <w:t>I</w:t>
      </w:r>
      <w:r w:rsidR="00773692" w:rsidRPr="00AC73A1">
        <w:rPr>
          <w:color w:val="000000" w:themeColor="text1"/>
        </w:rPr>
        <w:t>n temperate climates</w:t>
      </w:r>
      <w:r w:rsidR="004B1D5A" w:rsidRPr="00AC73A1">
        <w:rPr>
          <w:color w:val="000000" w:themeColor="text1"/>
        </w:rPr>
        <w:t>, winter deaths exceed summer ones</w:t>
      </w:r>
      <w:r w:rsidR="00773692" w:rsidRPr="00AC73A1">
        <w:rPr>
          <w:color w:val="000000" w:themeColor="text1"/>
        </w:rPr>
        <w:t>.</w:t>
      </w:r>
      <w:r w:rsidR="0072142C" w:rsidRPr="00AC73A1">
        <w:t xml:space="preserve"> </w:t>
      </w:r>
      <w:r>
        <w:rPr>
          <w:color w:val="000000" w:themeColor="text1"/>
        </w:rPr>
        <w:t>However, there is limited information</w:t>
      </w:r>
      <w:r w:rsidRPr="00AC73A1" w:rsidDel="007B3AFF">
        <w:rPr>
          <w:color w:val="000000" w:themeColor="text1"/>
        </w:rPr>
        <w:t xml:space="preserve"> on how </w:t>
      </w:r>
      <w:r w:rsidRPr="00AC73A1">
        <w:rPr>
          <w:color w:val="000000" w:themeColor="text1"/>
        </w:rPr>
        <w:t xml:space="preserve">the timing </w:t>
      </w:r>
      <w:r w:rsidR="00E10E0F">
        <w:rPr>
          <w:color w:val="000000" w:themeColor="text1"/>
        </w:rPr>
        <w:t xml:space="preserve">and the relative magnitudes </w:t>
      </w:r>
      <w:r w:rsidRPr="00AC73A1">
        <w:rPr>
          <w:color w:val="000000" w:themeColor="text1"/>
        </w:rPr>
        <w:t>of minimum and maximum mortality</w:t>
      </w:r>
      <w:r w:rsidRPr="00AC73A1" w:rsidDel="007B3AFF">
        <w:rPr>
          <w:color w:val="000000" w:themeColor="text1"/>
        </w:rPr>
        <w:t xml:space="preserve"> </w:t>
      </w:r>
      <w:r w:rsidR="00E10E0F" w:rsidRPr="00AC73A1" w:rsidDel="007B3AFF">
        <w:rPr>
          <w:color w:val="000000" w:themeColor="text1"/>
        </w:rPr>
        <w:t>var</w:t>
      </w:r>
      <w:r w:rsidR="00E10E0F">
        <w:rPr>
          <w:color w:val="000000" w:themeColor="text1"/>
        </w:rPr>
        <w:t>y</w:t>
      </w:r>
      <w:r w:rsidR="00E10E0F" w:rsidRPr="00AC73A1" w:rsidDel="007B3AFF">
        <w:rPr>
          <w:color w:val="000000" w:themeColor="text1"/>
        </w:rPr>
        <w:t xml:space="preserve"> </w:t>
      </w:r>
      <w:r w:rsidRPr="00AC73A1" w:rsidDel="007B3AFF">
        <w:rPr>
          <w:color w:val="000000" w:themeColor="text1"/>
        </w:rPr>
        <w:t xml:space="preserve">by local climate and how </w:t>
      </w:r>
      <w:r w:rsidRPr="00AC73A1">
        <w:rPr>
          <w:color w:val="000000" w:themeColor="text1"/>
        </w:rPr>
        <w:t>these features</w:t>
      </w:r>
      <w:r w:rsidRPr="00AC73A1" w:rsidDel="007B3AFF">
        <w:rPr>
          <w:color w:val="000000" w:themeColor="text1"/>
        </w:rPr>
        <w:t xml:space="preserve"> ha</w:t>
      </w:r>
      <w:r w:rsidRPr="00AC73A1">
        <w:rPr>
          <w:color w:val="000000" w:themeColor="text1"/>
        </w:rPr>
        <w:t>ve</w:t>
      </w:r>
      <w:r w:rsidRPr="00AC73A1" w:rsidDel="007B3AFF">
        <w:rPr>
          <w:color w:val="000000" w:themeColor="text1"/>
        </w:rPr>
        <w:t xml:space="preserve"> changed over time, in relation to age</w:t>
      </w:r>
      <w:r w:rsidRPr="00AC73A1">
        <w:rPr>
          <w:color w:val="000000" w:themeColor="text1"/>
        </w:rPr>
        <w:t xml:space="preserve"> </w:t>
      </w:r>
      <w:r w:rsidRPr="00AC73A1" w:rsidDel="007B3AFF">
        <w:rPr>
          <w:color w:val="000000" w:themeColor="text1"/>
        </w:rPr>
        <w:t>group, sex and medical cause of death</w:t>
      </w:r>
      <w:r>
        <w:rPr>
          <w:color w:val="000000" w:themeColor="text1"/>
        </w:rPr>
        <w:t xml:space="preserve">. </w:t>
      </w:r>
      <w:r w:rsidR="008A6C6B" w:rsidRPr="00AC73A1">
        <w:t>We</w:t>
      </w:r>
      <w:r w:rsidR="00773692" w:rsidRPr="00AC73A1">
        <w:rPr>
          <w:color w:val="000000" w:themeColor="text1"/>
        </w:rPr>
        <w:t xml:space="preserve"> use</w:t>
      </w:r>
      <w:r w:rsidR="00E23271" w:rsidRPr="00AC73A1">
        <w:rPr>
          <w:color w:val="000000" w:themeColor="text1"/>
        </w:rPr>
        <w:t>d</w:t>
      </w:r>
      <w:r w:rsidR="00773692" w:rsidRPr="00AC73A1">
        <w:rPr>
          <w:color w:val="000000" w:themeColor="text1"/>
        </w:rPr>
        <w:t xml:space="preserve"> geo-coded </w:t>
      </w:r>
      <w:r w:rsidR="004B1D5A" w:rsidRPr="00AC73A1">
        <w:rPr>
          <w:color w:val="000000" w:themeColor="text1"/>
        </w:rPr>
        <w:t xml:space="preserve">mortality </w:t>
      </w:r>
      <w:r w:rsidR="00773692" w:rsidRPr="00AC73A1">
        <w:rPr>
          <w:color w:val="000000" w:themeColor="text1"/>
        </w:rPr>
        <w:t xml:space="preserve">data and wavelet analytical techniques to </w:t>
      </w:r>
      <w:r w:rsidR="00236AF3" w:rsidRPr="00AC73A1">
        <w:rPr>
          <w:color w:val="000000" w:themeColor="text1"/>
        </w:rPr>
        <w:t>analy</w:t>
      </w:r>
      <w:r w:rsidR="006630ED" w:rsidRPr="00AC73A1">
        <w:rPr>
          <w:color w:val="000000" w:themeColor="text1"/>
        </w:rPr>
        <w:t>s</w:t>
      </w:r>
      <w:r w:rsidR="00236AF3" w:rsidRPr="00AC73A1">
        <w:rPr>
          <w:color w:val="000000" w:themeColor="text1"/>
        </w:rPr>
        <w:t>e</w:t>
      </w:r>
      <w:r w:rsidR="00773692" w:rsidRPr="00AC73A1">
        <w:rPr>
          <w:color w:val="000000" w:themeColor="text1"/>
        </w:rPr>
        <w:t xml:space="preserve"> the seasonality of</w:t>
      </w:r>
      <w:r w:rsidR="00771AD0" w:rsidRPr="00AC73A1">
        <w:rPr>
          <w:color w:val="000000" w:themeColor="text1"/>
        </w:rPr>
        <w:t xml:space="preserve"> all-cause and cause-specific</w:t>
      </w:r>
      <w:r w:rsidR="00773692" w:rsidRPr="00AC73A1">
        <w:rPr>
          <w:color w:val="000000" w:themeColor="text1"/>
        </w:rPr>
        <w:t xml:space="preserve"> mortalit</w:t>
      </w:r>
      <w:r w:rsidR="00C25CEC" w:rsidRPr="00AC73A1">
        <w:rPr>
          <w:color w:val="000000" w:themeColor="text1"/>
        </w:rPr>
        <w:t>y by age group and sex from 1980</w:t>
      </w:r>
      <w:r w:rsidR="00773692" w:rsidRPr="00AC73A1">
        <w:rPr>
          <w:color w:val="000000" w:themeColor="text1"/>
        </w:rPr>
        <w:t xml:space="preserve"> to 201</w:t>
      </w:r>
      <w:r w:rsidR="008748D0">
        <w:rPr>
          <w:color w:val="000000" w:themeColor="text1"/>
        </w:rPr>
        <w:t>6</w:t>
      </w:r>
      <w:r w:rsidR="004B1D5A" w:rsidRPr="00AC73A1">
        <w:rPr>
          <w:color w:val="000000" w:themeColor="text1"/>
        </w:rPr>
        <w:t xml:space="preserve"> in the USA</w:t>
      </w:r>
      <w:r w:rsidR="00773692" w:rsidRPr="00AC73A1">
        <w:rPr>
          <w:color w:val="000000" w:themeColor="text1"/>
        </w:rPr>
        <w:t xml:space="preserve">, nationally and in </w:t>
      </w:r>
      <w:r w:rsidR="00251C2E">
        <w:rPr>
          <w:color w:val="000000" w:themeColor="text1"/>
        </w:rPr>
        <w:t>nine</w:t>
      </w:r>
      <w:r w:rsidR="00D511EB">
        <w:rPr>
          <w:color w:val="000000" w:themeColor="text1"/>
        </w:rPr>
        <w:t xml:space="preserve"> </w:t>
      </w:r>
      <w:r w:rsidR="00773692" w:rsidRPr="00AC73A1">
        <w:rPr>
          <w:color w:val="000000" w:themeColor="text1"/>
        </w:rPr>
        <w:t xml:space="preserve">subnational climatic regions. Death rates in men and women </w:t>
      </w:r>
      <w:r w:rsidR="004B1D5A" w:rsidRPr="00AC73A1">
        <w:rPr>
          <w:color w:val="000000" w:themeColor="text1"/>
        </w:rPr>
        <w:t>≥</w:t>
      </w:r>
      <w:r w:rsidR="00773692" w:rsidRPr="00AC73A1">
        <w:rPr>
          <w:color w:val="000000" w:themeColor="text1"/>
        </w:rPr>
        <w:t>45 years exhibit</w:t>
      </w:r>
      <w:r w:rsidR="00E23271" w:rsidRPr="00AC73A1">
        <w:rPr>
          <w:color w:val="000000" w:themeColor="text1"/>
        </w:rPr>
        <w:t>ed</w:t>
      </w:r>
      <w:r w:rsidR="00773692" w:rsidRPr="00AC73A1">
        <w:rPr>
          <w:color w:val="000000" w:themeColor="text1"/>
        </w:rPr>
        <w:t xml:space="preserve"> seasonality with peak in </w:t>
      </w:r>
      <w:r w:rsidR="00276EAE">
        <w:rPr>
          <w:color w:val="000000" w:themeColor="text1"/>
        </w:rPr>
        <w:t xml:space="preserve">December to </w:t>
      </w:r>
      <w:r w:rsidR="00773692" w:rsidRPr="00AC73A1">
        <w:rPr>
          <w:color w:val="000000" w:themeColor="text1"/>
        </w:rPr>
        <w:t>February and minimum in June</w:t>
      </w:r>
      <w:r w:rsidR="00276EAE">
        <w:rPr>
          <w:color w:val="000000" w:themeColor="text1"/>
        </w:rPr>
        <w:t xml:space="preserve"> to August</w:t>
      </w:r>
      <w:r w:rsidR="008A6C6B" w:rsidRPr="00AC73A1">
        <w:rPr>
          <w:color w:val="000000" w:themeColor="text1"/>
        </w:rPr>
        <w:t>, driven b</w:t>
      </w:r>
      <w:r w:rsidR="001C6F5C" w:rsidRPr="00AC73A1">
        <w:rPr>
          <w:color w:val="000000" w:themeColor="text1"/>
        </w:rPr>
        <w:t>y seasonality of cardiorespiratory</w:t>
      </w:r>
      <w:r w:rsidR="008A6C6B" w:rsidRPr="00AC73A1">
        <w:rPr>
          <w:color w:val="000000" w:themeColor="text1"/>
        </w:rPr>
        <w:t xml:space="preserve"> diseases and injuries</w:t>
      </w:r>
      <w:r w:rsidR="00773692" w:rsidRPr="00AC73A1">
        <w:rPr>
          <w:color w:val="000000" w:themeColor="text1"/>
        </w:rPr>
        <w:t xml:space="preserve">. </w:t>
      </w:r>
      <w:r w:rsidR="00AA2F95" w:rsidRPr="00AC73A1">
        <w:rPr>
          <w:color w:val="000000" w:themeColor="text1"/>
        </w:rPr>
        <w:t>In these ages, p</w:t>
      </w:r>
      <w:r w:rsidR="00773692" w:rsidRPr="00AC73A1">
        <w:rPr>
          <w:color w:val="000000" w:themeColor="text1"/>
        </w:rPr>
        <w:t xml:space="preserve">ercent difference in death rates between peak and minimum months </w:t>
      </w:r>
      <w:r w:rsidR="004B1D5A" w:rsidRPr="00AC73A1">
        <w:rPr>
          <w:color w:val="000000" w:themeColor="text1"/>
        </w:rPr>
        <w:t>did not vary across</w:t>
      </w:r>
      <w:r w:rsidR="00773692" w:rsidRPr="00AC73A1">
        <w:rPr>
          <w:color w:val="000000" w:themeColor="text1"/>
        </w:rPr>
        <w:t xml:space="preserve"> climate regions</w:t>
      </w:r>
      <w:r w:rsidR="004B1D5A" w:rsidRPr="00AC73A1">
        <w:rPr>
          <w:color w:val="000000" w:themeColor="text1"/>
        </w:rPr>
        <w:t>, and was largely unchanged from 1980 to 201</w:t>
      </w:r>
      <w:r w:rsidR="00511176">
        <w:rPr>
          <w:color w:val="000000" w:themeColor="text1"/>
        </w:rPr>
        <w:t>6</w:t>
      </w:r>
      <w:r w:rsidR="00773692" w:rsidRPr="00AC73A1">
        <w:rPr>
          <w:color w:val="000000" w:themeColor="text1"/>
        </w:rPr>
        <w:t xml:space="preserve">. Under five years of age, seasonality of </w:t>
      </w:r>
      <w:r w:rsidR="008A6C6B" w:rsidRPr="00AC73A1">
        <w:rPr>
          <w:color w:val="000000" w:themeColor="text1"/>
        </w:rPr>
        <w:t xml:space="preserve">all-cause </w:t>
      </w:r>
      <w:r w:rsidR="00773692" w:rsidRPr="00AC73A1">
        <w:rPr>
          <w:color w:val="000000" w:themeColor="text1"/>
        </w:rPr>
        <w:t>mortality largely disappeared after the 1990s. In adolescents and young adults, especially in males, death rates peak</w:t>
      </w:r>
      <w:r w:rsidR="00421068" w:rsidRPr="00AC73A1">
        <w:rPr>
          <w:color w:val="000000" w:themeColor="text1"/>
        </w:rPr>
        <w:t>ed</w:t>
      </w:r>
      <w:r w:rsidR="00773692" w:rsidRPr="00AC73A1">
        <w:rPr>
          <w:color w:val="000000" w:themeColor="text1"/>
        </w:rPr>
        <w:t xml:space="preserve"> in June/July and </w:t>
      </w:r>
      <w:r w:rsidR="00421068" w:rsidRPr="00AC73A1">
        <w:rPr>
          <w:color w:val="000000" w:themeColor="text1"/>
        </w:rPr>
        <w:t xml:space="preserve">were </w:t>
      </w:r>
      <w:r w:rsidR="00773692" w:rsidRPr="00AC73A1">
        <w:rPr>
          <w:color w:val="000000" w:themeColor="text1"/>
        </w:rPr>
        <w:t xml:space="preserve">lowest in December/January, </w:t>
      </w:r>
      <w:r w:rsidR="008807C6" w:rsidRPr="00AC73A1">
        <w:rPr>
          <w:color w:val="000000" w:themeColor="text1"/>
        </w:rPr>
        <w:t>driven by seasonality of injury deaths</w:t>
      </w:r>
      <w:r w:rsidR="00773692" w:rsidRPr="00AC73A1">
        <w:rPr>
          <w:color w:val="000000" w:themeColor="text1"/>
        </w:rPr>
        <w:t xml:space="preserve">. </w:t>
      </w:r>
    </w:p>
    <w:p w14:paraId="3D3F0E5A" w14:textId="5F861092" w:rsidR="00413B5E" w:rsidRPr="00AC73A1" w:rsidRDefault="00413B5E"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712EF13B"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C950B8">
        <w:rPr>
          <w:color w:val="000000" w:themeColor="text1"/>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00B34BC1">
        <w:rPr>
          <w:color w:val="000000" w:themeColor="text1"/>
        </w:rPr>
        <w:t>I</w:t>
      </w:r>
      <w:r w:rsidRPr="00AC73A1">
        <w:rPr>
          <w:color w:val="000000" w:themeColor="text1"/>
        </w:rPr>
        <w:t xml:space="preserve">t has </w:t>
      </w:r>
      <w:r w:rsidR="00D50F7E">
        <w:rPr>
          <w:color w:val="000000" w:themeColor="text1"/>
        </w:rPr>
        <w:t xml:space="preserve">therefore </w:t>
      </w:r>
      <w:r w:rsidRPr="00AC73A1">
        <w:rPr>
          <w:color w:val="000000" w:themeColor="text1"/>
        </w:rPr>
        <w:t xml:space="preserve">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C950B8">
        <w:rPr>
          <w:color w:val="000000" w:themeColor="text1"/>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C950B8">
        <w:rPr>
          <w:color w:val="000000" w:themeColor="text1"/>
        </w:rPr>
        <w:instrText>ADDIN CSL_CITATION {"citationItems":[{"id":"ITEM-1","itemData":{"ISSN":"0936-577X","author":[{"dropping-particle":"","family":"Davis","given":"Robert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change","type":"article-journal","volume":"26"},"uris":["http://www.mendeley.com/documents/?uuid=f784c2e9-323b-4c0a-a347-c09f272bc278"]},{"id":"ITEM-2","itemData":{"DOI":"10.1136/oem.2007.033175","ISBN":"1470-7926","ISSN":"13510711","PMID":"17600037","abstract":"OBJECTIVES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004717CE" w:rsidRPr="00AC73A1">
        <w:rPr>
          <w:color w:val="000000" w:themeColor="text1"/>
        </w:rPr>
        <w:fldChar w:fldCharType="separate"/>
      </w:r>
      <w:r w:rsidR="00BC655C" w:rsidRPr="00AC73A1">
        <w:rPr>
          <w:noProof/>
          <w:color w:val="000000" w:themeColor="text1"/>
        </w:rPr>
        <w:t xml:space="preserve">(Davis, Knappenberger, Michaels, &amp; Novicoff, 2004; Ferreira </w:t>
      </w:r>
      <w:r w:rsidR="00BC655C" w:rsidRPr="00AC73A1">
        <w:rPr>
          <w:noProof/>
          <w:color w:val="000000" w:themeColor="text1"/>
        </w:rPr>
        <w:lastRenderedPageBreak/>
        <w:t>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The presence and extent of seasonal variation in mortality m</w:t>
      </w:r>
      <w:r w:rsidR="00807D8E">
        <w:rPr>
          <w:color w:val="000000" w:themeColor="text1"/>
        </w:rPr>
        <w:t xml:space="preserve">ay also itself change over time </w:t>
      </w:r>
      <w:r w:rsidR="002C33D5" w:rsidRPr="00AC73A1">
        <w:rPr>
          <w:color w:val="000000" w:themeColor="text1"/>
        </w:rPr>
        <w:fldChar w:fldCharType="begin" w:fldLock="1"/>
      </w:r>
      <w:r w:rsidR="00C950B8">
        <w:rPr>
          <w:color w:val="000000" w:themeColor="text1"/>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076475E8"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w:t>
      </w:r>
      <w:proofErr w:type="gramStart"/>
      <w:r w:rsidRPr="00AC73A1">
        <w:rPr>
          <w:color w:val="000000" w:themeColor="text1"/>
        </w:rPr>
        <w:t>at the present time</w:t>
      </w:r>
      <w:proofErr w:type="gramEnd"/>
      <w:r w:rsidRPr="00AC73A1">
        <w:rPr>
          <w:color w:val="000000" w:themeColor="text1"/>
        </w:rPr>
        <w:t xml:space="preserv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seasonality, including the timing of 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C950B8">
        <w:rPr>
          <w:color w:val="000000" w:themeColor="text1"/>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5B3342AD"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B34BC1" w:rsidRPr="00AC73A1">
        <w:rPr>
          <w:color w:val="000000" w:themeColor="text1"/>
        </w:rPr>
        <w:t>, to over three decades of national mortality data</w:t>
      </w:r>
      <w:r w:rsidR="00B34BC1">
        <w:rPr>
          <w:color w:val="000000" w:themeColor="text1"/>
        </w:rPr>
        <w:t>. Wavelets</w:t>
      </w:r>
      <w:r w:rsidR="00B34BC1" w:rsidRPr="00AC73A1">
        <w:rPr>
          <w:color w:val="000000" w:themeColor="text1"/>
        </w:rPr>
        <w:t xml:space="preserve"> </w:t>
      </w:r>
      <w:r w:rsidR="000210D1" w:rsidRPr="00AC73A1">
        <w:rPr>
          <w:color w:val="000000" w:themeColor="text1"/>
        </w:rPr>
        <w:t>have been used to study the dynamics of weather phenome</w:t>
      </w:r>
      <w:r w:rsidR="00BF3FD9" w:rsidRPr="00AC73A1">
        <w:rPr>
          <w:color w:val="000000" w:themeColor="text1"/>
        </w:rPr>
        <w:t>na</w:t>
      </w:r>
      <w:r w:rsidR="00FC7D12" w:rsidRPr="00AC73A1">
        <w:rPr>
          <w:color w:val="000000" w:themeColor="text1"/>
        </w:rPr>
        <w:t xml:space="preserve"> </w:t>
      </w:r>
      <w:r w:rsidR="002542D0">
        <w:rPr>
          <w:color w:val="000000" w:themeColor="text1"/>
        </w:rPr>
        <w:fldChar w:fldCharType="begin" w:fldLock="1"/>
      </w:r>
      <w:r w:rsidR="00C950B8">
        <w:rPr>
          <w:color w:val="000000" w:themeColor="text1"/>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2542D0">
        <w:rPr>
          <w:color w:val="000000" w:themeColor="text1"/>
        </w:rPr>
        <w:fldChar w:fldCharType="separate"/>
      </w:r>
      <w:r w:rsidR="002542D0" w:rsidRPr="002542D0">
        <w:rPr>
          <w:noProof/>
          <w:color w:val="000000" w:themeColor="text1"/>
        </w:rPr>
        <w:t>(Moy, Seltzer, Rodbell, &amp; Anderson, 2002)</w:t>
      </w:r>
      <w:r w:rsidR="002542D0">
        <w:rPr>
          <w:color w:val="000000" w:themeColor="text1"/>
        </w:rPr>
        <w:fldChar w:fldCharType="end"/>
      </w:r>
      <w:r w:rsidR="00625BF6">
        <w:rPr>
          <w:color w:val="000000" w:themeColor="text1"/>
        </w:rPr>
        <w:t xml:space="preserve"> </w:t>
      </w:r>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C950B8">
        <w:rPr>
          <w:color w:val="000000" w:themeColor="text1"/>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0210D1" w:rsidRPr="00AC73A1">
        <w:rPr>
          <w:color w:val="000000" w:themeColor="text1"/>
        </w:rPr>
        <w:t>.</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r w:rsidR="00A22940">
        <w:rPr>
          <w:color w:val="000000" w:themeColor="text1"/>
        </w:rPr>
        <w:t xml:space="preserve">. In </w:t>
      </w:r>
      <w:r w:rsidR="00025DE6">
        <w:rPr>
          <w:color w:val="000000" w:themeColor="text1"/>
        </w:rPr>
        <w:t>addition,</w:t>
      </w:r>
      <w:r w:rsidR="00A22940">
        <w:rPr>
          <w:color w:val="000000" w:themeColor="text1"/>
        </w:rPr>
        <w:t xml:space="preserve"> we identify how the percentage difference between </w:t>
      </w:r>
      <w:r w:rsidR="00B34BC1">
        <w:rPr>
          <w:color w:val="000000" w:themeColor="text1"/>
        </w:rPr>
        <w:t>death rates</w:t>
      </w:r>
      <w:r w:rsidR="007155A4">
        <w:rPr>
          <w:color w:val="000000" w:themeColor="text1"/>
        </w:rPr>
        <w:t xml:space="preserve"> in </w:t>
      </w:r>
      <w:r w:rsidR="00A22940">
        <w:rPr>
          <w:color w:val="000000" w:themeColor="text1"/>
        </w:rPr>
        <w:t xml:space="preserve">maximum and minimum </w:t>
      </w:r>
      <w:r w:rsidR="00B34BC1">
        <w:rPr>
          <w:color w:val="000000" w:themeColor="text1"/>
        </w:rPr>
        <w:t xml:space="preserve">mortality </w:t>
      </w:r>
      <w:r w:rsidR="009A1BE3">
        <w:rPr>
          <w:color w:val="000000" w:themeColor="text1"/>
        </w:rPr>
        <w:t>months</w:t>
      </w:r>
      <w:r w:rsidR="00A22940">
        <w:rPr>
          <w:color w:val="000000" w:themeColor="text1"/>
        </w:rPr>
        <w:t xml:space="preserve"> has changed </w:t>
      </w:r>
      <w:r w:rsidR="00B34BC1">
        <w:rPr>
          <w:color w:val="000000" w:themeColor="text1"/>
        </w:rPr>
        <w:t>over ti</w:t>
      </w:r>
      <w:r w:rsidR="00833C6C">
        <w:rPr>
          <w:color w:val="000000" w:themeColor="text1"/>
        </w:rPr>
        <w:t>m</w:t>
      </w:r>
      <w:r w:rsidR="00B34BC1">
        <w:rPr>
          <w:color w:val="000000" w:themeColor="text1"/>
        </w:rPr>
        <w:t>e</w:t>
      </w:r>
      <w:r w:rsidR="00A22940">
        <w:rPr>
          <w:color w:val="000000" w:themeColor="text1"/>
        </w:rPr>
        <w:t>.</w:t>
      </w:r>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74A1E353" w14:textId="777CB5E7" w:rsidR="007846F4" w:rsidRDefault="007846F4" w:rsidP="00C33FFB">
      <w:pPr>
        <w:spacing w:line="480" w:lineRule="auto"/>
        <w:jc w:val="both"/>
        <w:rPr>
          <w:color w:val="000000" w:themeColor="text1"/>
        </w:rPr>
      </w:pPr>
      <w:r>
        <w:rPr>
          <w:color w:val="000000" w:themeColor="text1"/>
        </w:rPr>
        <w:lastRenderedPageBreak/>
        <w:t>Table 1 presents number of deaths by cause of death and sex.</w:t>
      </w:r>
      <w:r w:rsidRPr="00AC73A1">
        <w:rPr>
          <w:color w:val="000000" w:themeColor="text1"/>
        </w:rPr>
        <w:t xml:space="preserve"> </w:t>
      </w:r>
      <w:r w:rsidR="00125763">
        <w:rPr>
          <w:color w:val="000000" w:themeColor="text1"/>
        </w:rPr>
        <w:t xml:space="preserve">Deaths from </w:t>
      </w:r>
      <w:r w:rsidR="009978A5">
        <w:rPr>
          <w:color w:val="000000" w:themeColor="text1"/>
        </w:rPr>
        <w:t xml:space="preserve">cardiorespiratory </w:t>
      </w:r>
      <w:r w:rsidR="00DE001B">
        <w:rPr>
          <w:color w:val="000000" w:themeColor="text1"/>
        </w:rPr>
        <w:t>diseases</w:t>
      </w:r>
      <w:r w:rsidR="009978A5">
        <w:rPr>
          <w:color w:val="000000" w:themeColor="text1"/>
        </w:rPr>
        <w:t xml:space="preserve"> make up nearly half of all deaths</w:t>
      </w:r>
      <w:r w:rsidR="007C221D">
        <w:rPr>
          <w:color w:val="000000" w:themeColor="text1"/>
        </w:rPr>
        <w:t xml:space="preserve"> (48.1%)</w:t>
      </w:r>
      <w:r w:rsidR="009978A5">
        <w:rPr>
          <w:color w:val="000000" w:themeColor="text1"/>
        </w:rPr>
        <w:t xml:space="preserve">, with </w:t>
      </w:r>
      <w:r w:rsidR="00B26F9B">
        <w:rPr>
          <w:color w:val="000000" w:themeColor="text1"/>
        </w:rPr>
        <w:t>most</w:t>
      </w:r>
      <w:r w:rsidR="009978A5">
        <w:rPr>
          <w:color w:val="000000" w:themeColor="text1"/>
        </w:rPr>
        <w:t xml:space="preserve"> </w:t>
      </w:r>
      <w:r w:rsidR="00A14627">
        <w:rPr>
          <w:color w:val="000000" w:themeColor="text1"/>
        </w:rPr>
        <w:t xml:space="preserve">deaths from </w:t>
      </w:r>
      <w:r w:rsidR="009978A5">
        <w:rPr>
          <w:color w:val="000000" w:themeColor="text1"/>
        </w:rPr>
        <w:t xml:space="preserve">cardiovascular </w:t>
      </w:r>
      <w:r w:rsidR="00A14627">
        <w:rPr>
          <w:color w:val="000000" w:themeColor="text1"/>
        </w:rPr>
        <w:t>disease</w:t>
      </w:r>
      <w:r w:rsidR="00D50F7E">
        <w:rPr>
          <w:color w:val="000000" w:themeColor="text1"/>
        </w:rPr>
        <w:t>s</w:t>
      </w:r>
      <w:r w:rsidR="009978A5">
        <w:rPr>
          <w:color w:val="000000" w:themeColor="text1"/>
        </w:rPr>
        <w:t xml:space="preserve">. </w:t>
      </w:r>
      <w:r w:rsidR="00030756">
        <w:rPr>
          <w:color w:val="000000" w:themeColor="text1"/>
        </w:rPr>
        <w:t>Next highest during</w:t>
      </w:r>
      <w:r w:rsidR="002E757A">
        <w:rPr>
          <w:color w:val="000000" w:themeColor="text1"/>
        </w:rPr>
        <w:t xml:space="preserve"> the study period were </w:t>
      </w:r>
      <w:r w:rsidR="00030756">
        <w:rPr>
          <w:color w:val="000000" w:themeColor="text1"/>
        </w:rPr>
        <w:t xml:space="preserve">deaths </w:t>
      </w:r>
      <w:r w:rsidR="002E757A">
        <w:rPr>
          <w:color w:val="000000" w:themeColor="text1"/>
        </w:rPr>
        <w:t>from cancer</w:t>
      </w:r>
      <w:r w:rsidR="00155EAD">
        <w:rPr>
          <w:color w:val="000000" w:themeColor="text1"/>
        </w:rPr>
        <w:t>s</w:t>
      </w:r>
      <w:r w:rsidR="00030756">
        <w:rPr>
          <w:color w:val="000000" w:themeColor="text1"/>
        </w:rPr>
        <w:t xml:space="preserve"> (23.2%)</w:t>
      </w:r>
      <w:r w:rsidR="002E757A">
        <w:rPr>
          <w:color w:val="000000" w:themeColor="text1"/>
        </w:rPr>
        <w:t xml:space="preserve">, </w:t>
      </w:r>
      <w:r w:rsidR="00EB3FE7">
        <w:rPr>
          <w:color w:val="000000" w:themeColor="text1"/>
        </w:rPr>
        <w:t>followed by injuries</w:t>
      </w:r>
      <w:r w:rsidR="00A14627">
        <w:rPr>
          <w:color w:val="000000" w:themeColor="text1"/>
        </w:rPr>
        <w:t xml:space="preserve"> (6.8%)</w:t>
      </w:r>
      <w:r w:rsidR="00030756">
        <w:rPr>
          <w:color w:val="000000" w:themeColor="text1"/>
        </w:rPr>
        <w:t>,</w:t>
      </w:r>
      <w:r w:rsidR="001D2724">
        <w:rPr>
          <w:color w:val="000000" w:themeColor="text1"/>
        </w:rPr>
        <w:t xml:space="preserve"> with</w:t>
      </w:r>
      <w:r w:rsidR="00030756">
        <w:rPr>
          <w:color w:val="000000" w:themeColor="text1"/>
        </w:rPr>
        <w:t xml:space="preserve"> two thirds of those being</w:t>
      </w:r>
      <w:r w:rsidR="00D50F7E">
        <w:rPr>
          <w:color w:val="000000" w:themeColor="text1"/>
        </w:rPr>
        <w:t xml:space="preserve"> from</w:t>
      </w:r>
      <w:r w:rsidR="00030756">
        <w:rPr>
          <w:color w:val="000000" w:themeColor="text1"/>
        </w:rPr>
        <w:t xml:space="preserve"> unintentional</w:t>
      </w:r>
      <w:r w:rsidR="00D50F7E">
        <w:rPr>
          <w:color w:val="000000" w:themeColor="text1"/>
        </w:rPr>
        <w:t xml:space="preserve"> injuries</w:t>
      </w:r>
      <w:r w:rsidR="00030756">
        <w:rPr>
          <w:color w:val="000000" w:themeColor="text1"/>
        </w:rPr>
        <w:t>.</w:t>
      </w:r>
    </w:p>
    <w:p w14:paraId="7ABBCA33" w14:textId="77777777" w:rsidR="007846F4" w:rsidRDefault="007846F4" w:rsidP="00C33FFB">
      <w:pPr>
        <w:spacing w:line="480" w:lineRule="auto"/>
        <w:jc w:val="both"/>
        <w:rPr>
          <w:color w:val="000000" w:themeColor="text1"/>
        </w:rPr>
      </w:pPr>
    </w:p>
    <w:p w14:paraId="5B9DF667" w14:textId="6C2CFC44"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12-month seasonality in all age groups</w:t>
      </w:r>
      <w:r w:rsidR="00421068" w:rsidRPr="00AC73A1">
        <w:t>,</w:t>
      </w:r>
      <w:r w:rsidRPr="00AC73A1">
        <w:t xml:space="preserve"> except </w:t>
      </w:r>
      <w:r w:rsidR="00E72ED4" w:rsidRPr="00AC73A1">
        <w:t>age</w:t>
      </w:r>
      <w:r w:rsidR="00E72ED4">
        <w:t>s</w:t>
      </w:r>
      <w:r w:rsidR="00E72ED4" w:rsidRPr="00AC73A1">
        <w:t xml:space="preserve"> </w:t>
      </w:r>
      <w:r w:rsidRPr="00AC73A1">
        <w:t xml:space="preserve">35-44 years, </w:t>
      </w:r>
      <w:r w:rsidR="00B91368" w:rsidRPr="00AC73A1">
        <w:t xml:space="preserve">for whom there was </w:t>
      </w:r>
      <w:r w:rsidRPr="00AC73A1">
        <w:t xml:space="preserve">periodicity at 6 months (Figure </w:t>
      </w:r>
      <w:r w:rsidR="00040FE5" w:rsidRPr="00AC73A1">
        <w:t>2</w:t>
      </w:r>
      <w:r w:rsidRPr="00AC73A1">
        <w:t xml:space="preserve">). In females, there was 12-month seasonality in </w:t>
      </w:r>
      <w:r w:rsidR="005D22AA" w:rsidRPr="00AC73A1">
        <w:t>all groups</w:t>
      </w:r>
      <w:r w:rsidRPr="00AC73A1">
        <w:t xml:space="preserve"> </w:t>
      </w:r>
      <w:r w:rsidR="002648C8" w:rsidRPr="00AC73A1">
        <w:t>except</w:t>
      </w:r>
      <w:r w:rsidR="002662B1" w:rsidRPr="00AC73A1">
        <w:t xml:space="preserve"> </w:t>
      </w:r>
      <w:r w:rsidR="001A0CB6" w:rsidRPr="00AC73A1">
        <w:t>5-14 and 25-35 years</w:t>
      </w:r>
      <w:r w:rsidR="00C30533">
        <w:t xml:space="preserve"> (</w:t>
      </w:r>
      <w:r w:rsidR="00C808A2">
        <w:t>p-value</w:t>
      </w:r>
      <w:r w:rsidR="006B7721">
        <w:t>s</w:t>
      </w:r>
      <w:r w:rsidR="00BB7524">
        <w:t>=</w:t>
      </w:r>
      <w:r w:rsidR="002C7541">
        <w:t>0.2</w:t>
      </w:r>
      <w:r w:rsidR="00C0323F">
        <w:t>0</w:t>
      </w:r>
      <w:r w:rsidR="002C7541">
        <w:t xml:space="preserve"> and </w:t>
      </w:r>
      <w:r w:rsidR="00AA1CCE">
        <w:t>0.24</w:t>
      </w:r>
      <w:r w:rsidR="004A68C3">
        <w:t>, respectively</w:t>
      </w:r>
      <w:r w:rsidR="00C30533">
        <w:t>)</w:t>
      </w:r>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61D70D0D" w14:textId="733D638A" w:rsidR="005872FC" w:rsidRDefault="0027631A" w:rsidP="00365ECB">
      <w:pPr>
        <w:spacing w:line="480" w:lineRule="auto"/>
        <w:jc w:val="both"/>
      </w:pPr>
      <w:r>
        <w:t>Deaths</w:t>
      </w:r>
      <w:r w:rsidRPr="00AC73A1">
        <w:t xml:space="preserve"> </w:t>
      </w:r>
      <w:r w:rsidR="0029208D" w:rsidRPr="00AC73A1">
        <w:t>from all cause</w:t>
      </w:r>
      <w:r w:rsidR="00D211A0">
        <w:t xml:space="preserve">s </w:t>
      </w:r>
      <w:r w:rsidR="00AB2FE3">
        <w:t xml:space="preserve">of death </w:t>
      </w:r>
      <w:r w:rsidRPr="00AC73A1">
        <w:t>w</w:t>
      </w:r>
      <w:r>
        <w:t>ere</w:t>
      </w:r>
      <w:r w:rsidRPr="00AC73A1">
        <w:t xml:space="preserve"> </w:t>
      </w:r>
      <w:r w:rsidR="005902F2" w:rsidRPr="00AC73A1">
        <w:t xml:space="preserve">seasonal </w:t>
      </w:r>
      <w:r w:rsidR="0072097F">
        <w:t>in older adults (above 65 or 75 years depending on cause</w:t>
      </w:r>
      <w:r w:rsidR="00E819F1">
        <w:t xml:space="preserve">, </w:t>
      </w:r>
      <w:r w:rsidR="00C808A2">
        <w:t>p-value</w:t>
      </w:r>
      <w:r w:rsidR="006277F6">
        <w:t>s&lt;</w:t>
      </w:r>
      <w:r w:rsidR="00C134EC">
        <w:t>0.0</w:t>
      </w:r>
      <w:r w:rsidR="0043757C">
        <w:t>6</w:t>
      </w:r>
      <w:r w:rsidR="0072097F">
        <w:t>)</w:t>
      </w:r>
      <w:r w:rsidR="0072097F" w:rsidRPr="00AC73A1">
        <w:t xml:space="preserve"> </w:t>
      </w:r>
      <w:r w:rsidR="005902F2" w:rsidRPr="00AC73A1">
        <w:t>(Figure 2</w:t>
      </w:r>
      <w:r w:rsidR="00404DA8">
        <w:t xml:space="preserve"> and Supplementary Figure </w:t>
      </w:r>
      <w:r w:rsidR="00B650EB">
        <w:t>1</w:t>
      </w:r>
      <w:r w:rsidR="005902F2" w:rsidRPr="00AC73A1">
        <w:t>)</w:t>
      </w:r>
      <w:r w:rsidR="00F84E39">
        <w:t xml:space="preserve">, </w:t>
      </w:r>
      <w:r w:rsidR="00A137B9">
        <w:t>except for</w:t>
      </w:r>
      <w:r w:rsidR="00F91740">
        <w:t xml:space="preserve"> intentional injuries</w:t>
      </w:r>
      <w:r w:rsidR="0008287A">
        <w:t xml:space="preserve"> and substance use disorders</w:t>
      </w:r>
      <w:r w:rsidR="00534D44">
        <w:t xml:space="preserve">. </w:t>
      </w:r>
      <w:r w:rsidR="005861BC">
        <w:t>D</w:t>
      </w:r>
      <w:r w:rsidR="00B91368" w:rsidRPr="00AC73A1">
        <w:t>eaths from cardio</w:t>
      </w:r>
      <w:r w:rsidR="0029208D" w:rsidRPr="00AC73A1">
        <w:t>respiratory</w:t>
      </w:r>
      <w:r w:rsidR="00B91368" w:rsidRPr="00AC73A1">
        <w:t xml:space="preserve"> </w:t>
      </w:r>
      <w:r w:rsidR="00DE001B">
        <w:t>diseases</w:t>
      </w:r>
      <w:r w:rsidR="00AB2FE3">
        <w:t>,</w:t>
      </w:r>
      <w:r w:rsidR="005861BC">
        <w:t xml:space="preserve"> and </w:t>
      </w:r>
      <w:r w:rsidR="00AB2FE3">
        <w:t xml:space="preserve">within it </w:t>
      </w:r>
      <w:r w:rsidR="005861BC">
        <w:t>respiratory infections</w:t>
      </w:r>
      <w:r w:rsidR="00AB2FE3">
        <w:t>,</w:t>
      </w:r>
      <w:r w:rsidR="00B91368" w:rsidRPr="00AC73A1">
        <w:t xml:space="preserve"> exhibited seasonality </w:t>
      </w:r>
      <w:r w:rsidR="0029208D" w:rsidRPr="00AC73A1">
        <w:t>throughout the life-course</w:t>
      </w:r>
      <w:r w:rsidR="00F571CA">
        <w:t xml:space="preserve"> (p-values&lt;0.03</w:t>
      </w:r>
      <w:r w:rsidR="00BC4DF1">
        <w:t>)</w:t>
      </w:r>
      <w:r w:rsidR="00F571CA">
        <w:t xml:space="preserve"> except for </w:t>
      </w:r>
      <w:r w:rsidR="00BB7524">
        <w:t>males</w:t>
      </w:r>
      <w:r w:rsidR="00F571CA">
        <w:t xml:space="preserve"> aged 5-</w:t>
      </w:r>
      <w:r w:rsidR="00BB7524">
        <w:t>2</w:t>
      </w:r>
      <w:r w:rsidR="00F571CA">
        <w:t>4</w:t>
      </w:r>
      <w:r w:rsidR="00BB7524">
        <w:t xml:space="preserve"> years and females aged 15-24 years</w:t>
      </w:r>
      <w:r w:rsidR="00F571CA">
        <w:t xml:space="preserve"> (</w:t>
      </w:r>
      <w:r w:rsidR="00C808A2">
        <w:t>p-value</w:t>
      </w:r>
      <w:r w:rsidR="00BB7524">
        <w:t>s&gt;</w:t>
      </w:r>
      <w:r w:rsidR="00F571CA">
        <w:t>0.11)</w:t>
      </w:r>
      <w:r w:rsidR="00F56EE5" w:rsidRPr="00AC73A1">
        <w:t xml:space="preserve">. </w:t>
      </w:r>
      <w:r w:rsidR="004C1040" w:rsidRPr="00AC73A1">
        <w:t>In addition to older ages,</w:t>
      </w:r>
      <w:r w:rsidR="00B91368" w:rsidRPr="00AC73A1">
        <w:t xml:space="preserve"> </w:t>
      </w:r>
      <w:r w:rsidRPr="00AC73A1">
        <w:t>injur</w:t>
      </w:r>
      <w:r>
        <w:t>y deaths</w:t>
      </w:r>
      <w:r w:rsidRPr="00AC73A1">
        <w:t xml:space="preserve"> </w:t>
      </w:r>
      <w:r w:rsidR="005902F2" w:rsidRPr="00AC73A1">
        <w:t xml:space="preserve">were seasonal from childhood through </w:t>
      </w:r>
      <w:r w:rsidR="00A01E9E" w:rsidRPr="00AC73A1">
        <w:t>4</w:t>
      </w:r>
      <w:r w:rsidR="005902F2" w:rsidRPr="00AC73A1">
        <w:t xml:space="preserve">4 years in women and </w:t>
      </w:r>
      <w:r w:rsidR="0016500A">
        <w:t xml:space="preserve">through </w:t>
      </w:r>
      <w:r w:rsidR="00A01E9E" w:rsidRPr="00AC73A1">
        <w:t>6</w:t>
      </w:r>
      <w:r w:rsidR="005902F2" w:rsidRPr="00AC73A1">
        <w:t>4 years in men</w:t>
      </w:r>
      <w:r w:rsidR="00ED7523">
        <w:t xml:space="preserve"> (</w:t>
      </w:r>
      <w:r w:rsidR="00C808A2">
        <w:t>p-value</w:t>
      </w:r>
      <w:r w:rsidR="00ED7523">
        <w:t>s</w:t>
      </w:r>
      <w:r w:rsidR="005918BD">
        <w:t>&lt;0.08</w:t>
      </w:r>
      <w:r w:rsidR="00006DCD">
        <w:t>)</w:t>
      </w:r>
      <w:r w:rsidR="005902F2" w:rsidRPr="00AC73A1">
        <w:t>.</w:t>
      </w:r>
      <w:r w:rsidR="00E228F7">
        <w:t xml:space="preserve"> </w:t>
      </w:r>
      <w:r w:rsidR="009D7307">
        <w:t>U</w:t>
      </w:r>
      <w:r w:rsidR="00D72846">
        <w:t>nintentional injuries drove</w:t>
      </w:r>
      <w:r w:rsidR="00F064A9">
        <w:t xml:space="preserve"> the seasonality</w:t>
      </w:r>
      <w:r w:rsidR="00365ECB">
        <w:t xml:space="preserve"> of injury deaths</w:t>
      </w:r>
      <w:r w:rsidR="00F064A9">
        <w:t xml:space="preserve"> for females, </w:t>
      </w:r>
      <w:r w:rsidR="00EA7170">
        <w:t>whereas</w:t>
      </w:r>
      <w:r w:rsidR="00BB30BA">
        <w:t xml:space="preserve"> </w:t>
      </w:r>
      <w:r w:rsidR="00EA7170">
        <w:t>b</w:t>
      </w:r>
      <w:r w:rsidR="00263A68">
        <w:t xml:space="preserve">oth unintentional and </w:t>
      </w:r>
      <w:r w:rsidR="00D7104C">
        <w:t xml:space="preserve">intentional injuries </w:t>
      </w:r>
      <w:r w:rsidR="00EA7170">
        <w:t xml:space="preserve">were seasonal in </w:t>
      </w:r>
      <w:r w:rsidR="00172987">
        <w:t>males</w:t>
      </w:r>
      <w:r>
        <w:t xml:space="preserve"> in most ages</w:t>
      </w:r>
      <w:r w:rsidR="00A11860">
        <w:t xml:space="preserve">, </w:t>
      </w:r>
      <w:proofErr w:type="gramStart"/>
      <w:r w:rsidR="00EA7170">
        <w:t>with the exception of</w:t>
      </w:r>
      <w:proofErr w:type="gramEnd"/>
      <w:r w:rsidR="00EA7170">
        <w:t xml:space="preserve"> </w:t>
      </w:r>
      <w:r w:rsidR="00A11860">
        <w:t xml:space="preserve">below 15 years and </w:t>
      </w:r>
      <w:r w:rsidR="00EA7170">
        <w:t xml:space="preserve">above </w:t>
      </w:r>
      <w:r w:rsidR="00A11860">
        <w:t>85</w:t>
      </w:r>
      <w:r w:rsidR="00EA7170">
        <w:t xml:space="preserve"> years</w:t>
      </w:r>
      <w:r w:rsidR="009D7307">
        <w:t xml:space="preserve"> </w:t>
      </w:r>
      <w:r>
        <w:t xml:space="preserve">when intentional injuries were not seasonal </w:t>
      </w:r>
      <w:r w:rsidR="009D7307">
        <w:t xml:space="preserve">(Supplementary Figure </w:t>
      </w:r>
      <w:r w:rsidR="00F62012">
        <w:t>1</w:t>
      </w:r>
      <w:r w:rsidR="009D7307" w:rsidRPr="00996AD4">
        <w:t>)</w:t>
      </w:r>
      <w:r w:rsidR="00D7104C">
        <w:t>.</w:t>
      </w:r>
      <w:r w:rsidR="00365ECB">
        <w:t xml:space="preserve"> </w:t>
      </w:r>
      <w:r w:rsidR="00BB7524">
        <w:t>Consistent s</w:t>
      </w:r>
      <w:r w:rsidR="00BB7524" w:rsidRPr="00AC73A1">
        <w:t xml:space="preserve">easonality </w:t>
      </w:r>
      <w:r w:rsidR="00906223" w:rsidRPr="00AC73A1">
        <w:t xml:space="preserve">in cancer deaths only appeared after </w:t>
      </w:r>
      <w:r w:rsidR="00761F77">
        <w:t>5</w:t>
      </w:r>
      <w:r w:rsidR="00906223" w:rsidRPr="00AC73A1">
        <w:t>5 years of age</w:t>
      </w:r>
      <w:r w:rsidR="00761F77">
        <w:t xml:space="preserve"> (</w:t>
      </w:r>
      <w:r w:rsidR="00C808A2">
        <w:t>p-value</w:t>
      </w:r>
      <w:r w:rsidR="00761F77">
        <w:t>s&lt;</w:t>
      </w:r>
      <w:r w:rsidR="001A373C">
        <w:t>0.04)</w:t>
      </w:r>
      <w:r w:rsidR="00906223">
        <w:t xml:space="preserve">. </w:t>
      </w:r>
      <w:r w:rsidR="00AC55DD" w:rsidRPr="00996AD4">
        <w:t xml:space="preserve">No </w:t>
      </w:r>
      <w:r w:rsidR="00FF4E42" w:rsidRPr="00996AD4">
        <w:t xml:space="preserve">consistent </w:t>
      </w:r>
      <w:r w:rsidR="00D72846">
        <w:t>seasonality wa</w:t>
      </w:r>
      <w:r w:rsidR="00AC55DD" w:rsidRPr="00996AD4">
        <w:t xml:space="preserve">s evident in maternal conditions </w:t>
      </w:r>
      <w:r w:rsidR="00FF4E42" w:rsidRPr="00996AD4">
        <w:t xml:space="preserve">or substance use disorders </w:t>
      </w:r>
      <w:r w:rsidR="00001E52">
        <w:t xml:space="preserve">(Supplementary Figure </w:t>
      </w:r>
      <w:r w:rsidR="00F62012">
        <w:t>1</w:t>
      </w:r>
      <w:r w:rsidR="00FF4E42" w:rsidRPr="00996AD4">
        <w:t>)</w:t>
      </w:r>
      <w:r w:rsidR="005872FC">
        <w:t xml:space="preserve">. </w:t>
      </w:r>
    </w:p>
    <w:p w14:paraId="5602C6E0" w14:textId="088B69B7" w:rsidR="000210D1" w:rsidRPr="00AC73A1" w:rsidRDefault="005872FC" w:rsidP="00365ECB">
      <w:pPr>
        <w:spacing w:line="480" w:lineRule="auto"/>
        <w:jc w:val="both"/>
      </w:pPr>
      <w:r w:rsidDel="005872FC">
        <w:rPr>
          <w:rStyle w:val="CommentReference"/>
          <w:rFonts w:asciiTheme="minorHAnsi" w:hAnsiTheme="minorHAnsi" w:cstheme="minorBidi"/>
          <w:lang w:eastAsia="en-US"/>
        </w:rPr>
        <w:lastRenderedPageBreak/>
        <w:t xml:space="preserve"> </w:t>
      </w:r>
    </w:p>
    <w:p w14:paraId="3B88980A" w14:textId="4575AA8B" w:rsidR="007846F4" w:rsidRDefault="008A2A47" w:rsidP="00C33FFB">
      <w:pPr>
        <w:spacing w:line="480" w:lineRule="auto"/>
        <w:jc w:val="both"/>
      </w:pPr>
      <w:r>
        <w:t>Centre of gravity analysis showed that d</w:t>
      </w:r>
      <w:r w:rsidR="008166AA" w:rsidRPr="00AC73A1">
        <w:t xml:space="preserve">eath rates in men </w:t>
      </w:r>
      <w:r w:rsidRPr="00AC73A1">
        <w:t>aged ≥</w:t>
      </w:r>
      <w:r>
        <w:t>4</w:t>
      </w:r>
      <w:r w:rsidRPr="00AC73A1">
        <w:t xml:space="preserve">5 years </w:t>
      </w:r>
      <w:r w:rsidR="008166AA" w:rsidRPr="00AC73A1">
        <w:t xml:space="preserve">and women aged ≥35 years peaked in </w:t>
      </w:r>
      <w:r w:rsidR="00280DF1">
        <w:t xml:space="preserve">December, </w:t>
      </w:r>
      <w:r w:rsidR="008166AA" w:rsidRPr="00AC73A1">
        <w:t xml:space="preserve">January </w:t>
      </w:r>
      <w:r w:rsidR="00280DF1">
        <w:t>or</w:t>
      </w:r>
      <w:r w:rsidR="00280DF1" w:rsidRPr="00AC73A1">
        <w:t xml:space="preserve"> </w:t>
      </w:r>
      <w:r w:rsidR="008166AA" w:rsidRPr="00AC73A1">
        <w:t>February and were lowest in June</w:t>
      </w:r>
      <w:r w:rsidR="00E20480">
        <w:t xml:space="preserve"> to </w:t>
      </w:r>
      <w:r w:rsidR="008166AA" w:rsidRPr="00AC73A1">
        <w:t>August, for all-cause mortality</w:t>
      </w:r>
      <w:r w:rsidR="00FD6D1A">
        <w:t xml:space="preserve"> </w:t>
      </w:r>
      <w:r w:rsidR="008166AA" w:rsidRPr="00AC73A1">
        <w:t>as well as for</w:t>
      </w:r>
      <w:r w:rsidR="008166AA">
        <w:t xml:space="preserve"> all non-injury</w:t>
      </w:r>
      <w:r>
        <w:t xml:space="preserve"> and non-maternal</w:t>
      </w:r>
      <w:r w:rsidR="008166AA">
        <w:t xml:space="preserve"> causes</w:t>
      </w:r>
      <w:r w:rsidR="008166AA" w:rsidRPr="00AC73A1">
        <w:t xml:space="preserve"> of death</w:t>
      </w:r>
      <w:r w:rsidR="008166AA">
        <w:t xml:space="preserve"> (</w:t>
      </w:r>
      <w:r w:rsidR="009207F1">
        <w:t xml:space="preserve">Figure 3 and </w:t>
      </w:r>
      <w:r w:rsidR="008166AA">
        <w:t xml:space="preserve">Supplementary Figure </w:t>
      </w:r>
      <w:r w:rsidR="00B53CC1">
        <w:t>2</w:t>
      </w:r>
      <w:r w:rsidR="008166AA">
        <w:t>).</w:t>
      </w:r>
      <w:r w:rsidR="00AD28C9">
        <w:t xml:space="preserve"> </w:t>
      </w:r>
      <w:r w:rsidR="0069659E">
        <w:t>D</w:t>
      </w:r>
      <w:r w:rsidR="008D5D97">
        <w:t xml:space="preserve">eaths from </w:t>
      </w:r>
      <w:r w:rsidR="0069659E">
        <w:t xml:space="preserve">cardiorespiratory </w:t>
      </w:r>
      <w:r w:rsidR="00DE001B">
        <w:t>diseases</w:t>
      </w:r>
      <w:r w:rsidR="0069659E">
        <w:t xml:space="preserve">, including </w:t>
      </w:r>
      <w:r w:rsidR="008D5D97">
        <w:t>cardiovascular diseases</w:t>
      </w:r>
      <w:r w:rsidR="00681718">
        <w:t>,</w:t>
      </w:r>
      <w:r w:rsidR="008D5D97">
        <w:t xml:space="preserve"> </w:t>
      </w:r>
      <w:r w:rsidR="0069659E">
        <w:t xml:space="preserve">chronic respiratory diseases </w:t>
      </w:r>
      <w:r w:rsidR="008D5D97">
        <w:t>and respiratory infections</w:t>
      </w:r>
      <w:r w:rsidR="0069659E">
        <w:t>,</w:t>
      </w:r>
      <w:r w:rsidR="008D5D97">
        <w:t xml:space="preserve"> were </w:t>
      </w:r>
      <w:r w:rsidR="0069659E">
        <w:t xml:space="preserve">also </w:t>
      </w:r>
      <w:r w:rsidR="008D5D97">
        <w:t xml:space="preserve">consistently highest in January and February and lowest in July and August across </w:t>
      </w:r>
      <w:r w:rsidR="0069659E">
        <w:t xml:space="preserve">all </w:t>
      </w:r>
      <w:r w:rsidR="008D5D97">
        <w:t>ages</w:t>
      </w:r>
      <w:r w:rsidR="0069659E">
        <w:t>, except for chronic respiratory diseases</w:t>
      </w:r>
      <w:r w:rsidR="008D5D97">
        <w:t xml:space="preserve"> </w:t>
      </w:r>
      <w:r w:rsidR="008F4745">
        <w:t xml:space="preserve">in </w:t>
      </w:r>
      <w:r w:rsidR="00C36F42">
        <w:t>age</w:t>
      </w:r>
      <w:r w:rsidR="00304F47">
        <w:t>s</w:t>
      </w:r>
      <w:r w:rsidR="00C36F42">
        <w:t xml:space="preserve"> </w:t>
      </w:r>
      <w:r w:rsidR="008F4745">
        <w:t>5-24 years</w:t>
      </w:r>
      <w:r w:rsidR="00C36F42">
        <w:t xml:space="preserve"> where there are few deaths from this cause leading to unstable estimates (p-value</w:t>
      </w:r>
      <w:r w:rsidR="001A5458">
        <w:t>s</w:t>
      </w:r>
      <w:r w:rsidR="00C36F42">
        <w:t xml:space="preserve"> for seasonality </w:t>
      </w:r>
      <w:r w:rsidR="000008D7">
        <w:t xml:space="preserve">from wavelet analysis </w:t>
      </w:r>
      <w:r w:rsidR="00E33674">
        <w:t>ranged from 0.35 to 0.49 for these ages</w:t>
      </w:r>
      <w:r w:rsidR="008D5D97">
        <w:t xml:space="preserve">). </w:t>
      </w:r>
      <w:r w:rsidR="000210D1" w:rsidRPr="00AC73A1">
        <w:t xml:space="preserve">A similar temporal pattern was seen </w:t>
      </w:r>
      <w:r w:rsidR="00F44160" w:rsidRPr="00AC73A1">
        <w:t>for all-cause</w:t>
      </w:r>
      <w:r w:rsidR="00122F91">
        <w:t xml:space="preserve"> and non-injury</w:t>
      </w:r>
      <w:r w:rsidR="00F44160" w:rsidRPr="00AC73A1">
        <w:t xml:space="preserve"> mortality </w:t>
      </w:r>
      <w:r w:rsidR="000210D1"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000210D1" w:rsidRPr="00AC73A1">
        <w:t>was highest in February and lowest in August</w:t>
      </w:r>
      <w:r w:rsidR="00F44160" w:rsidRPr="00AC73A1">
        <w:t>. In contrast</w:t>
      </w:r>
      <w:r w:rsidR="009D7307">
        <w:t>,</w:t>
      </w:r>
      <w:r w:rsidR="00F44160" w:rsidRPr="00AC73A1">
        <w:t xml:space="preserve"> </w:t>
      </w:r>
      <w:r w:rsidR="009D7307">
        <w:t>a</w:t>
      </w:r>
      <w:r w:rsidR="009D7307" w:rsidRPr="00AC73A1">
        <w:t xml:space="preserve">mong </w:t>
      </w:r>
      <w:r w:rsidR="009D7307">
        <w:t xml:space="preserve">males aged </w:t>
      </w:r>
      <w:r w:rsidR="004B6375">
        <w:t>5</w:t>
      </w:r>
      <w:r w:rsidR="009D7307">
        <w:t>-</w:t>
      </w:r>
      <w:r w:rsidR="004B6375">
        <w:t>34</w:t>
      </w:r>
      <w:r w:rsidR="009D7307">
        <w:t xml:space="preserve"> years</w:t>
      </w:r>
      <w:r w:rsidR="009D7307" w:rsidRPr="00AC73A1">
        <w:t xml:space="preserve">, all-cause mortality </w:t>
      </w:r>
      <w:r w:rsidR="009D7307">
        <w:t>peaked in June or July</w:t>
      </w:r>
      <w:r w:rsidR="006C06A0">
        <w:t>, as did deaths from injuries</w:t>
      </w:r>
      <w:r w:rsidR="00C708B9">
        <w:t xml:space="preserve">, which generally </w:t>
      </w:r>
      <w:r w:rsidR="006C06A0">
        <w:t>had a summer peak in</w:t>
      </w:r>
      <w:r w:rsidR="007846F4">
        <w:t xml:space="preserve"> </w:t>
      </w:r>
      <w:r w:rsidR="00C708B9">
        <w:t>males and females</w:t>
      </w:r>
      <w:r w:rsidR="007846F4">
        <w:t xml:space="preserve"> </w:t>
      </w:r>
      <w:r w:rsidR="000A68FE">
        <w:t>below</w:t>
      </w:r>
      <w:r w:rsidR="007846F4">
        <w:t xml:space="preserve"> </w:t>
      </w:r>
      <w:r w:rsidR="00A83448">
        <w:t xml:space="preserve">45 </w:t>
      </w:r>
      <w:r w:rsidR="007846F4">
        <w:t xml:space="preserve">years </w:t>
      </w:r>
      <w:r w:rsidR="000A68FE">
        <w:t>of age</w:t>
      </w:r>
      <w:r w:rsidR="007846F4">
        <w:t>.</w:t>
      </w:r>
    </w:p>
    <w:p w14:paraId="7C840BD3" w14:textId="77777777" w:rsidR="00BE6B38" w:rsidRPr="00AC73A1" w:rsidRDefault="00BE6B38" w:rsidP="00C33FFB">
      <w:pPr>
        <w:spacing w:line="480" w:lineRule="auto"/>
        <w:jc w:val="both"/>
      </w:pPr>
    </w:p>
    <w:p w14:paraId="13C55760" w14:textId="03FD81D0" w:rsidR="009069BE" w:rsidRPr="00AC73A1" w:rsidRDefault="0086062E" w:rsidP="00C33FFB">
      <w:pPr>
        <w:spacing w:line="480" w:lineRule="auto"/>
        <w:jc w:val="both"/>
      </w:pPr>
      <w:r w:rsidRPr="00AC73A1">
        <w:t>From 1980 to 201</w:t>
      </w:r>
      <w:r w:rsidR="007F5916">
        <w:t>6</w:t>
      </w:r>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(by less than eight percentage points</w:t>
      </w:r>
      <w:r w:rsidR="003B4543" w:rsidRPr="003B4543">
        <w:t xml:space="preserve"> </w:t>
      </w:r>
      <w:r w:rsidR="003B4543">
        <w:t>with p-values for declining trend&gt;0.1</w:t>
      </w:r>
      <w:r w:rsidR="00E40247" w:rsidRPr="00AC73A1">
        <w:t>)</w:t>
      </w:r>
      <w:r w:rsidR="009B509E" w:rsidRPr="00AC73A1">
        <w:t xml:space="preserve"> </w:t>
      </w:r>
      <w:r w:rsidR="000210D1" w:rsidRPr="00AC73A1">
        <w:t xml:space="preserve">(Figure </w:t>
      </w:r>
      <w:r w:rsidR="00040FE5" w:rsidRPr="00AC73A1">
        <w:t>4</w:t>
      </w:r>
      <w:r w:rsidR="00EF58F0" w:rsidRPr="00AC73A1">
        <w:t xml:space="preserve">). </w:t>
      </w:r>
      <w:r w:rsidR="000210D1" w:rsidRPr="00AC73A1">
        <w:t xml:space="preserve">In contrast, the difference between peak (summer) and minimum (winter) </w:t>
      </w:r>
      <w:r w:rsidR="005866BD" w:rsidRPr="00AC73A1">
        <w:t xml:space="preserve">death rates </w:t>
      </w:r>
      <w:r w:rsidR="000210D1" w:rsidRPr="00AC73A1">
        <w:t xml:space="preserve">declined 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386C88">
        <w:t xml:space="preserve"> (</w:t>
      </w:r>
      <w:r w:rsidR="00C808A2">
        <w:t>p-value</w:t>
      </w:r>
      <w:r w:rsidR="006D1A4D">
        <w:t>s</w:t>
      </w:r>
      <w:r w:rsidR="00386C88">
        <w:t>&lt;0.01</w:t>
      </w:r>
      <w:r w:rsidR="00E0772F">
        <w:t>)</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13 percentage points (</w:t>
      </w:r>
      <w:r w:rsidR="00C808A2">
        <w:t>p-value</w:t>
      </w:r>
      <w:r w:rsidR="00A3089D">
        <w:t>&lt;0.01</w:t>
      </w:r>
      <w:r w:rsidR="000210D1" w:rsidRPr="00AC73A1">
        <w:t>) for boys but only 5 percentage points (</w:t>
      </w:r>
      <w:r w:rsidR="00C808A2">
        <w:t>p-value</w:t>
      </w:r>
      <w:r w:rsidR="008939CE">
        <w:t>=0.12</w:t>
      </w:r>
      <w:r w:rsidR="000210D1" w:rsidRPr="00AC73A1">
        <w:t>)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w:t>
      </w:r>
      <w:r w:rsidR="00DE001B">
        <w:t xml:space="preserve">diseases </w:t>
      </w:r>
      <w:r w:rsidR="009B11D1" w:rsidRPr="00AC73A1">
        <w:t xml:space="preserve">deaths and increasing summer-winter </w:t>
      </w:r>
      <w:r w:rsidR="009B11D1" w:rsidRPr="00AC73A1">
        <w:lastRenderedPageBreak/>
        <w:t>difference in injury deaths</w:t>
      </w:r>
      <w:r w:rsidR="00564D58">
        <w:t xml:space="preserve">, itself driven by increasing difference in non-intentional injuries </w:t>
      </w:r>
      <w:r w:rsidR="00576EFD">
        <w:t xml:space="preserve">(Supplementary Figure </w:t>
      </w:r>
      <w:r w:rsidR="007F5135">
        <w:t>3</w:t>
      </w:r>
      <w:r w:rsidR="00B34D22">
        <w:t>).</w:t>
      </w:r>
      <w:r w:rsidR="00A833D2">
        <w:t xml:space="preserve"> </w:t>
      </w:r>
      <w:r w:rsidR="005C3CBC">
        <w:t xml:space="preserve">Within the cardiorespiratory </w:t>
      </w:r>
      <w:r w:rsidR="00DE001B">
        <w:t xml:space="preserve">diseases </w:t>
      </w:r>
      <w:r w:rsidR="005C3CBC">
        <w:t>cluster in under-five children, percent difference declined for cardiorespiratory</w:t>
      </w:r>
      <w:r w:rsidR="00DE001B">
        <w:t xml:space="preserve"> diseases</w:t>
      </w:r>
      <w:r w:rsidR="005C3CBC">
        <w:t xml:space="preserve">, cardiovascular diseases, and chronic respiratory diseases </w:t>
      </w:r>
      <w:r w:rsidR="00BC5573">
        <w:t>while</w:t>
      </w:r>
      <w:r w:rsidR="005C3CBC">
        <w:t xml:space="preserve"> increas</w:t>
      </w:r>
      <w:r w:rsidR="00BC5573">
        <w:t>ing</w:t>
      </w:r>
      <w:r w:rsidR="005C3CBC">
        <w:t xml:space="preserve"> for respiratory infections</w:t>
      </w:r>
      <w:r w:rsidR="0049494F">
        <w:t>.</w:t>
      </w:r>
    </w:p>
    <w:p w14:paraId="102D6F4D" w14:textId="77777777" w:rsidR="000210D1" w:rsidRPr="00AC73A1" w:rsidRDefault="000210D1" w:rsidP="00C33FFB">
      <w:pPr>
        <w:spacing w:line="480" w:lineRule="auto"/>
        <w:jc w:val="both"/>
      </w:pPr>
    </w:p>
    <w:p w14:paraId="6A559C4E" w14:textId="781A989E" w:rsidR="000B343F" w:rsidRDefault="009B11D1" w:rsidP="00C33FFB">
      <w:pPr>
        <w:spacing w:line="480" w:lineRule="auto"/>
        <w:jc w:val="both"/>
      </w:pPr>
      <w:r w:rsidRPr="00AC73A1">
        <w:t>The sub</w:t>
      </w:r>
      <w:r w:rsidR="000210D1" w:rsidRPr="00AC73A1">
        <w:t xml:space="preserve">national </w:t>
      </w:r>
      <w:r w:rsidR="006630ED" w:rsidRPr="00AC73A1">
        <w:t>centre</w:t>
      </w:r>
      <w:r w:rsidR="000210D1" w:rsidRPr="00AC73A1">
        <w:t xml:space="preserve"> of gravity analysis </w:t>
      </w:r>
      <w:r w:rsidR="0027631A" w:rsidRPr="00AC73A1">
        <w:t>show</w:t>
      </w:r>
      <w:r w:rsidR="0027631A">
        <w:t>ed</w:t>
      </w:r>
      <w:r w:rsidR="0027631A" w:rsidRPr="00AC73A1">
        <w:t xml:space="preserve"> </w:t>
      </w:r>
      <w:r w:rsidR="000210D1" w:rsidRPr="00AC73A1">
        <w:t xml:space="preserve">that </w:t>
      </w:r>
      <w:r w:rsidR="000B343F" w:rsidRPr="00AC73A1">
        <w:t xml:space="preserve">all-cause </w:t>
      </w:r>
      <w:r w:rsidR="000210D1" w:rsidRPr="00AC73A1">
        <w:t xml:space="preserve">mortality peaks and minima in different climate regions are consistent with the national ones (Figure </w:t>
      </w:r>
      <w:r w:rsidR="00040FE5" w:rsidRPr="00AC73A1">
        <w:t>5</w:t>
      </w:r>
      <w:r w:rsidR="000210D1" w:rsidRPr="00AC73A1">
        <w:t>), indicating the seasonality is largely independent of geography. The relative homogeneity of the timing of 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040FE5" w:rsidRPr="00AC73A1">
        <w:t>6</w:t>
      </w:r>
      <w:r w:rsidR="000210D1" w:rsidRPr="00AC73A1">
        <w:t xml:space="preserve">). </w:t>
      </w:r>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79E24A0B"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A limitation of our study is that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468B231A" w:rsidR="000210D1" w:rsidRPr="00AC73A1" w:rsidRDefault="00C04B90" w:rsidP="00C33FFB">
      <w:pPr>
        <w:spacing w:line="480" w:lineRule="auto"/>
        <w:jc w:val="both"/>
      </w:pPr>
      <w:r w:rsidRPr="00AC73A1">
        <w:lastRenderedPageBreak/>
        <w:t>W</w:t>
      </w:r>
      <w:r w:rsidR="00DF62BA" w:rsidRPr="00AC73A1">
        <w:t xml:space="preserve">e used wavelet and </w:t>
      </w:r>
      <w:r w:rsidR="0075546D" w:rsidRPr="00AC73A1">
        <w:t>centre</w:t>
      </w:r>
      <w:r w:rsidR="00DF62BA" w:rsidRPr="00AC73A1">
        <w:t xml:space="preserve"> of gravity analyses, which allowed systematically identifying and </w:t>
      </w:r>
      <w:r w:rsidR="00F557A4" w:rsidRPr="00AC73A1">
        <w:t>characterizing</w:t>
      </w:r>
      <w:r w:rsidR="00DF62BA" w:rsidRPr="00AC73A1">
        <w:t xml:space="preserve"> seasonality</w:t>
      </w:r>
      <w:r w:rsidR="002B3737" w:rsidRPr="00AC73A1">
        <w:t xml:space="preserve"> of total and cause-specific mortality in the USA, </w:t>
      </w:r>
      <w:r w:rsidR="00B133D1">
        <w:t>and</w:t>
      </w:r>
      <w:r w:rsidR="002B3737" w:rsidRPr="00AC73A1">
        <w:t xml:space="preserve">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CE3481">
        <w:t>patterns</w:t>
      </w:r>
      <w:r w:rsidR="000210D1" w:rsidRPr="00AC73A1">
        <w:t xml:space="preserve"> in relation to age and sex, including higher </w:t>
      </w:r>
      <w:r w:rsidR="0089237F">
        <w:t xml:space="preserve">all-cause </w:t>
      </w:r>
      <w:r w:rsidR="000210D1" w:rsidRPr="00AC73A1">
        <w:t>summer mortality in young men</w:t>
      </w:r>
      <w:r w:rsidR="00C1470A" w:rsidRPr="00AC73A1">
        <w:t xml:space="preserve"> </w:t>
      </w:r>
      <w:r w:rsidR="00AB66EA"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Diagram","type":"book"},"uris":["http://www.mendeley.com/documents/?uuid=e0c81d53-6ad6-40c1-935d-e122c89bb8f6"]}],"mendeley":{"formattedCitation":"(Feinstein, 2002; Rau et al., 2018)","plainTextFormattedCitation":"(Feinstein, 2002; Rau et al., 2018)","previouslyFormattedCitation":"(Feinstein, 2002; Rau et al., 2018)"},"properties":{"noteIndex":0},"schema":"https://github.com/citation-style-language/schema/raw/master/csl-citation.json"}</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fixed to pre-specified frequen</w:t>
      </w:r>
      <w:bookmarkStart w:id="0" w:name="_GoBack"/>
      <w:r w:rsidR="000210D1" w:rsidRPr="00AC73A1">
        <w:t>ci</w:t>
      </w:r>
      <w:bookmarkEnd w:id="0"/>
      <w:r w:rsidR="000210D1" w:rsidRPr="00AC73A1">
        <w:t xml:space="preserve">es. </w:t>
      </w:r>
    </w:p>
    <w:p w14:paraId="64DA09E3" w14:textId="77777777" w:rsidR="00D97444" w:rsidRPr="00AC73A1" w:rsidRDefault="00D97444" w:rsidP="000B343F">
      <w:pPr>
        <w:spacing w:line="480" w:lineRule="auto"/>
        <w:jc w:val="both"/>
      </w:pPr>
    </w:p>
    <w:p w14:paraId="114E4BEA" w14:textId="612EC5B6"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id":"ITEM-4","itemData":{"DOI":"10.4054/DemRes.2002.6.17","ISSN":"14359871","author":[{"dropping-particle":"","family":"Feinstein","given":"Craig A.","non-dropping-particle":"","parse-names":false,"suffix":""}],"container-title":"Demographic Research","id":"ITEM-4","issued":{"date-parts":[["2002"]]},"page":"469-486","title":"Seasonality of deaths in the U.S. by age and cause","type":"article-journal","volume":"6"},"uris":["http://www.mendeley.com/documents/?uuid=e0a30cb0-f37e-4639-b84c-def2337e8c99"]},{"id":"ITEM-5","itemData":{"DOI":"10.1001/jama.1997.03550120072036","ISSN":"0098-7484","author":[{"dropping-particle":"","family":"Seretakis","given":"Dimitrios","non-dropping-particle":"","parse-names":false,"suffix":""}],"container-title":"JAMA: The Journal of the American Medical Association","id":"ITEM-5","issue":"12","issued":{"date-parts":[["1997"]]},"page":"1012","title":"Changing Seasonality of Mortality From Coronary Heart Disease","type":"article-journal","volume":"278"},"uris":["http://www.mendeley.com/documents/?uuid=f8f1d39a-cba5-4b07-8183-8e346932439a"]},{"id":"ITEM-6","itemData":{"DOI":"10.1371/journal.pone.0063971","ISBN":"1932-6203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ONE","id":"ITEM-6","issue":"5","issued":{"date-parts":[["2013"]]},"title":"Regional Similarities in Seasonal Mortality across the United States: An Examination of 28 Metropolitan Statistical Areas","type":"article-journal","volume":"8"},"uris":["http://www.mendeley.com/documents/?uuid=50b74cb8-33dd-4519-ac6d-9a36289002e0"]}],"mendeley":{"formattedCitation":"(Feinstein, 2002; Kalkstein, 2013; Rau, 2004; Rau et al., 2018; Rosenwaike, 1966; Seretakis, 1997)","plainTextFormattedCitation":"(Feinstein, 2002; Kalkstein, 2013; Rau, 2004; Rau et al., 2018; Rosenwaike, 1966; Seretakis, 1997)","previouslyFormattedCitation":"(Feinstein, 2002; Kalkstein, 2013; Rau, 2004; Rau et al., 2018; Rosenwaike, 1966; Seretakis, 1997)"},"properties":{"noteIndex":0},"schema":"https://github.com/citation-style-language/schema/raw/master/csl-citation.json"}</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w:t>
      </w:r>
      <w:r w:rsidR="00DE001B">
        <w:t xml:space="preserve">diseases </w:t>
      </w:r>
      <w:r w:rsidR="00EB2ED6" w:rsidRPr="00AC73A1">
        <w:t xml:space="preserve">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C950B8">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Diagram","type":"book"},"uris":["http://www.mendeley.com/documents/?uuid=e0c81d53-6ad6-40c1-935d-e122c89bb8f6"]},{"id":"ITEM-3","itemData":{"DOI":"10.4054/DemRes.2002.6.17","ISSN":"14359871","author":[{"dropping-particle":"","family":"Feinstein","given":"Craig A.","non-dropping-particle":"","parse-names":false,"suffix":""}],"container-title":"Demographic Research","id":"ITEM-3","issued":{"date-parts":[["2002"]]},"page":"469-486","title":"Seasonality of deaths in the U.S. by age and cause","type":"article-journal","volume":"6"},"uris":["http://www.mendeley.com/documents/?uuid=e0a30cb0-f37e-4639-b84c-def2337e8c99"]},{"id":"ITEM-4","itemData":{"DOI":"10.1001/jama.1997.03550120072036","ISSN":"0098-7484","author":[{"dropping-particle":"","family":"Seretakis","given":"Dimitrios","non-dropping-particle":"","parse-names":false,"suffix":""}],"container-title":"JAMA: The Journal of the American Medical Association","id":"ITEM-4","issue":"12","issued":{"date-parts":[["1997"]]},"page":"1012","title":"Changing Seasonality of Mortality From Coronary Heart Disease","type":"article-journal","volume":"278"},"uris":["http://www.mendeley.com/documents/?uuid=f8f1d39a-cba5-4b07-8183-8e346932439a"]}],"mendeley":{"formattedCitation":"(Feinstein, 2002; Rau et al., 2018; Rosenwaike, 1966; Seretakis, 1997)","plainTextFormattedCitation":"(Feinstein, 2002; Rau et al., 2018; Rosenwaike, 1966; Seretakis, 1997)","previouslyFormattedCitation":"(Feinstein, 2002; Rau et al., 2018; Rosenwaike, 1966; Seretakis, 1997)"},"properties":{"noteIndex":0},"schema":"https://github.com/citation-style-language/schema/raw/master/csl-citation.json"}</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 geography</w:t>
      </w:r>
      <w:r w:rsidR="00C1470A" w:rsidRPr="00AC73A1">
        <w:t xml:space="preserve"> </w:t>
      </w:r>
      <w:r w:rsidR="00992E34"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Association","id":"ITEM-2","issue":"315","issued":{"date-parts":[["1966"]]},"page":"706-719","title":"Seasonal Variation of Deaths in the United States, 1951–1960","type":"article-journal","volume":"61"},"uris":["http://www.mendeley.com/documents/?uuid=ada7c7c6-41f2-42e4-8d0b-e2068c79bab5"]},{"id":"ITEM-3","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W","non-dropping-particle":"","parse-names":false,"suffix":""}],"id":"ITEM-3","issued":{"date-parts":[["2018"]]},"title":"Visualizing Mortality Dynamics in the Lexis Diagram","type":"book"},"uris":["http://www.mendeley.com/documents/?uuid=e0c81d53-6ad6-40c1-935d-e122c89bb8f6"]}],"mendeley":{"formattedCitation":"(Feinstein,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our subnational analysis over three decades revealed variations in </w:t>
      </w:r>
      <w:r w:rsidR="002B3737" w:rsidRPr="00AC73A1">
        <w:t xml:space="preserve">when injury deaths peaked and in how seasonal differences in these deaths have changed </w:t>
      </w:r>
      <w:r w:rsidR="00722AD9" w:rsidRPr="00AC73A1">
        <w:t>over time</w:t>
      </w:r>
      <w:r w:rsidR="00975D69">
        <w:t xml:space="preserve"> in relation to age group</w:t>
      </w:r>
      <w:r w:rsidR="00722AD9" w:rsidRPr="00AC73A1">
        <w:t xml:space="preserve"> </w:t>
      </w:r>
      <w:r w:rsidR="002B3737" w:rsidRPr="00AC73A1">
        <w:t xml:space="preserve">which had not been </w:t>
      </w:r>
      <w:r w:rsidR="00A76EC0" w:rsidRPr="00AC73A1">
        <w:t>reported before.</w:t>
      </w:r>
    </w:p>
    <w:p w14:paraId="6886C687" w14:textId="77777777" w:rsidR="0042218D" w:rsidRPr="00AC73A1" w:rsidRDefault="0042218D" w:rsidP="0042218D">
      <w:pPr>
        <w:spacing w:line="480" w:lineRule="auto"/>
        <w:jc w:val="both"/>
      </w:pPr>
    </w:p>
    <w:p w14:paraId="2B22717B" w14:textId="371DD9CD" w:rsidR="00DB2D88" w:rsidRPr="008F7D99" w:rsidRDefault="00B951CD" w:rsidP="00975D69">
      <w:pPr>
        <w:spacing w:line="480" w:lineRule="auto"/>
        <w:jc w:val="both"/>
        <w:rPr>
          <w:rFonts w:eastAsia="Times New Roman"/>
        </w:rPr>
      </w:pPr>
      <w:r>
        <w:lastRenderedPageBreak/>
        <w:t>A</w:t>
      </w:r>
      <w:r w:rsidR="000B343F" w:rsidRPr="00AC73A1">
        <w:t xml:space="preserve"> study of 36 cities</w:t>
      </w:r>
      <w:r>
        <w:t xml:space="preserve"> in the USA</w:t>
      </w:r>
      <w:r w:rsidR="00AD1414">
        <w:t>,</w:t>
      </w:r>
      <w:r w:rsidR="000B343F" w:rsidRPr="00AC73A1">
        <w:t xml:space="preserve"> aggregated across age groups and over time</w:t>
      </w:r>
      <w:r w:rsidR="00AD1414">
        <w:t>,</w:t>
      </w:r>
      <w:r w:rsidR="00391B02">
        <w:t xml:space="preserve"> also found that </w:t>
      </w:r>
      <w:r w:rsidR="00391B02">
        <w:rPr>
          <w:rFonts w:eastAsia="Times New Roman"/>
        </w:rPr>
        <w:t xml:space="preserve">excess mortality </w:t>
      </w:r>
      <w:r w:rsidR="00975D69">
        <w:rPr>
          <w:rFonts w:eastAsia="Times New Roman"/>
        </w:rPr>
        <w:t>was not associated with</w:t>
      </w:r>
      <w:r w:rsidR="00391B02">
        <w:rPr>
          <w:rFonts w:eastAsia="Times New Roman"/>
        </w:rPr>
        <w:t xml:space="preserve"> seasonal temperature range</w:t>
      </w:r>
      <w:r w:rsidR="00BE50E6" w:rsidRPr="00AC73A1">
        <w:t xml:space="preserve"> </w:t>
      </w:r>
      <w:r w:rsidR="00AB66EA" w:rsidRPr="00AC73A1">
        <w:fldChar w:fldCharType="begin" w:fldLock="1"/>
      </w:r>
      <w:r w:rsidR="00C950B8">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AB66EA" w:rsidRPr="00AC73A1">
        <w:fldChar w:fldCharType="separate"/>
      </w:r>
      <w:r w:rsidR="00BC655C" w:rsidRPr="00AC73A1">
        <w:rPr>
          <w:noProof/>
        </w:rPr>
        <w:t>(Kinney et al., 2015)</w:t>
      </w:r>
      <w:r w:rsidR="00AB66EA" w:rsidRPr="00AC73A1">
        <w:fldChar w:fldCharType="end"/>
      </w:r>
      <w:r w:rsidR="005426EF">
        <w:t>.</w:t>
      </w:r>
      <w:r w:rsidR="000B343F" w:rsidRPr="00AC73A1">
        <w:t xml:space="preserve"> </w:t>
      </w:r>
      <w:r w:rsidR="005426EF">
        <w:t>In contrast, a</w:t>
      </w:r>
      <w:r w:rsidR="000B343F" w:rsidRPr="00AC73A1">
        <w:t xml:space="preserve"> Europe</w:t>
      </w:r>
      <w:r w:rsidR="005426EF">
        <w:t xml:space="preserve">an study found that </w:t>
      </w:r>
      <w:r w:rsidR="000B343F" w:rsidRPr="00AC73A1">
        <w:t xml:space="preserve">the difference between winter and summer mortality </w:t>
      </w:r>
      <w:r w:rsidR="005426EF">
        <w:t>was</w:t>
      </w:r>
      <w:r w:rsidR="000B343F" w:rsidRPr="00AC73A1">
        <w:t xml:space="preserve"> lower in the colder Nordic countries than in warmer southern European nations</w:t>
      </w:r>
      <w:r w:rsidR="00BE50E6" w:rsidRPr="00AC73A1">
        <w:t xml:space="preserve"> </w:t>
      </w:r>
      <w:r w:rsidR="00AB66EA" w:rsidRPr="00AC73A1">
        <w:fldChar w:fldCharType="begin" w:fldLock="1"/>
      </w:r>
      <w:r w:rsidR="00C950B8">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factors","type":"article-journal","volume":"57"},"uris":["http://www.mendeley.com/documents/?uuid=f7ab7783-971a-4e21-9158-84e008745163"]}],"mendeley":{"formattedCitation":"(Healy, 2003; McKee, 1989)","plainTextFormattedCitation":"(Healy, 2003; McKee, 1989)","previouslyFormattedCitation":"(Healy, 2003; McKee, 1989)"},"properties":{"noteIndex":0},"schema":"https://github.com/citation-style-language/schema/raw/master/csl-citation.json"}</w:instrText>
      </w:r>
      <w:r w:rsidR="00AB66EA" w:rsidRPr="00AC73A1">
        <w:fldChar w:fldCharType="separate"/>
      </w:r>
      <w:r w:rsidR="00C950B8" w:rsidRPr="00C950B8">
        <w:rPr>
          <w:noProof/>
        </w:rPr>
        <w:t>(Healy, 2003; McKee, 1989)</w:t>
      </w:r>
      <w:r w:rsidR="00AB66EA" w:rsidRPr="00AC73A1">
        <w:fldChar w:fldCharType="end"/>
      </w:r>
      <w:r w:rsidR="00B96C91">
        <w:t>(t</w:t>
      </w:r>
      <w:r w:rsidR="005426EF">
        <w:t>he study’s measure of temperature was mean annual temperature which differed from the temperature difference between maximum and minimum mortality used in our analysis</w:t>
      </w:r>
      <w:r w:rsidR="00B96C91">
        <w:t xml:space="preserve"> although the two measures are correlated)</w:t>
      </w:r>
      <w:r w:rsidR="005426EF">
        <w:t xml:space="preserve">. </w:t>
      </w:r>
      <w:r w:rsidR="000B343F" w:rsidRPr="00AC73A1">
        <w:t xml:space="preserve">The absence of </w:t>
      </w:r>
      <w:r w:rsidR="007814E0">
        <w:t>variation in</w:t>
      </w:r>
      <w:r w:rsidR="000B343F" w:rsidRPr="00AC73A1">
        <w:t xml:space="preserve"> the magnitude of mortality seasonality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r w:rsidR="007814E0">
        <w:t xml:space="preserve">If the observed </w:t>
      </w:r>
      <w:r w:rsidR="007814E0" w:rsidRPr="00AC73A1">
        <w:t>absence of association between the magnitude of mortality seasonality and seasonal temperature difference</w:t>
      </w:r>
      <w:r w:rsidR="007814E0">
        <w:t xml:space="preserve"> </w:t>
      </w:r>
      <w:r w:rsidR="007C65D3">
        <w:t xml:space="preserve">across the climate regions </w:t>
      </w:r>
      <w:r w:rsidR="007814E0">
        <w:t xml:space="preserve">also persists over time, the changes in temperature </w:t>
      </w:r>
      <w:proofErr w:type="gramStart"/>
      <w:r w:rsidR="007814E0">
        <w:t>as a result of</w:t>
      </w:r>
      <w:proofErr w:type="gramEnd"/>
      <w:r w:rsidR="007814E0">
        <w:t xml:space="preserve"> global </w:t>
      </w:r>
      <w:r w:rsidR="00FC7D1E">
        <w:t xml:space="preserve">climate </w:t>
      </w:r>
      <w:r w:rsidR="007814E0">
        <w:t xml:space="preserve">change are unlikely to affect the </w:t>
      </w:r>
      <w:r w:rsidR="00244D8A">
        <w:t>winter-summer mortality difference</w:t>
      </w:r>
      <w:r w:rsidR="008E764E">
        <w:t>.</w:t>
      </w:r>
    </w:p>
    <w:p w14:paraId="5D4068DF" w14:textId="77777777" w:rsidR="000B343F" w:rsidRPr="00AC73A1" w:rsidRDefault="000B343F" w:rsidP="00975D69">
      <w:pPr>
        <w:spacing w:line="480" w:lineRule="auto"/>
        <w:jc w:val="both"/>
      </w:pPr>
    </w:p>
    <w:p w14:paraId="320D38F2" w14:textId="057B1ACF"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r w:rsidR="00FC7D1E">
        <w:t>(</w:t>
      </w:r>
      <w:r w:rsidR="0011544B">
        <w:t>unintentional</w:t>
      </w:r>
      <w:r w:rsidR="00FC7D1E">
        <w:t>)</w:t>
      </w:r>
      <w:r w:rsidR="0011544B">
        <w:t xml:space="preserve"> </w:t>
      </w:r>
      <w:r w:rsidRPr="00AC73A1">
        <w:t>injuries, especially from road traffic crashes, which are more likely to occur in the summer months</w:t>
      </w:r>
      <w:r w:rsidR="00BE50E6" w:rsidRPr="00AC73A1">
        <w:t xml:space="preserve"> </w:t>
      </w:r>
      <w:r w:rsidR="00AB66EA" w:rsidRPr="00AC73A1">
        <w:fldChar w:fldCharType="begin" w:fldLock="1"/>
      </w:r>
      <w:r w:rsidR="00C950B8">
        <w:instrText>ADDIN CSL_CITATION {"citationItems":[{"id":"ITEM-1","itemData":{"author":[{"dropping-particle":"","family":"National Highway Traffic Safety Administration","given":"","non-dropping-particle":"","parse-names":false,"suffix":""}],"container-title":"National Center for Statistics and Analysis (NCHS)","id":"ITEM-1","issue":"March","issued":{"date-parts":[["2005"]]},"title":"Trend and Pattern Analysis of Highway Crash Fatality By Month and Day","type":"article-journal"},"uris":["http://www.mendeley.com/documents/?uuid=e660a00d-5039-4361-97dc-e5563df2412f"]}],"mendeley":{"formattedCitation":"(National Highway Traffic Safety Administration, 2005)","plainTextFormattedCitation":"(National Highway Traffic Safety Administration, 2005)","previouslyFormattedCitation":"(National Highway Traffic Safety Administration, 2005)"},"properties":{"noteIndex":0},"schema":"https://github.com/citation-style-language/schema/raw/master/csl-citation.json"}</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 xml:space="preserve">diseases </w:t>
      </w:r>
      <w:r w:rsidR="00FC7D1E" w:rsidRPr="00AC73A1">
        <w:t>decline</w:t>
      </w:r>
      <w:r w:rsidR="00FC7D1E">
        <w:t>d</w:t>
      </w:r>
      <w:r w:rsidR="00954635" w:rsidRPr="00AC73A1">
        <w:t>, and second,</w:t>
      </w:r>
      <w:r w:rsidR="003B5AA4" w:rsidRPr="00AC73A1">
        <w:t xml:space="preserve"> </w:t>
      </w:r>
      <w:r w:rsidR="00954635" w:rsidRPr="00AC73A1">
        <w:t>the</w:t>
      </w:r>
      <w:r w:rsidR="006D6F45" w:rsidRPr="00AC73A1">
        <w:t xml:space="preserve"> proportion of deaths </w:t>
      </w:r>
      <w:r w:rsidR="004F1CAB">
        <w:t>from perinatal conditions</w:t>
      </w:r>
      <w:r w:rsidR="00954635" w:rsidRPr="00AC73A1">
        <w:t xml:space="preserve">, which </w:t>
      </w:r>
      <w:r w:rsidR="00AB2E9E">
        <w:t>exhibit</w:t>
      </w:r>
      <w:r w:rsidR="00AB2E9E" w:rsidRPr="00AC73A1">
        <w:t xml:space="preserve"> </w:t>
      </w:r>
      <w:r w:rsidR="00954635" w:rsidRPr="00AC73A1">
        <w:t>limited seasonality</w:t>
      </w:r>
      <w:r w:rsidR="00424C6B">
        <w:t xml:space="preserve"> (Supp</w:t>
      </w:r>
      <w:r w:rsidR="004F1CAB">
        <w:t>lementary Figure 1</w:t>
      </w:r>
      <w:r w:rsidR="00424C6B">
        <w:t>)</w:t>
      </w:r>
      <w:r w:rsidR="00954635" w:rsidRPr="00AC73A1">
        <w:t>, increased</w:t>
      </w:r>
      <w:r w:rsidR="00BE50E6" w:rsidRPr="00AC73A1">
        <w:t xml:space="preserve"> </w:t>
      </w:r>
      <w:r w:rsidR="00050A3D" w:rsidRPr="00AC73A1">
        <w:fldChar w:fldCharType="begin" w:fldLock="1"/>
      </w:r>
      <w:r w:rsidR="00C950B8">
        <w:instrText>ADDIN CSL_CITATION {"citationItems":[{"id":"ITEM-1","itemData":{"ISBN":"53(10)","abstract":"Objective—This report presents final 2009 data on U.S. deaths, death rates, life expectancy, infant mortality, and trends by selected characteristics such as age, sex, Hispanic origin, race, state of residence, and cause of death. Methods—Information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vention’s National Center for Health Statistics. Causes of death are processed in accordance with the International Classification of Dis- eases, Tenth Revision. Results—In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1–4, 15–24, 55–64, 65–74, and 75–84. The age-specific death rates remained unchanged for age groups 5–14, 25–34, 35–44, 45–54, and 85 years and over. The 15 leading causes of death in 2009 remained the same as in 2008. The infant mortality rate decreased 3.3% to a historically low value of 6.39 deaths per 1,000 live births in 2009. Conclusion—The decline of the age-adjusted death rate to a record low value for the United States and the increase in life expec- tancy to a record high value of 78.5 years are consistent with long-term trends in mortality.","author":[{"dropping-particle":"","family":"MacDorman","given":"Marian F","non-dropping-particle":"","parse-names":false,"suffix":""},{"dropping-particle":"","family":"Gregory","given":"Elizabeth","non-dropping-particle":"","parse-names":false,"suffix":""}],"container-title":"National Vital Statistics Reports","id":"ITEM-1","issue":"8","issued":{"date-parts":[["2015"]]},"page":"1-24","title":"Fetal and Perinatal Mortality: United States, 2013","type":"article-journal","volume":"64"},"uris":["http://www.mendeley.com/documents/?uuid=770202a4-b99b-4c26-bb9d-5d8ca886f4bd"]}],"mendeley":{"formattedCitation":"(MacDorman &amp; Gregory, 2015)","plainTextFormattedCitation":"(MacDorman &amp; Gregory, 2015)","previouslyFormattedCitation":"(MacDorman &amp; Gregory, 2015)"},"properties":{"noteIndex":0},"schema":"https://github.com/citation-style-language/schema/raw/master/csl-citation.json"}</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6D59606E" w:rsidR="000210D1" w:rsidRPr="00AC73A1" w:rsidRDefault="000210D1" w:rsidP="00C33FFB">
      <w:pPr>
        <w:spacing w:line="480" w:lineRule="auto"/>
        <w:jc w:val="both"/>
      </w:pPr>
      <w:r w:rsidRPr="00AC73A1">
        <w:lastRenderedPageBreak/>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C950B8">
        <w:instrText>ADDIN CSL_CITATION {"citationItems":[{"id":"ITEM-1","itemData":{"author":[{"dropping-particle":"","family":"Public Health England","given":"","non-dropping-particle":"","parse-names":false,"suffix":""}],"container-title":"Public Health England","id":"ITEM-1","issue":"October","issued":{"date-parts":[["2017"]]},"title":"The Cold Weather Plan for England","type":"article-journal"},"uris":["http://www.mendeley.com/documents/?uuid=2962c795-bb5a-4e69-824c-54260bfff8d5"]}],"mendeley":{"formattedCitation":"(Public Health England, 2017)","plainTextFormattedCitation":"(Public Health England, 2017)","previouslyFormattedCitation":"(Public Health England, 2017)"},"properties":{"noteIndex":0},"schema":"https://github.com/citation-style-language/schema/raw/master/csl-citation.json"}</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sidRPr="00AC73A1">
        <w:t xml:space="preserve"> </w:t>
      </w:r>
      <w:r w:rsidR="00AB66EA" w:rsidRPr="00AC73A1">
        <w:fldChar w:fldCharType="begin" w:fldLock="1"/>
      </w:r>
      <w:r w:rsidR="00C950B8">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factors","type":"article-journal","volume":"57"},"uris":["http://www.mendeley.com/documents/?uuid=f7ab7783-971a-4e21-9158-84e008745163"]},{"id":"ITEM-2","itemData":{"author":[{"dropping-particle":"","family":"Public Health England","given":"","non-dropping-particle":"","parse-names":false,"suffix":""}],"container-title":"Public Health England","id":"ITEM-2","issue":"October","issued":{"date-parts":[["2017"]]},"title":"The Cold Weather Plan for England","type":"article-journal"},"uris":["http://www.mendeley.com/documents/?uuid=2962c795-bb5a-4e69-824c-54260bfff8d5"]},{"id":"ITEM-3","itemData":{"DOI":"10.1007/s004840050089","ISBN":"0020-7128","ISSN":"0020-7128","PMID":"9923200","abstract":"Based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system.","author":[{"dropping-particle":"","family":"Lerchl","given":"A","non-dropping-particle":"","parse-names":false,"suffix":""}],"container-title":"International journal of biometeorology","id":"ITEM-3","issue":"2","issued":{"date-parts":[["1998"]]},"page":"84-88","title":"Changes in the seasonality of mortality in Germany from 1946 to 1995: the role of temperature.","type":"article-journal","volume":"42"},"uris":["http://www.mendeley.com/documents/?uuid=32c1e232-4697-4015-8c20-6ff5c2cf6f75"]}],"mendeley":{"formattedCitation":"(Healy, 2003; Lerchl, 1998; Public Health England, 2017)","plainTextFormattedCitation":"(Healy, 2003; Lerchl, 1998; Public Health England, 2017)","previouslyFormattedCitation":"(Healy, 2003; Lerchl, 1998; Public Health England, 2017)"},"properties":{"noteIndex":0},"schema":"https://github.com/citation-style-language/schema/raw/master/csl-citation.json"}</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C950B8">
        <w:instrText>ADDIN CSL_CITATION {"citationItems":[{"id":"ITEM-1","itemData":{"DOI":"10.4172/2329-8847.1000101","ISSN":"23298847","abstract":"Smart-home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studies.","author":[{"dropping-particle":"","family":"Morris","given":"Meg E.","non-dropping-particle":"","parse-names":false,"suffix":""}],"container-title":"Journal of Aging Science","id":"ITEM-1","issue":"01","issued":{"date-parts":[["2013"]]},"title":"Smart-Home Technologies to Assist Older People to Live Well at Home","type":"article-journal","volume":"01"},"uris":["http://www.mendeley.com/documents/?uuid=634c7734-68da-4c87-b21c-82593d0dafd6"]}],"mendeley":{"formattedCitation":"(Morris, 2013)","plainTextFormattedCitation":"(Morris, 2013)","previouslyFormattedCitation":"(Morris, 2013)"},"properties":{"noteIndex":0},"schema":"https://github.com/citation-style-language/schema/raw/master/csl-citation.json"}</w:instrText>
      </w:r>
      <w:r w:rsidR="00AB66EA" w:rsidRPr="00AC73A1">
        <w:fldChar w:fldCharType="separate"/>
      </w:r>
      <w:r w:rsidR="00C950B8" w:rsidRPr="00C950B8">
        <w:rPr>
          <w:noProof/>
        </w:rPr>
        <w:t>(Morris,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2CF05CE5" w:rsidR="00C66D47" w:rsidRPr="00AC73A1" w:rsidRDefault="00E91385" w:rsidP="004055C0">
      <w:pPr>
        <w:spacing w:line="480" w:lineRule="auto"/>
        <w:jc w:val="both"/>
      </w:pPr>
      <w:r w:rsidRPr="00AC73A1">
        <w:rPr>
          <w:rStyle w:val="apple-style-span"/>
          <w:color w:val="000000" w:themeColor="text1"/>
        </w:rPr>
        <w:t xml:space="preserve">We used data on all </w:t>
      </w:r>
      <w:r w:rsidR="003B60EB" w:rsidRPr="00AC73A1">
        <w:rPr>
          <w:rStyle w:val="apple-style-span"/>
          <w:color w:val="000000" w:themeColor="text1"/>
        </w:rPr>
        <w:t>85,854,176</w:t>
      </w:r>
      <w:r w:rsidR="004055C0" w:rsidRPr="00AC73A1">
        <w:rPr>
          <w:rStyle w:val="apple-style-span"/>
          <w:color w:val="000000" w:themeColor="text1"/>
        </w:rPr>
        <w:t xml:space="preserve"> deaths in the USA from 1980 to 201</w:t>
      </w:r>
      <w:r w:rsidR="003B60EB" w:rsidRPr="00AC73A1">
        <w:rPr>
          <w:rStyle w:val="apple-style-span"/>
          <w:color w:val="000000" w:themeColor="text1"/>
        </w:rPr>
        <w:t>6</w:t>
      </w:r>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r w:rsidR="00DE0D8E">
        <w:rPr>
          <w:color w:val="000000" w:themeColor="text1"/>
        </w:rPr>
        <w:t xml:space="preserve"> </w:t>
      </w:r>
      <w:r w:rsidR="005378E9" w:rsidRPr="00AC73A1">
        <w:t xml:space="preserve">The underlying cause of death was </w:t>
      </w:r>
      <w:r w:rsidR="005378E9" w:rsidRPr="00AC73A1">
        <w:lastRenderedPageBreak/>
        <w:t xml:space="preserve">coded </w:t>
      </w:r>
      <w:proofErr w:type="gramStart"/>
      <w:r w:rsidR="005378E9" w:rsidRPr="00AC73A1">
        <w:rPr>
          <w:color w:val="000000" w:themeColor="text1"/>
        </w:rPr>
        <w:t>according to</w:t>
      </w:r>
      <w:proofErr w:type="gramEnd"/>
      <w:r w:rsidR="005378E9" w:rsidRPr="00AC73A1">
        <w:rPr>
          <w:color w:val="000000" w:themeColor="text1"/>
        </w:rPr>
        <w:t xml:space="preserve"> the international classification of diseases (ICD) system (9</w:t>
      </w:r>
      <w:r w:rsidR="005378E9" w:rsidRPr="00AC73A1">
        <w:rPr>
          <w:color w:val="000000" w:themeColor="text1"/>
          <w:vertAlign w:val="superscript"/>
        </w:rPr>
        <w:t>th</w:t>
      </w:r>
      <w:r w:rsidR="005378E9" w:rsidRPr="00AC73A1">
        <w:rPr>
          <w:color w:val="000000" w:themeColor="text1"/>
        </w:rPr>
        <w:t xml:space="preserve"> revision of ICD from 1980 to 1998 and 10</w:t>
      </w:r>
      <w:r w:rsidR="005378E9" w:rsidRPr="00AC73A1">
        <w:rPr>
          <w:color w:val="000000" w:themeColor="text1"/>
          <w:vertAlign w:val="superscript"/>
        </w:rPr>
        <w:t>th</w:t>
      </w:r>
      <w:r w:rsidR="005378E9" w:rsidRPr="00AC73A1">
        <w:rPr>
          <w:color w:val="000000" w:themeColor="text1"/>
        </w:rPr>
        <w:t xml:space="preserve"> revision of ICD thereafter).</w:t>
      </w:r>
      <w:r w:rsidR="005378E9">
        <w:rPr>
          <w:color w:val="000000" w:themeColor="text1"/>
        </w:rPr>
        <w:t xml:space="preserve"> </w:t>
      </w:r>
      <w:r w:rsidR="004055C0" w:rsidRPr="00AC73A1">
        <w:rPr>
          <w:color w:val="000000" w:themeColor="text1"/>
        </w:rPr>
        <w:t>Yearly population counts were available from NCHS for 1990 to 201</w:t>
      </w:r>
      <w:r w:rsidR="003E060B" w:rsidRPr="00AC73A1">
        <w:rPr>
          <w:color w:val="000000" w:themeColor="text1"/>
        </w:rPr>
        <w:t>6</w:t>
      </w:r>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categories","type":"article-journal"},"uris":["http://www.mendeley.com/documents/?uuid=cec18cd9-fc20-45ce-a8c5-cd97d54e10c2"]}],"mendeley":{"formattedCitation":"(Ingram et al., 2003)","plainTextFormattedCitation":"(Ingram et al., 2003)","previouslyFormattedCitation":"(Ingram et al., 2003)"},"properties":{"noteIndex":0},"schema":"https://github.com/citation-style-language/schema/raw/master/csl-citation.json"}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pPr>
    </w:p>
    <w:p w14:paraId="1F726F12" w14:textId="34E21624" w:rsidR="00DB02FB" w:rsidRDefault="004055C0" w:rsidP="004055C0">
      <w:pPr>
        <w:spacing w:line="480" w:lineRule="auto"/>
        <w:jc w:val="both"/>
      </w:pPr>
      <w:r w:rsidRPr="00AC73A1">
        <w:t xml:space="preserve">We also subdivided the national data geographically </w:t>
      </w:r>
      <w:r w:rsidR="00FC7D1E">
        <w:t>into nine</w:t>
      </w:r>
      <w:r w:rsidR="00FC7D1E" w:rsidRPr="00AC73A1">
        <w:t xml:space="preserve"> </w:t>
      </w:r>
      <w:r w:rsidRPr="00AC73A1">
        <w:t>climate regions used by the National Oceanic and Atmos</w:t>
      </w:r>
      <w:r w:rsidR="00C9555C" w:rsidRPr="00AC73A1">
        <w:t>pheric Administration (Figure 1</w:t>
      </w:r>
      <w:r w:rsidR="00605E6F">
        <w:t xml:space="preserve"> and </w:t>
      </w:r>
      <w:r w:rsidR="00605E6F" w:rsidRPr="00AC73A1">
        <w:t>Table 2</w:t>
      </w:r>
      <w:r w:rsidR="00C9555C" w:rsidRPr="00AC73A1">
        <w:t xml:space="preserve">) </w:t>
      </w:r>
      <w:r w:rsidRPr="00AC73A1">
        <w:fldChar w:fldCharType="begin" w:fldLock="1"/>
      </w:r>
      <w:r w:rsidR="00C950B8">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J","non-dropping-particle":"","parse-names":false,"suffix":""}],"container-title":"Historical Climatology Series 3-3","id":"ITEM-1","issued":{"date-parts":[["1984"]]},"page":"38","title":"Regional and national monthly, seasonal, and annual temperature weighted by area, 1895-1983","type":"webpage"},"uris":["http://www.mendeley.com/documents/?uuid=b7f8ed30-4839-4494-bfc2-8917e328ea06"]}],"mendeley":{"formattedCitation":"(Karl &amp; Koss, 1984)","plainTextFormattedCitation":"(Karl &amp; Koss, 1984)","previouslyFormattedCitation":"(Karl &amp; Koss, 1984)"},"properties":{"noteIndex":0},"schema":"https://github.com/citation-style-language/schema/raw/master/csl-citation.json"}</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r w:rsidR="008C706E">
        <w:t>O</w:t>
      </w:r>
      <w:r w:rsidR="0071370F">
        <w:t xml:space="preserve">n average, the </w:t>
      </w:r>
      <w:r w:rsidR="0071370F" w:rsidRPr="008C706E">
        <w:t>Southeast</w:t>
      </w:r>
      <w:r w:rsidR="001C72AE">
        <w:t xml:space="preserve"> and</w:t>
      </w:r>
      <w:r w:rsidR="008D58FB">
        <w:t xml:space="preserve"> </w:t>
      </w:r>
      <w:r w:rsidR="008D58FB" w:rsidRPr="008C706E">
        <w:t>South</w:t>
      </w:r>
      <w:r w:rsidR="008D58FB">
        <w:t xml:space="preserve"> </w:t>
      </w:r>
      <w:r w:rsidR="00301AA6">
        <w:t>are</w:t>
      </w:r>
      <w:r w:rsidR="00B56D4E">
        <w:t xml:space="preserve"> </w:t>
      </w:r>
      <w:r w:rsidR="001C72AE">
        <w:t>the</w:t>
      </w:r>
      <w:r w:rsidR="0071370F">
        <w:t xml:space="preserve"> ho</w:t>
      </w:r>
      <w:r w:rsidR="001C6574">
        <w:t xml:space="preserve">ttest </w:t>
      </w:r>
      <w:r w:rsidR="00724B83">
        <w:t>climate</w:t>
      </w:r>
      <w:r w:rsidR="0071370F">
        <w:t xml:space="preserve"> regions </w:t>
      </w:r>
      <w:r w:rsidR="00D0607B">
        <w:t xml:space="preserve">with average annual temperatures of </w:t>
      </w:r>
      <w:r w:rsidR="0071370F">
        <w:t>18.4°C</w:t>
      </w:r>
      <w:r w:rsidR="001C72AE">
        <w:t xml:space="preserve"> and</w:t>
      </w:r>
      <w:r w:rsidR="007B651A">
        <w:t xml:space="preserve"> </w:t>
      </w:r>
      <w:r w:rsidR="008D58FB">
        <w:t>18°C</w:t>
      </w:r>
      <w:r w:rsidR="007B651A">
        <w:t xml:space="preserve"> respectively</w:t>
      </w:r>
      <w:r w:rsidR="001C72AE">
        <w:t xml:space="preserve">; the South also possesses the highest average maximum monthly temperature (27.9°C in July). </w:t>
      </w:r>
      <w:r w:rsidR="007B651A">
        <w:t>The</w:t>
      </w:r>
      <w:r w:rsidR="000261DC">
        <w:t xml:space="preserve"> lowest variation </w:t>
      </w:r>
      <w:r w:rsidR="00A52486">
        <w:t>in temperature throughout the year</w:t>
      </w:r>
      <w:r w:rsidR="00F55F5E">
        <w:t xml:space="preserve"> is that of the Southeast</w:t>
      </w:r>
      <w:r w:rsidR="00A52486">
        <w:t xml:space="preserve"> (an average range of 17.5°C)</w:t>
      </w:r>
      <w:r w:rsidR="0071370F">
        <w:t>.</w:t>
      </w:r>
      <w:r w:rsidR="00653DB5">
        <w:t xml:space="preserve"> </w:t>
      </w:r>
      <w:r w:rsidR="00606037">
        <w:t xml:space="preserve">The three coldest climate regions are </w:t>
      </w:r>
      <w:r w:rsidR="00606037" w:rsidRPr="008C706E">
        <w:t>West North Central</w:t>
      </w:r>
      <w:r w:rsidR="00606037">
        <w:t xml:space="preserve">, </w:t>
      </w:r>
      <w:r w:rsidR="00D0607B" w:rsidRPr="008C706E">
        <w:t xml:space="preserve">East </w:t>
      </w:r>
      <w:r w:rsidR="007C13B4" w:rsidRPr="008C706E">
        <w:t>North Central</w:t>
      </w:r>
      <w:r w:rsidR="007C13B4">
        <w:t xml:space="preserve"> and the </w:t>
      </w:r>
      <w:r w:rsidR="007C13B4" w:rsidRPr="008C706E">
        <w:t>Northwest</w:t>
      </w:r>
      <w:r w:rsidR="00F842CB">
        <w:t xml:space="preserve"> (7.8°C, 8.0°C,</w:t>
      </w:r>
      <w:r w:rsidR="00AE1964">
        <w:t xml:space="preserve"> 8.1</w:t>
      </w:r>
      <w:r w:rsidR="00F842CB">
        <w:t>°C respectively)</w:t>
      </w:r>
      <w:r w:rsidR="007C13B4">
        <w:t xml:space="preserve">. Mirroring the </w:t>
      </w:r>
      <w:r w:rsidR="00215559">
        <w:t>characteristic</w:t>
      </w:r>
      <w:r w:rsidR="005C4D6B">
        <w:t>s</w:t>
      </w:r>
      <w:r w:rsidR="00215559">
        <w:t xml:space="preserve"> of the </w:t>
      </w:r>
      <w:r w:rsidR="007C13B4">
        <w:t>hottest climate regions, the largest variation in temperature</w:t>
      </w:r>
      <w:r w:rsidR="001710A4">
        <w:t xml:space="preserve"> throughout the year</w:t>
      </w:r>
      <w:r w:rsidR="007C13B4">
        <w:t xml:space="preserve"> is </w:t>
      </w:r>
      <w:r w:rsidR="00F55F5E">
        <w:t xml:space="preserve">that of </w:t>
      </w:r>
      <w:r w:rsidR="007C13B4">
        <w:t>the coldest region, West North Central (an average range of 30.5°C</w:t>
      </w:r>
      <w:r w:rsidR="0046498A">
        <w:t xml:space="preserve">), </w:t>
      </w:r>
      <w:r w:rsidR="00F55F5E">
        <w:t>which also has</w:t>
      </w:r>
      <w:r w:rsidR="00F0448C">
        <w:t xml:space="preserve"> the lowest average minimum monthly temperature (-6.5°C</w:t>
      </w:r>
      <w:r w:rsidR="00E372B0">
        <w:t xml:space="preserve"> in January)</w:t>
      </w:r>
      <w:r w:rsidR="00DD146F">
        <w:t>.</w:t>
      </w:r>
      <w:r w:rsidR="005651D6">
        <w:t xml:space="preserve"> </w:t>
      </w:r>
      <w:r w:rsidR="00A90313">
        <w:t xml:space="preserve">The other climate regions, </w:t>
      </w:r>
      <w:r w:rsidR="009924E9">
        <w:t>No</w:t>
      </w:r>
      <w:r w:rsidR="00A90313">
        <w:t xml:space="preserve">rtheast, Southwest, and Central, </w:t>
      </w:r>
      <w:r w:rsidR="009924E9">
        <w:t xml:space="preserve">possess </w:t>
      </w:r>
      <w:r w:rsidR="00A4651F">
        <w:t xml:space="preserve">similar </w:t>
      </w:r>
      <w:r w:rsidR="00FF2440">
        <w:t>average temperatures</w:t>
      </w:r>
      <w:r w:rsidR="0059499B">
        <w:t xml:space="preserve"> (</w:t>
      </w:r>
      <w:r w:rsidR="00A407FD">
        <w:t xml:space="preserve">11 to </w:t>
      </w:r>
      <w:r w:rsidR="0059499B">
        <w:t>13°C)</w:t>
      </w:r>
      <w:r w:rsidR="00FF2440">
        <w:t xml:space="preserve"> and </w:t>
      </w:r>
      <w:r w:rsidR="009924E9">
        <w:t xml:space="preserve">variation within the year of </w:t>
      </w:r>
      <w:r w:rsidR="00FF2440">
        <w:t>(</w:t>
      </w:r>
      <w:r w:rsidR="00A407FD">
        <w:t xml:space="preserve">23 to </w:t>
      </w:r>
      <w:r w:rsidR="00A4651F">
        <w:t>26°C</w:t>
      </w:r>
      <w:r w:rsidR="00FF2440">
        <w:t>), with the Northeast being the most populous region in the United States (</w:t>
      </w:r>
      <w:r w:rsidR="00BF75C7">
        <w:t xml:space="preserve">with </w:t>
      </w:r>
      <w:r w:rsidR="00FF2440">
        <w:t>19.8% total population in 2016)</w:t>
      </w:r>
      <w:r w:rsidR="00612029">
        <w:t>.</w:t>
      </w:r>
    </w:p>
    <w:p w14:paraId="12F29E36" w14:textId="77777777" w:rsidR="00C66D47" w:rsidRPr="00AC73A1" w:rsidRDefault="00C66D47" w:rsidP="004055C0">
      <w:pPr>
        <w:spacing w:line="480" w:lineRule="auto"/>
        <w:jc w:val="both"/>
      </w:pPr>
    </w:p>
    <w:p w14:paraId="2396E1FF" w14:textId="4F612136" w:rsidR="0056225E" w:rsidRPr="00AC73A1" w:rsidRDefault="004055C0" w:rsidP="004055C0">
      <w:pPr>
        <w:spacing w:line="480" w:lineRule="auto"/>
        <w:jc w:val="both"/>
        <w:rPr>
          <w:color w:val="000000" w:themeColor="text1"/>
        </w:rPr>
      </w:pPr>
      <w:r w:rsidRPr="00AC73A1">
        <w:rPr>
          <w:color w:val="000000" w:themeColor="text1"/>
        </w:rPr>
        <w:t xml:space="preserve">Data were divided by sex and age in the following 10 age groups: 0-4, 5-14, 25- 34, 35-44, 45-54, 55-64, 65-74, 75-84, 85+ years. We calculated monthly death rates for each age and sex group, both nationally and for sub-national climate regions. Death rate calculations </w:t>
      </w:r>
      <w:r w:rsidRPr="00AC73A1">
        <w:rPr>
          <w:color w:val="000000" w:themeColor="text1"/>
        </w:rPr>
        <w:lastRenderedPageBreak/>
        <w:t xml:space="preserve">accounted for varying length of months, by multiplying each month’s death count by a factor that would make it equivalent to a 31-day month. </w:t>
      </w:r>
    </w:p>
    <w:p w14:paraId="60F24802" w14:textId="77777777" w:rsidR="004055C0" w:rsidRPr="00AC73A1" w:rsidRDefault="004055C0" w:rsidP="004055C0">
      <w:pPr>
        <w:spacing w:line="480" w:lineRule="auto"/>
        <w:jc w:val="both"/>
        <w:rPr>
          <w:color w:val="000000" w:themeColor="text1"/>
        </w:rPr>
      </w:pPr>
    </w:p>
    <w:p w14:paraId="49C1620C" w14:textId="06064661" w:rsidR="004055C0" w:rsidRPr="00AC73A1" w:rsidRDefault="005378E9" w:rsidP="004055C0">
      <w:pPr>
        <w:spacing w:line="480" w:lineRule="auto"/>
        <w:jc w:val="both"/>
        <w:rPr>
          <w:color w:val="000000" w:themeColor="text1"/>
        </w:rPr>
      </w:pPr>
      <w:r w:rsidRPr="00AC73A1">
        <w:rPr>
          <w:color w:val="000000" w:themeColor="text1"/>
        </w:rPr>
        <w:t xml:space="preserve">For analysis of seasonality by cause of death, we mapped each ICD-9 and ICD-10 codes to </w:t>
      </w:r>
      <w:r>
        <w:rPr>
          <w:color w:val="000000" w:themeColor="text1"/>
        </w:rPr>
        <w:t>four main</w:t>
      </w:r>
      <w:r w:rsidRPr="00AC73A1">
        <w:rPr>
          <w:color w:val="000000" w:themeColor="text1"/>
        </w:rPr>
        <w:t xml:space="preserve"> disease categories</w:t>
      </w:r>
      <w:r>
        <w:rPr>
          <w:color w:val="000000" w:themeColor="text1"/>
        </w:rPr>
        <w:t xml:space="preserve"> (Table </w:t>
      </w:r>
      <w:r w:rsidR="0046507E">
        <w:rPr>
          <w:color w:val="000000" w:themeColor="text1"/>
        </w:rPr>
        <w:t>1</w:t>
      </w:r>
      <w:r>
        <w:rPr>
          <w:color w:val="000000" w:themeColor="text1"/>
        </w:rPr>
        <w:t xml:space="preserve">) and to </w:t>
      </w:r>
      <w:proofErr w:type="gramStart"/>
      <w:r>
        <w:rPr>
          <w:color w:val="000000" w:themeColor="text1"/>
        </w:rPr>
        <w:t>a number of</w:t>
      </w:r>
      <w:proofErr w:type="gramEnd"/>
      <w:r>
        <w:rPr>
          <w:color w:val="000000" w:themeColor="text1"/>
        </w:rPr>
        <w:t xml:space="preserve"> subcategories which are presented in </w:t>
      </w:r>
      <w:r w:rsidR="002D057C">
        <w:rPr>
          <w:color w:val="000000" w:themeColor="text1"/>
        </w:rPr>
        <w:t xml:space="preserve">the </w:t>
      </w:r>
      <w:r>
        <w:rPr>
          <w:color w:val="000000" w:themeColor="text1"/>
        </w:rPr>
        <w:t>Supplementary</w:t>
      </w:r>
      <w:r w:rsidR="002D057C">
        <w:rPr>
          <w:color w:val="000000" w:themeColor="text1"/>
        </w:rPr>
        <w:t xml:space="preserve"> Note</w:t>
      </w:r>
      <w:r>
        <w:rPr>
          <w:color w:val="000000" w:themeColor="text1"/>
        </w:rPr>
        <w:t xml:space="preserve">. </w:t>
      </w:r>
      <w:r w:rsidR="004055C0" w:rsidRPr="00AC73A1">
        <w:rPr>
          <w:color w:val="000000" w:themeColor="text1"/>
        </w:rPr>
        <w:t xml:space="preserve">Cardiorespiratory diseases and cancers accounted for 56.4% and </w:t>
      </w:r>
      <w:r w:rsidR="006C3DA1">
        <w:rPr>
          <w:color w:val="000000" w:themeColor="text1"/>
        </w:rPr>
        <w:t>21.2</w:t>
      </w:r>
      <w:r w:rsidR="004055C0" w:rsidRPr="00AC73A1">
        <w:rPr>
          <w:color w:val="000000" w:themeColor="text1"/>
        </w:rPr>
        <w:t xml:space="preserve">% of all deaths in the USA, respectively, in 1980, and </w:t>
      </w:r>
      <w:r w:rsidR="00205191">
        <w:rPr>
          <w:color w:val="000000" w:themeColor="text1"/>
        </w:rPr>
        <w:t>40.3</w:t>
      </w:r>
      <w:r w:rsidR="004055C0" w:rsidRPr="00AC73A1">
        <w:rPr>
          <w:color w:val="000000" w:themeColor="text1"/>
        </w:rPr>
        <w:t xml:space="preserve">% and </w:t>
      </w:r>
      <w:r w:rsidR="00CA785E">
        <w:rPr>
          <w:color w:val="000000" w:themeColor="text1"/>
        </w:rPr>
        <w:t>22.4</w:t>
      </w:r>
      <w:r w:rsidR="004055C0" w:rsidRPr="00AC73A1">
        <w:rPr>
          <w:color w:val="000000" w:themeColor="text1"/>
        </w:rPr>
        <w:t>%, respectively, in 201</w:t>
      </w:r>
      <w:r w:rsidR="007F5916">
        <w:rPr>
          <w:color w:val="000000" w:themeColor="text1"/>
        </w:rPr>
        <w:t>6</w:t>
      </w:r>
      <w:r w:rsidR="00B368B6" w:rsidRPr="00AC73A1">
        <w:rPr>
          <w:color w:val="000000" w:themeColor="text1"/>
        </w:rPr>
        <w:t>. D</w:t>
      </w:r>
      <w:r w:rsidR="004055C0" w:rsidRPr="00AC73A1">
        <w:rPr>
          <w:color w:val="000000" w:themeColor="text1"/>
        </w:rPr>
        <w:t>eaths from cardiorespiratory diseases have been associated with cold and warm temperatures</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Perspectives","id":"ITEM-3","issue":"9","issued":{"date-parts":[["2002"]]},"page":"859-863","title":"The effect of weather on respiratory and cardiovascular deaths in 12 U.S. cities","type":"article-journal","volume":"110"},"uris":["http://www.mendeley.com/documents/?uuid=3e710881-527a-42d3-bc7e-34c21f9cc47e"]},{"id":"ITEM-4","itemData":{"DOI":"10.1016/S0140-6736(14)62114-0","ISBN":"1474-547X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Lancet","id":"ITEM-4","issue":"9991","issued":{"date-parts":[["2015"]]},"page":"369-375","title":"Mortality risk attributable to high and low ambient temperature: A multicountry observational study","type":"article-journal","volume":"386"},"uris":["http://www.mendeley.com/documents/?uuid=ec2ac118-d8e9-4d29-9116-d43210b3e1ca"]},{"id":"ITEM-5","itemData":{"DOI":"10.1186/1476-069X-8-40","ISBN":"1476-069X","ISSN":"1476069X","PMID":"19758453","abstract":"BACKGROUND: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2008","type":"article","volume":"8"},"uris":["http://www.mendeley.com/documents/?uuid=4a3c238b-f19d-4589-ab7d-38cd7a1ebe34"]}],"mendeley":{"formattedCitation":"(Basu, 2009; Basu &amp; Samet, 2002; Bennett, Blangiardo, Fecht, Elliott, &amp; Ezzati, 2014; Braga, Zanobetti, &amp; Schwartz, 2002; Gasparrini et al., 2015)","plainTextFormattedCitation":"(Basu, 2009; Basu &amp; Samet, 2002; Bennett, Blangiardo, Fecht, Elliott, &amp; Ezzati, 2014; Braga, Zanobetti, &amp; Schwartz, 2002; Gasparrini et al., 2015)","previouslyFormattedCitation":"(Basu, 2009; Basu &amp; Samet, 2002; Bennett, Blangiardo, Fecht, Elliott, &amp; Ezzati, 2014; Braga, Zanobetti, &amp; Schwartz, 2002; Gasparrini et al., 2015)"},"properties":{"noteIndex":0},"schema":"https://github.com/citation-style-language/schema/raw/master/csl-citation.json"}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Injuries, which accounted for 8% of all deaths in the USA in 1980 and </w:t>
      </w:r>
      <w:r w:rsidR="004331B4">
        <w:rPr>
          <w:color w:val="000000" w:themeColor="text1"/>
        </w:rPr>
        <w:t>7.3</w:t>
      </w:r>
      <w:r w:rsidR="004055C0" w:rsidRPr="00AC73A1">
        <w:rPr>
          <w:color w:val="000000" w:themeColor="text1"/>
        </w:rPr>
        <w:t>% in 201</w:t>
      </w:r>
      <w:r w:rsidR="007F5916">
        <w:rPr>
          <w:color w:val="000000" w:themeColor="text1"/>
        </w:rPr>
        <w:t>6</w:t>
      </w:r>
      <w:r w:rsidR="004055C0"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004055C0" w:rsidRPr="00AC73A1">
        <w:rPr>
          <w:color w:val="000000" w:themeColor="text1"/>
        </w:rPr>
        <w:t>small</w:t>
      </w:r>
      <w:r w:rsidR="00B368B6" w:rsidRPr="00AC73A1">
        <w:rPr>
          <w:color w:val="000000" w:themeColor="text1"/>
        </w:rPr>
        <w:t xml:space="preserve"> to allow stable estimates</w:t>
      </w:r>
      <w:r w:rsidR="004055C0"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1B6A579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C950B8">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system","type":"article-journal","volume":"137"},"uris":["http://www.mendeley.com/documents/?uuid=68d977a8-9daf-4912-825a-6764f476448a"]}],"mendeley":{"formattedCitation":"(Dee et al., 2011)","plainTextFormattedCitation":"(Dee et al., 2011)","previouslyFormattedCitation":"(Dee et al., 2011)"},"properties":{"noteIndex":0},"schema":"https://github.com/citation-style-language/schema/raw/master/csl-citation.json"}</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4B02D5" w:rsidRDefault="004055C0" w:rsidP="004055C0">
      <w:pPr>
        <w:spacing w:line="480" w:lineRule="auto"/>
        <w:jc w:val="both"/>
        <w:outlineLvl w:val="0"/>
        <w:rPr>
          <w:i/>
          <w:color w:val="000000" w:themeColor="text1"/>
        </w:rPr>
      </w:pPr>
      <w:r w:rsidRPr="004B02D5">
        <w:rPr>
          <w:i/>
          <w:color w:val="000000" w:themeColor="text1"/>
        </w:rPr>
        <w:t>Statistical methods</w:t>
      </w:r>
    </w:p>
    <w:p w14:paraId="01E80B34" w14:textId="5C141671" w:rsidR="00D11282" w:rsidRPr="004B02D5" w:rsidRDefault="004055C0" w:rsidP="00DB0E48">
      <w:pPr>
        <w:pStyle w:val="CommentText"/>
        <w:spacing w:line="480" w:lineRule="auto"/>
        <w:jc w:val="both"/>
        <w:rPr>
          <w:rFonts w:ascii="Times New Roman" w:hAnsi="Times New Roman" w:cs="Times New Roman"/>
          <w:color w:val="000000" w:themeColor="text1"/>
          <w:sz w:val="24"/>
          <w:szCs w:val="24"/>
        </w:rPr>
      </w:pPr>
      <w:r w:rsidRPr="004B02D5">
        <w:rPr>
          <w:rFonts w:ascii="Times New Roman" w:hAnsi="Times New Roman" w:cs="Times New Roman"/>
          <w:color w:val="000000" w:themeColor="text1"/>
          <w:sz w:val="24"/>
          <w:szCs w:val="24"/>
        </w:rPr>
        <w:t>We used wavelet analysis to investigate seasonality for each age-sex group. Wavelet analysis uncovers the presence, and frequency, of repeated maxima and minima in each age-sex-specific death rate time series</w:t>
      </w:r>
      <w:r w:rsidR="00F31E70">
        <w:rPr>
          <w:rFonts w:ascii="Times New Roman" w:hAnsi="Times New Roman" w:cs="Times New Roman"/>
          <w:color w:val="000000" w:themeColor="text1"/>
          <w:sz w:val="24"/>
          <w:szCs w:val="24"/>
        </w:rPr>
        <w:t xml:space="preserve"> </w:t>
      </w:r>
      <w:r w:rsidR="00F31E70">
        <w:rPr>
          <w:rFonts w:ascii="Times New Roman" w:hAnsi="Times New Roman" w:cs="Times New Roman"/>
          <w:color w:val="000000" w:themeColor="text1"/>
          <w:sz w:val="24"/>
          <w:szCs w:val="24"/>
        </w:rPr>
        <w:fldChar w:fldCharType="begin" w:fldLock="1"/>
      </w:r>
      <w:r w:rsidR="00B214C5">
        <w:rPr>
          <w:rFonts w:ascii="Times New Roman" w:hAnsi="Times New Roman" w:cs="Times New Roman"/>
          <w:color w:val="000000" w:themeColor="text1"/>
          <w:sz w:val="24"/>
          <w:szCs w:val="24"/>
        </w:rPr>
        <w:instrText>ADDIN CSL_CITATION {"citationItems":[{"id":"ITEM-1","itemData":{"DOI":"10.1175/1520-0477(1998)079&lt;0061:APGTWA&gt;2.0.CO;2","ISBN":"0871706881","ISSN":"00030007","PMID":"21229804","abstract":"A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Society","id":"ITEM-1","issued":{"date-parts":[["1998"]]},"title":"A Practical Guide to Wavelet Analysis","type":"article-journal"},"uris":["http://www.mendeley.com/documents/?uuid=01ea8ad1-904b-46e4-a3e4-6cbc5d8756a0"]},{"id":"ITEM-2","itemData":{"ISBN":"1-56881-047-4","abstract":"This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Burke","non-dropping-particle":"","parse-names":false,"suffix":""}],"id":"ITEM-2","issued":{"date-parts":[["1998"]]},"publisher":"A K Peters/CRC Press","title":"The world according to wavelets: the story of a mathematical technique in the making","type":"book"},"uris":["http://www.mendeley.com/documents/?uuid=c0318730-63cb-4808-bc08-757d8c45d2b1"]}],"mendeley":{"formattedCitation":"(Hubbard, 1998; Torrence &amp; Compo, 1998)","plainTextFormattedCitation":"(Hubbard, 1998; Torrence &amp; Compo, 1998)","previouslyFormattedCitation":"(Hubbard, 1998; Torrence &amp; Compo, 1998)"},"properties":{"noteIndex":0},"schema":"https://github.com/citation-style-language/schema/raw/master/csl-citation.json"}</w:instrText>
      </w:r>
      <w:r w:rsidR="00F31E70">
        <w:rPr>
          <w:rFonts w:ascii="Times New Roman" w:hAnsi="Times New Roman" w:cs="Times New Roman"/>
          <w:color w:val="000000" w:themeColor="text1"/>
          <w:sz w:val="24"/>
          <w:szCs w:val="24"/>
        </w:rPr>
        <w:fldChar w:fldCharType="separate"/>
      </w:r>
      <w:r w:rsidR="00B214C5" w:rsidRPr="00B214C5">
        <w:rPr>
          <w:rFonts w:ascii="Times New Roman" w:hAnsi="Times New Roman" w:cs="Times New Roman"/>
          <w:noProof/>
          <w:color w:val="000000" w:themeColor="text1"/>
          <w:sz w:val="24"/>
          <w:szCs w:val="24"/>
        </w:rPr>
        <w:t>(Hubbard, 1998; Torrence &amp; Compo, 1998)</w:t>
      </w:r>
      <w:r w:rsidR="00F31E70">
        <w:rPr>
          <w:rFonts w:ascii="Times New Roman" w:hAnsi="Times New Roman" w:cs="Times New Roman"/>
          <w:color w:val="000000" w:themeColor="text1"/>
          <w:sz w:val="24"/>
          <w:szCs w:val="24"/>
        </w:rPr>
        <w:fldChar w:fldCharType="end"/>
      </w:r>
      <w:r w:rsidRPr="004B02D5">
        <w:rPr>
          <w:rFonts w:ascii="Times New Roman" w:hAnsi="Times New Roman" w:cs="Times New Roman"/>
          <w:color w:val="000000" w:themeColor="text1"/>
          <w:sz w:val="24"/>
          <w:szCs w:val="24"/>
        </w:rPr>
        <w:t>. In brief, a Morlet wavelet, described in detail elsewhere</w:t>
      </w:r>
      <w:r w:rsidR="00C9555C"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fldChar w:fldCharType="begin" w:fldLock="1"/>
      </w:r>
      <w:r w:rsidR="00C950B8">
        <w:rPr>
          <w:rFonts w:ascii="Times New Roman" w:hAnsi="Times New Roman" w:cs="Times New Roman"/>
          <w:color w:val="000000" w:themeColor="text1"/>
          <w:sz w:val="24"/>
          <w:szCs w:val="24"/>
        </w:rPr>
        <w:instrText>ADDIN CSL_CITATION {"citationItems":[{"id":"ITEM-1","itemData":{"DOI":"10.1007/s00442-008-0993-2","ISBN":"0029-8549","ISSN":"00298549","PMID":"18322705","abstract":"Wavelet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author":[{"dropping-particle":"","family":"Cazelles","given":"Bernard","non-dropping-particle":"","parse-names":false,"suffix":""},{"dropping-particle":"","family":"Chavez","given":"Mario","non-dropping-particle":"","parse-names":false,"suffix":""},{"dropping-particle":"","family":"Berteaux","given":"Dominique","non-dropping-particle":"","parse-names":false,"suffix":""},{"dropping-particle":"","family":"Ménard","given":"Frédéric","non-dropping-particle":"","parse-names":false,"suffix":""},{"dropping-particle":"","family":"Vik","given":"Jon Olav","non-dropping-particle":"","parse-names":false,"suffix":""},{"dropping-particle":"","family":"Jenouvrier","given":"Stéphanie","non-dropping-particle":"","parse-names":false,"suffix":""},{"dropping-particle":"","family":"Stenseth","given":"Nils C.","non-dropping-particle":"","parse-names":false,"suffix":""}],"container-title":"Oecologia","id":"ITEM-1","issue":"2","issued":{"date-parts":[["2008"]]},"page":"287-304","title":"Wavelet analysis of ecological time series","type":"article","volume":"156"},"uris":["http://www.mendeley.com/documents/?uuid=59ae7ae3-a0f5-410c-a027-ae0977becaa1"]}],"mendeley":{"formattedCitation":"(Cazelles et al., 2008)","plainTextFormattedCitation":"(Cazelles et al., 2008)","previouslyFormattedCitation":"(Cazelles et al., 2008)"},"properties":{"noteIndex":0},"schema":"https://github.com/citation-style-language/schema/raw/master/csl-citation.json"}</w:instrText>
      </w:r>
      <w:r w:rsidRPr="004B02D5">
        <w:rPr>
          <w:rFonts w:ascii="Times New Roman" w:hAnsi="Times New Roman" w:cs="Times New Roman"/>
          <w:color w:val="000000" w:themeColor="text1"/>
          <w:sz w:val="24"/>
          <w:szCs w:val="24"/>
        </w:rPr>
        <w:fldChar w:fldCharType="separate"/>
      </w:r>
      <w:r w:rsidR="00BC655C"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00C9555C"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is equivalent to using a moving </w:t>
      </w:r>
      <w:r w:rsidRPr="004B02D5">
        <w:rPr>
          <w:rFonts w:ascii="Times New Roman" w:hAnsi="Times New Roman" w:cs="Times New Roman"/>
          <w:color w:val="000000" w:themeColor="text1"/>
          <w:sz w:val="24"/>
          <w:szCs w:val="24"/>
        </w:rPr>
        <w:lastRenderedPageBreak/>
        <w:t xml:space="preserve">window on the death rate time series and </w:t>
      </w:r>
      <w:r w:rsidR="00592638" w:rsidRPr="004B02D5">
        <w:rPr>
          <w:rFonts w:ascii="Times New Roman" w:hAnsi="Times New Roman" w:cs="Times New Roman"/>
          <w:color w:val="000000" w:themeColor="text1"/>
          <w:sz w:val="24"/>
          <w:szCs w:val="24"/>
        </w:rPr>
        <w:t>analy</w:t>
      </w:r>
      <w:r w:rsidR="007E031A" w:rsidRPr="004B02D5">
        <w:rPr>
          <w:rFonts w:ascii="Times New Roman" w:hAnsi="Times New Roman" w:cs="Times New Roman"/>
          <w:color w:val="000000" w:themeColor="text1"/>
          <w:sz w:val="24"/>
          <w:szCs w:val="24"/>
        </w:rPr>
        <w:t>s</w:t>
      </w:r>
      <w:r w:rsidRPr="004B02D5">
        <w:rPr>
          <w:rFonts w:ascii="Times New Roman" w:hAnsi="Times New Roman" w:cs="Times New Roman"/>
          <w:color w:val="000000" w:themeColor="text1"/>
          <w:sz w:val="24"/>
          <w:szCs w:val="24"/>
        </w:rPr>
        <w:t>ing periodicity in each window using a short-form Fourier transform, hence generating a dynamic spectral analysis</w:t>
      </w:r>
      <w:r w:rsidR="00C04B90" w:rsidRPr="004B02D5">
        <w:rPr>
          <w:rFonts w:ascii="Times New Roman" w:hAnsi="Times New Roman" w:cs="Times New Roman"/>
          <w:color w:val="000000" w:themeColor="text1"/>
          <w:sz w:val="24"/>
          <w:szCs w:val="24"/>
        </w:rPr>
        <w:t>, which allows</w:t>
      </w:r>
      <w:r w:rsidRPr="004B02D5">
        <w:rPr>
          <w:rFonts w:ascii="Times New Roman" w:hAnsi="Times New Roman" w:cs="Times New Roman"/>
          <w:color w:val="000000" w:themeColor="text1"/>
          <w:sz w:val="24"/>
          <w:szCs w:val="24"/>
        </w:rPr>
        <w:t xml:space="preserve"> measur</w:t>
      </w:r>
      <w:r w:rsidR="00C04B90" w:rsidRPr="004B02D5">
        <w:rPr>
          <w:rFonts w:ascii="Times New Roman" w:hAnsi="Times New Roman" w:cs="Times New Roman"/>
          <w:color w:val="000000" w:themeColor="text1"/>
          <w:sz w:val="24"/>
          <w:szCs w:val="24"/>
        </w:rPr>
        <w:t>ing</w:t>
      </w:r>
      <w:r w:rsidRPr="004B02D5">
        <w:rPr>
          <w:rFonts w:ascii="Times New Roman" w:hAnsi="Times New Roman" w:cs="Times New Roman"/>
          <w:color w:val="000000" w:themeColor="text1"/>
          <w:sz w:val="24"/>
          <w:szCs w:val="24"/>
        </w:rPr>
        <w:t xml:space="preserve"> dynamic seasonal </w:t>
      </w:r>
      <w:r w:rsidR="009C58E0" w:rsidRPr="004B02D5">
        <w:rPr>
          <w:rFonts w:ascii="Times New Roman" w:hAnsi="Times New Roman" w:cs="Times New Roman"/>
          <w:color w:val="000000" w:themeColor="text1"/>
          <w:sz w:val="24"/>
          <w:szCs w:val="24"/>
        </w:rPr>
        <w:t>patterns</w:t>
      </w:r>
      <w:r w:rsidRPr="004B02D5">
        <w:rPr>
          <w:rFonts w:ascii="Times New Roman" w:hAnsi="Times New Roman" w:cs="Times New Roman"/>
          <w:color w:val="000000" w:themeColor="text1"/>
          <w:sz w:val="24"/>
          <w:szCs w:val="24"/>
        </w:rPr>
        <w:t xml:space="preserve">, in which the periodicity of death rates may disappear, emerge, or change over time. </w:t>
      </w:r>
      <w:r w:rsidR="00C04B90" w:rsidRPr="004B02D5">
        <w:rPr>
          <w:rFonts w:ascii="Times New Roman" w:hAnsi="Times New Roman" w:cs="Times New Roman"/>
          <w:color w:val="000000" w:themeColor="text1"/>
          <w:sz w:val="24"/>
          <w:szCs w:val="24"/>
        </w:rPr>
        <w:t xml:space="preserve">In addition to coefficients that measure the frequency of periodicity, wavelet analysis </w:t>
      </w:r>
      <w:r w:rsidR="00242DD5">
        <w:rPr>
          <w:rFonts w:ascii="Times New Roman" w:hAnsi="Times New Roman" w:cs="Times New Roman"/>
          <w:color w:val="000000" w:themeColor="text1"/>
          <w:sz w:val="24"/>
          <w:szCs w:val="24"/>
        </w:rPr>
        <w:t>estimates the probability of whether the data are different from the null situation of</w:t>
      </w:r>
      <w:r w:rsidR="00C04B90" w:rsidRPr="004B02D5">
        <w:rPr>
          <w:rFonts w:ascii="Times New Roman" w:hAnsi="Times New Roman" w:cs="Times New Roman"/>
          <w:color w:val="000000" w:themeColor="text1"/>
          <w:sz w:val="24"/>
          <w:szCs w:val="24"/>
        </w:rPr>
        <w:t xml:space="preserve"> random fluctuations that can be represented with white</w:t>
      </w:r>
      <w:r w:rsidR="006F78C7" w:rsidRPr="004B02D5">
        <w:rPr>
          <w:rFonts w:ascii="Times New Roman" w:hAnsi="Times New Roman" w:cs="Times New Roman"/>
          <w:color w:val="000000" w:themeColor="text1"/>
          <w:sz w:val="24"/>
          <w:szCs w:val="24"/>
        </w:rPr>
        <w:t xml:space="preserve"> (an independent random process)</w:t>
      </w:r>
      <w:r w:rsidR="00C04B90" w:rsidRPr="004B02D5">
        <w:rPr>
          <w:rFonts w:ascii="Times New Roman" w:hAnsi="Times New Roman" w:cs="Times New Roman"/>
          <w:color w:val="000000" w:themeColor="text1"/>
          <w:sz w:val="24"/>
          <w:szCs w:val="24"/>
        </w:rPr>
        <w:t xml:space="preserve"> or red </w:t>
      </w:r>
      <w:r w:rsidR="006F78C7" w:rsidRPr="004B02D5">
        <w:rPr>
          <w:rFonts w:ascii="Times New Roman" w:hAnsi="Times New Roman" w:cs="Times New Roman"/>
          <w:color w:val="000000" w:themeColor="text1"/>
          <w:sz w:val="24"/>
          <w:szCs w:val="24"/>
        </w:rPr>
        <w:t xml:space="preserve">(autoregressive of order 1 process) </w:t>
      </w:r>
      <w:r w:rsidR="00C04B90" w:rsidRPr="004B02D5">
        <w:rPr>
          <w:rFonts w:ascii="Times New Roman" w:hAnsi="Times New Roman" w:cs="Times New Roman"/>
          <w:color w:val="000000" w:themeColor="text1"/>
          <w:sz w:val="24"/>
          <w:szCs w:val="24"/>
        </w:rPr>
        <w:t xml:space="preserve">noise. </w:t>
      </w:r>
      <w:r w:rsidR="00D73BA0"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F</w:t>
      </w:r>
      <w:r w:rsidR="00DB0E48" w:rsidRPr="004B02D5">
        <w:rPr>
          <w:rFonts w:ascii="Times New Roman" w:hAnsi="Times New Roman" w:cs="Times New Roman"/>
          <w:color w:val="000000" w:themeColor="text1"/>
          <w:sz w:val="24"/>
          <w:szCs w:val="24"/>
        </w:rPr>
        <w:t>or each age-sex group</w:t>
      </w:r>
      <w:r w:rsidR="00DB0E48">
        <w:rPr>
          <w:rFonts w:ascii="Times New Roman" w:hAnsi="Times New Roman" w:cs="Times New Roman"/>
          <w:color w:val="000000" w:themeColor="text1"/>
          <w:sz w:val="24"/>
          <w:szCs w:val="24"/>
        </w:rPr>
        <w:t>,</w:t>
      </w:r>
      <w:r w:rsidR="00DB0E48"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w</w:t>
      </w:r>
      <w:r w:rsidR="00D73BA0" w:rsidRPr="004B02D5">
        <w:rPr>
          <w:rFonts w:ascii="Times New Roman" w:hAnsi="Times New Roman" w:cs="Times New Roman"/>
          <w:color w:val="000000" w:themeColor="text1"/>
          <w:sz w:val="24"/>
          <w:szCs w:val="24"/>
        </w:rPr>
        <w:t xml:space="preserve">e </w:t>
      </w:r>
      <w:r w:rsidR="00AE2237">
        <w:rPr>
          <w:rFonts w:ascii="Times New Roman" w:hAnsi="Times New Roman" w:cs="Times New Roman"/>
          <w:color w:val="000000" w:themeColor="text1"/>
          <w:sz w:val="24"/>
          <w:szCs w:val="24"/>
        </w:rPr>
        <w:t>calculate</w:t>
      </w:r>
      <w:r w:rsidR="001E141A">
        <w:rPr>
          <w:rFonts w:ascii="Times New Roman" w:hAnsi="Times New Roman" w:cs="Times New Roman"/>
          <w:color w:val="000000" w:themeColor="text1"/>
          <w:sz w:val="24"/>
          <w:szCs w:val="24"/>
        </w:rPr>
        <w:t>d</w:t>
      </w:r>
      <w:r w:rsidR="00B932BE">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 xml:space="preserve">the </w:t>
      </w:r>
      <w:r w:rsidR="00C808A2">
        <w:rPr>
          <w:rFonts w:ascii="Times New Roman" w:hAnsi="Times New Roman" w:cs="Times New Roman"/>
          <w:color w:val="000000" w:themeColor="text1"/>
          <w:sz w:val="24"/>
          <w:szCs w:val="24"/>
        </w:rPr>
        <w:t>p-value</w:t>
      </w:r>
      <w:r w:rsidR="00DB0E48">
        <w:rPr>
          <w:rFonts w:ascii="Times New Roman" w:hAnsi="Times New Roman" w:cs="Times New Roman"/>
          <w:color w:val="000000" w:themeColor="text1"/>
          <w:sz w:val="24"/>
          <w:szCs w:val="24"/>
        </w:rPr>
        <w:t xml:space="preserve">s </w:t>
      </w:r>
      <w:r w:rsidR="003B4F57">
        <w:rPr>
          <w:rFonts w:ascii="Times New Roman" w:hAnsi="Times New Roman" w:cs="Times New Roman"/>
          <w:color w:val="000000" w:themeColor="text1"/>
          <w:sz w:val="24"/>
          <w:szCs w:val="24"/>
        </w:rPr>
        <w:t>of</w:t>
      </w:r>
      <w:r w:rsidR="004773C9">
        <w:rPr>
          <w:rFonts w:ascii="Times New Roman" w:hAnsi="Times New Roman" w:cs="Times New Roman"/>
          <w:color w:val="000000" w:themeColor="text1"/>
          <w:sz w:val="24"/>
          <w:szCs w:val="24"/>
        </w:rPr>
        <w:t xml:space="preserve"> the presence of</w:t>
      </w:r>
      <w:r w:rsidR="009B1F4E">
        <w:rPr>
          <w:rFonts w:ascii="Times New Roman" w:hAnsi="Times New Roman" w:cs="Times New Roman"/>
          <w:color w:val="000000" w:themeColor="text1"/>
          <w:sz w:val="24"/>
          <w:szCs w:val="24"/>
        </w:rPr>
        <w:t xml:space="preserve"> 12-</w:t>
      </w:r>
      <w:r w:rsidR="00EF0AFA">
        <w:rPr>
          <w:rFonts w:ascii="Times New Roman" w:hAnsi="Times New Roman" w:cs="Times New Roman"/>
          <w:color w:val="000000" w:themeColor="text1"/>
          <w:sz w:val="24"/>
          <w:szCs w:val="24"/>
        </w:rPr>
        <w:t xml:space="preserve">month </w:t>
      </w:r>
      <w:r w:rsidR="009B1F4E">
        <w:rPr>
          <w:rFonts w:ascii="Times New Roman" w:hAnsi="Times New Roman" w:cs="Times New Roman"/>
          <w:color w:val="000000" w:themeColor="text1"/>
          <w:sz w:val="24"/>
          <w:szCs w:val="24"/>
        </w:rPr>
        <w:t xml:space="preserve">seasonality </w:t>
      </w:r>
      <w:r w:rsidR="00DB0E48">
        <w:rPr>
          <w:rFonts w:ascii="Times New Roman" w:hAnsi="Times New Roman" w:cs="Times New Roman"/>
          <w:color w:val="000000" w:themeColor="text1"/>
          <w:sz w:val="24"/>
          <w:szCs w:val="24"/>
        </w:rPr>
        <w:t xml:space="preserve">for the </w:t>
      </w:r>
      <w:r w:rsidR="00DB0E48" w:rsidRPr="004B02D5">
        <w:rPr>
          <w:rFonts w:ascii="Times New Roman" w:hAnsi="Times New Roman" w:cs="Times New Roman"/>
          <w:color w:val="000000" w:themeColor="text1"/>
          <w:sz w:val="24"/>
          <w:szCs w:val="24"/>
        </w:rPr>
        <w:t>compar</w:t>
      </w:r>
      <w:r w:rsidR="00DB0E48">
        <w:rPr>
          <w:rFonts w:ascii="Times New Roman" w:hAnsi="Times New Roman" w:cs="Times New Roman"/>
          <w:color w:val="000000" w:themeColor="text1"/>
          <w:sz w:val="24"/>
          <w:szCs w:val="24"/>
        </w:rPr>
        <w:t>ison of</w:t>
      </w:r>
      <w:r w:rsidR="00DB0E48"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 xml:space="preserve">wavelet power spectra </w:t>
      </w:r>
      <w:r w:rsidR="00835BFF" w:rsidRPr="004B02D5">
        <w:rPr>
          <w:rFonts w:ascii="Times New Roman" w:hAnsi="Times New Roman" w:cs="Times New Roman"/>
          <w:color w:val="000000" w:themeColor="text1"/>
          <w:sz w:val="24"/>
          <w:szCs w:val="24"/>
        </w:rPr>
        <w:t>of the entire study period (1980-2016)</w:t>
      </w:r>
      <w:r w:rsidR="001E141A">
        <w:rPr>
          <w:rFonts w:ascii="Times New Roman" w:hAnsi="Times New Roman" w:cs="Times New Roman"/>
          <w:color w:val="000000" w:themeColor="text1"/>
          <w:sz w:val="24"/>
          <w:szCs w:val="24"/>
        </w:rPr>
        <w:t xml:space="preserve"> with 100 simulations</w:t>
      </w:r>
      <w:r w:rsidR="00835BFF"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against a white noise spectrum, which represents random fluctuations</w:t>
      </w:r>
      <w:r w:rsidR="00835BFF" w:rsidRPr="004B02D5">
        <w:rPr>
          <w:rFonts w:ascii="Times New Roman" w:hAnsi="Times New Roman" w:cs="Times New Roman"/>
          <w:color w:val="000000" w:themeColor="text1"/>
          <w:sz w:val="24"/>
          <w:szCs w:val="24"/>
        </w:rPr>
        <w:t>.</w:t>
      </w:r>
      <w:r w:rsidR="00DB0E48" w:rsidRPr="00DB0E48">
        <w:rPr>
          <w:rFonts w:ascii="Times New Roman" w:hAnsi="Times New Roman" w:cs="Times New Roman"/>
          <w:color w:val="000000" w:themeColor="text1"/>
          <w:sz w:val="24"/>
          <w:szCs w:val="24"/>
        </w:rPr>
        <w:t xml:space="preserve"> </w:t>
      </w:r>
      <w:r w:rsidR="00DB0E48" w:rsidRPr="004B02D5">
        <w:rPr>
          <w:rFonts w:ascii="Times New Roman" w:hAnsi="Times New Roman" w:cs="Times New Roman"/>
          <w:color w:val="000000" w:themeColor="text1"/>
          <w:sz w:val="24"/>
          <w:szCs w:val="24"/>
        </w:rPr>
        <w:t xml:space="preserve">We used the R package WaveletComp (version 1.0) for the wavelet analysis. Before analysis, we de-trended death rates using a polynomial regression, and rescaled each death rate time series </w:t>
      </w:r>
      <w:proofErr w:type="gramStart"/>
      <w:r w:rsidR="00DB0E48" w:rsidRPr="004B02D5">
        <w:rPr>
          <w:rFonts w:ascii="Times New Roman" w:hAnsi="Times New Roman" w:cs="Times New Roman"/>
          <w:color w:val="000000" w:themeColor="text1"/>
          <w:sz w:val="24"/>
          <w:szCs w:val="24"/>
        </w:rPr>
        <w:t>so as to</w:t>
      </w:r>
      <w:proofErr w:type="gramEnd"/>
      <w:r w:rsidR="00DB0E48" w:rsidRPr="004B02D5">
        <w:rPr>
          <w:rFonts w:ascii="Times New Roman" w:hAnsi="Times New Roman" w:cs="Times New Roman"/>
          <w:color w:val="000000" w:themeColor="text1"/>
          <w:sz w:val="24"/>
          <w:szCs w:val="24"/>
        </w:rPr>
        <w:t xml:space="preserve"> range between 1 and -1.</w:t>
      </w:r>
    </w:p>
    <w:p w14:paraId="31A9F8D3" w14:textId="77777777" w:rsidR="00D11282" w:rsidRPr="004B02D5" w:rsidRDefault="00D11282" w:rsidP="004055C0">
      <w:pPr>
        <w:pStyle w:val="CommentText"/>
        <w:spacing w:line="480" w:lineRule="auto"/>
        <w:jc w:val="both"/>
        <w:rPr>
          <w:rFonts w:ascii="Times New Roman" w:hAnsi="Times New Roman" w:cs="Times New Roman"/>
          <w:color w:val="000000" w:themeColor="text1"/>
          <w:sz w:val="24"/>
          <w:szCs w:val="24"/>
        </w:rPr>
      </w:pPr>
    </w:p>
    <w:p w14:paraId="1B27BF27" w14:textId="1A706333" w:rsidR="007B551D" w:rsidRDefault="00D11282"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 xml:space="preserve">To identify the months of maximum and minimum death rates, we calculated the centre of gravity and the negative centre of gravity of monthly death rates. </w:t>
      </w:r>
      <w:r w:rsidR="004115F7" w:rsidRPr="004B02D5">
        <w:rPr>
          <w:rFonts w:ascii="Times New Roman" w:hAnsi="Times New Roman" w:cs="Times New Roman"/>
          <w:color w:val="000000" w:themeColor="text1"/>
          <w:sz w:val="24"/>
          <w:szCs w:val="24"/>
        </w:rPr>
        <w:t>C</w:t>
      </w:r>
      <w:r w:rsidR="007E031A" w:rsidRPr="004B02D5">
        <w:rPr>
          <w:rFonts w:ascii="Times New Roman" w:hAnsi="Times New Roman" w:cs="Times New Roman"/>
          <w:color w:val="000000" w:themeColor="text1"/>
          <w:sz w:val="24"/>
          <w:szCs w:val="24"/>
        </w:rPr>
        <w:t>entre</w:t>
      </w:r>
      <w:r w:rsidR="004055C0" w:rsidRPr="004B02D5">
        <w:rPr>
          <w:rFonts w:ascii="Times New Roman" w:hAnsi="Times New Roman" w:cs="Times New Roman"/>
          <w:color w:val="000000" w:themeColor="text1"/>
          <w:sz w:val="24"/>
          <w:szCs w:val="24"/>
        </w:rPr>
        <w:t xml:space="preserve"> of gravity</w:t>
      </w:r>
      <w:r w:rsidR="004115F7" w:rsidRPr="004B02D5">
        <w:rPr>
          <w:rFonts w:ascii="Times New Roman" w:hAnsi="Times New Roman" w:cs="Times New Roman"/>
          <w:color w:val="000000" w:themeColor="text1"/>
          <w:sz w:val="24"/>
          <w:szCs w:val="24"/>
        </w:rPr>
        <w:t xml:space="preserve"> was calculated as a weighted average of months of deaths, with </w:t>
      </w:r>
      <w:r w:rsidR="004055C0" w:rsidRPr="004B02D5">
        <w:rPr>
          <w:rFonts w:ascii="Times New Roman" w:hAnsi="Times New Roman" w:cs="Times New Roman"/>
          <w:color w:val="000000" w:themeColor="text1"/>
          <w:sz w:val="24"/>
          <w:szCs w:val="24"/>
        </w:rPr>
        <w:t xml:space="preserve">each month weighted by its death rate; negative </w:t>
      </w:r>
      <w:r w:rsidR="007E031A" w:rsidRPr="004B02D5">
        <w:rPr>
          <w:rFonts w:ascii="Times New Roman" w:hAnsi="Times New Roman" w:cs="Times New Roman"/>
          <w:color w:val="000000" w:themeColor="text1"/>
          <w:sz w:val="24"/>
          <w:szCs w:val="24"/>
        </w:rPr>
        <w:t>centre</w:t>
      </w:r>
      <w:r w:rsidR="004055C0" w:rsidRPr="004B02D5">
        <w:rPr>
          <w:rFonts w:ascii="Times New Roman" w:hAnsi="Times New Roman" w:cs="Times New Roman"/>
          <w:color w:val="000000" w:themeColor="text1"/>
          <w:sz w:val="24"/>
          <w:szCs w:val="24"/>
        </w:rPr>
        <w:t xml:space="preserve"> of gravity</w:t>
      </w:r>
      <w:r w:rsidR="00035EC0" w:rsidRPr="004B02D5">
        <w:rPr>
          <w:rFonts w:ascii="Times New Roman" w:hAnsi="Times New Roman" w:cs="Times New Roman"/>
          <w:color w:val="000000" w:themeColor="text1"/>
          <w:sz w:val="24"/>
          <w:szCs w:val="24"/>
        </w:rPr>
        <w:t xml:space="preserve"> was also calculated as a weighted average of months of deaths, but with</w:t>
      </w:r>
      <w:r w:rsidR="004055C0" w:rsidRPr="004B02D5">
        <w:rPr>
          <w:rFonts w:ascii="Times New Roman" w:hAnsi="Times New Roman" w:cs="Times New Roman"/>
          <w:color w:val="000000" w:themeColor="text1"/>
          <w:sz w:val="24"/>
          <w:szCs w:val="24"/>
        </w:rPr>
        <w:t xml:space="preserve"> each month was weighted by the difference between its death rate and the year’s maximum death rate. </w:t>
      </w:r>
      <w:r w:rsidR="004055C0" w:rsidRPr="004B02D5">
        <w:rPr>
          <w:rFonts w:ascii="Times New Roman" w:hAnsi="Times New Roman" w:cs="Times New Roman"/>
          <w:sz w:val="24"/>
          <w:szCs w:val="24"/>
        </w:rPr>
        <w:t xml:space="preserve">In taking the weighted average, we allowed </w:t>
      </w:r>
      <w:r w:rsidR="004055C0" w:rsidRPr="004B02D5">
        <w:rPr>
          <w:rFonts w:ascii="Times New Roman" w:hAnsi="Times New Roman" w:cs="Times New Roman"/>
          <w:noProof/>
          <w:sz w:val="24"/>
          <w:szCs w:val="24"/>
        </w:rPr>
        <w:t>December (month 12)</w:t>
      </w:r>
      <w:r w:rsidR="001B58C4">
        <w:rPr>
          <w:rFonts w:ascii="Times New Roman" w:hAnsi="Times New Roman" w:cs="Times New Roman"/>
          <w:noProof/>
          <w:sz w:val="24"/>
          <w:szCs w:val="24"/>
        </w:rPr>
        <w:t xml:space="preserve"> </w:t>
      </w:r>
      <w:r w:rsidR="001B58C4" w:rsidRPr="004B02D5">
        <w:rPr>
          <w:rFonts w:ascii="Times New Roman" w:hAnsi="Times New Roman" w:cs="Times New Roman"/>
          <w:noProof/>
          <w:sz w:val="24"/>
          <w:szCs w:val="24"/>
        </w:rPr>
        <w:t>to neighbour</w:t>
      </w:r>
      <w:r w:rsidR="001B58C4">
        <w:rPr>
          <w:rFonts w:ascii="Times New Roman" w:hAnsi="Times New Roman" w:cs="Times New Roman"/>
          <w:noProof/>
          <w:sz w:val="24"/>
          <w:szCs w:val="24"/>
        </w:rPr>
        <w:t xml:space="preserve"> </w:t>
      </w:r>
      <w:r w:rsidR="001B58C4" w:rsidRPr="004B02D5">
        <w:rPr>
          <w:rFonts w:ascii="Times New Roman" w:hAnsi="Times New Roman" w:cs="Times New Roman"/>
          <w:noProof/>
          <w:sz w:val="24"/>
          <w:szCs w:val="24"/>
        </w:rPr>
        <w:t>January (month 1)</w:t>
      </w:r>
      <w:r w:rsidR="004055C0" w:rsidRPr="004B02D5">
        <w:rPr>
          <w:rFonts w:ascii="Times New Roman" w:hAnsi="Times New Roman" w:cs="Times New Roman"/>
          <w:noProof/>
          <w:sz w:val="24"/>
          <w:szCs w:val="24"/>
        </w:rPr>
        <w:t xml:space="preserve">, </w:t>
      </w:r>
      <w:r w:rsidR="00F418B0">
        <w:rPr>
          <w:rFonts w:ascii="Times New Roman" w:hAnsi="Times New Roman" w:cs="Times New Roman"/>
          <w:noProof/>
          <w:sz w:val="24"/>
          <w:szCs w:val="24"/>
        </w:rPr>
        <w:t xml:space="preserve">representing each month by </w:t>
      </w:r>
      <w:r w:rsidR="00644978">
        <w:rPr>
          <w:rFonts w:ascii="Times New Roman" w:hAnsi="Times New Roman" w:cs="Times New Roman"/>
          <w:noProof/>
          <w:sz w:val="24"/>
          <w:szCs w:val="24"/>
        </w:rPr>
        <w:t xml:space="preserve">an angle subtended from </w:t>
      </w:r>
      <w:r w:rsidR="00F418B0">
        <w:rPr>
          <w:rFonts w:ascii="Times New Roman" w:hAnsi="Times New Roman" w:cs="Times New Roman"/>
          <w:noProof/>
          <w:sz w:val="24"/>
          <w:szCs w:val="24"/>
        </w:rPr>
        <w:t xml:space="preserve">12 equally-spaced points around a unit circle. </w:t>
      </w:r>
      <w:r w:rsidR="007B551D">
        <w:rPr>
          <w:rFonts w:ascii="Times New Roman" w:hAnsi="Times New Roman" w:cs="Times New Roman"/>
          <w:noProof/>
          <w:sz w:val="24"/>
          <w:szCs w:val="24"/>
        </w:rPr>
        <w:t xml:space="preserve">Using </w:t>
      </w:r>
      <w:r w:rsidR="004055C0" w:rsidRPr="004B02D5">
        <w:rPr>
          <w:rFonts w:ascii="Times New Roman" w:hAnsi="Times New Roman" w:cs="Times New Roman"/>
          <w:noProof/>
          <w:sz w:val="24"/>
          <w:szCs w:val="24"/>
        </w:rPr>
        <w:t>a technique called circular statistics</w:t>
      </w:r>
      <w:r w:rsidR="007B551D">
        <w:rPr>
          <w:rFonts w:ascii="Times New Roman" w:hAnsi="Times New Roman" w:cs="Times New Roman"/>
          <w:noProof/>
          <w:sz w:val="24"/>
          <w:szCs w:val="24"/>
        </w:rPr>
        <w:t xml:space="preserve">, </w:t>
      </w:r>
      <w:r w:rsidR="00251005">
        <w:rPr>
          <w:rFonts w:ascii="Times New Roman" w:hAnsi="Times New Roman" w:cs="Times New Roman"/>
          <w:noProof/>
          <w:sz w:val="24"/>
          <w:szCs w:val="24"/>
        </w:rPr>
        <w:t>a mean</w:t>
      </w:r>
      <w:r w:rsidR="00EF429C">
        <w:rPr>
          <w:rFonts w:ascii="Times New Roman" w:hAnsi="Times New Roman" w:cs="Times New Roman"/>
          <w:noProof/>
          <w:sz w:val="24"/>
          <w:szCs w:val="24"/>
        </w:rPr>
        <w:t xml:space="preserve"> </w:t>
      </w:r>
      <m:oMath>
        <m:r>
          <w:rPr>
            <w:rFonts w:ascii="Cambria Math" w:eastAsiaTheme="minorEastAsia" w:hAnsi="Cambria Math" w:cs="Times New Roman"/>
            <w:noProof/>
            <w:sz w:val="24"/>
            <w:szCs w:val="24"/>
          </w:rPr>
          <m:t>(</m:t>
        </m:r>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m:t>
        </m:r>
      </m:oMath>
      <w:r w:rsidR="00251005">
        <w:rPr>
          <w:rFonts w:ascii="Times New Roman" w:hAnsi="Times New Roman" w:cs="Times New Roman"/>
          <w:noProof/>
          <w:sz w:val="24"/>
          <w:szCs w:val="24"/>
        </w:rPr>
        <w:t xml:space="preserve">of </w:t>
      </w:r>
      <w:r w:rsidR="00644978">
        <w:rPr>
          <w:rFonts w:ascii="Times New Roman" w:hAnsi="Times New Roman" w:cs="Times New Roman"/>
          <w:noProof/>
          <w:sz w:val="24"/>
          <w:szCs w:val="24"/>
        </w:rPr>
        <w:t>the angles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1</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2</m:t>
            </m:r>
          </m:sub>
        </m:sSub>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3</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n,</m:t>
            </m:r>
          </m:sub>
        </m:sSub>
      </m:oMath>
      <w:r w:rsidR="00644978">
        <w:rPr>
          <w:rFonts w:ascii="Times New Roman" w:hAnsi="Times New Roman" w:cs="Times New Roman"/>
          <w:noProof/>
          <w:sz w:val="24"/>
          <w:szCs w:val="24"/>
        </w:rPr>
        <w:t>)</w:t>
      </w:r>
      <w:r w:rsidR="00D63463">
        <w:rPr>
          <w:rFonts w:ascii="Times New Roman" w:hAnsi="Times New Roman" w:cs="Times New Roman"/>
          <w:noProof/>
          <w:sz w:val="24"/>
          <w:szCs w:val="24"/>
        </w:rPr>
        <w:t xml:space="preserve"> representing the deaths (with n the total number of deaths in an age-sex group for a particular cause of death) </w:t>
      </w:r>
      <w:r w:rsidR="00644978">
        <w:rPr>
          <w:rFonts w:ascii="Times New Roman" w:hAnsi="Times New Roman" w:cs="Times New Roman"/>
          <w:noProof/>
          <w:sz w:val="24"/>
          <w:szCs w:val="24"/>
        </w:rPr>
        <w:t>is found</w:t>
      </w:r>
      <w:r w:rsidR="00734951">
        <w:rPr>
          <w:rFonts w:ascii="Times New Roman" w:hAnsi="Times New Roman" w:cs="Times New Roman"/>
          <w:noProof/>
          <w:sz w:val="24"/>
          <w:szCs w:val="24"/>
        </w:rPr>
        <w:t xml:space="preserve"> </w:t>
      </w:r>
      <w:r w:rsidR="001B58C4">
        <w:rPr>
          <w:rFonts w:ascii="Times New Roman" w:hAnsi="Times New Roman" w:cs="Times New Roman"/>
          <w:noProof/>
          <w:sz w:val="24"/>
          <w:szCs w:val="24"/>
        </w:rPr>
        <w:t>using the relation below</w:t>
      </w:r>
      <w:r w:rsidR="00644978">
        <w:rPr>
          <w:rFonts w:ascii="Times New Roman" w:hAnsi="Times New Roman" w:cs="Times New Roman"/>
          <w:noProof/>
          <w:sz w:val="24"/>
          <w:szCs w:val="24"/>
        </w:rPr>
        <w:t>:</w:t>
      </w:r>
      <w:r w:rsidR="004055C0" w:rsidRPr="004B02D5">
        <w:rPr>
          <w:rFonts w:ascii="Times New Roman" w:hAnsi="Times New Roman" w:cs="Times New Roman"/>
          <w:noProof/>
          <w:sz w:val="24"/>
          <w:szCs w:val="24"/>
        </w:rPr>
        <w:t xml:space="preserve"> </w:t>
      </w:r>
    </w:p>
    <w:p w14:paraId="3B0FEDA9" w14:textId="40A1EA38" w:rsidR="007B551D" w:rsidRDefault="008D6D4F" w:rsidP="004055C0">
      <w:pPr>
        <w:pStyle w:val="CommentText"/>
        <w:spacing w:line="480" w:lineRule="auto"/>
        <w:jc w:val="both"/>
        <w:rPr>
          <w:rFonts w:ascii="Times New Roman" w:hAnsi="Times New Roman" w:cs="Times New Roman"/>
          <w:noProof/>
          <w:sz w:val="24"/>
          <w:szCs w:val="24"/>
        </w:rPr>
      </w:pPr>
      <m:oMathPara>
        <m:oMath>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=arg</m:t>
          </m:r>
          <m:d>
            <m:dPr>
              <m:begChr m:val="{"/>
              <m:endChr m:val="}"/>
              <m:ctrlPr>
                <w:rPr>
                  <w:rFonts w:ascii="Cambria Math" w:hAnsi="Cambria Math" w:cs="Times New Roman"/>
                  <w:i/>
                  <w:noProof/>
                  <w:sz w:val="24"/>
                  <w:szCs w:val="24"/>
                </w:rPr>
              </m:ctrlPr>
            </m:dPr>
            <m:e>
              <m:nary>
                <m:naryPr>
                  <m:chr m:val="∑"/>
                  <m:limLoc m:val="undOvr"/>
                  <m:ctrlPr>
                    <w:rPr>
                      <w:rFonts w:ascii="Cambria Math" w:hAnsi="Cambria Math" w:cs="Times New Roman"/>
                      <w:i/>
                      <w:noProof/>
                      <w:sz w:val="24"/>
                      <w:szCs w:val="24"/>
                    </w:rPr>
                  </m:ctrlPr>
                </m:naryPr>
                <m:sub>
                  <m:r>
                    <w:rPr>
                      <w:rFonts w:ascii="Cambria Math" w:hAnsi="Cambria Math" w:cs="Times New Roman"/>
                      <w:noProof/>
                      <w:sz w:val="24"/>
                      <w:szCs w:val="24"/>
                    </w:rPr>
                    <m:t>j=1</m:t>
                  </m:r>
                </m:sub>
                <m:sup>
                  <m:r>
                    <w:rPr>
                      <w:rFonts w:ascii="Cambria Math" w:hAnsi="Cambria Math" w:cs="Times New Roman"/>
                      <w:noProof/>
                      <w:sz w:val="24"/>
                      <w:szCs w:val="24"/>
                    </w:rPr>
                    <m:t>n</m:t>
                  </m:r>
                </m:sup>
                <m:e>
                  <m:r>
                    <m:rPr>
                      <m:sty m:val="p"/>
                    </m:rPr>
                    <w:rPr>
                      <w:rFonts w:ascii="Cambria Math" w:hAnsi="Cambria Math" w:cs="Times New Roman"/>
                      <w:noProof/>
                      <w:sz w:val="24"/>
                      <w:szCs w:val="24"/>
                    </w:rPr>
                    <m:t>exp⁡(i</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r>
                    <w:rPr>
                      <w:rFonts w:ascii="Cambria Math" w:hAnsi="Cambria Math" w:cs="Times New Roman"/>
                      <w:noProof/>
                      <w:sz w:val="24"/>
                      <w:szCs w:val="24"/>
                    </w:rPr>
                    <m:t>)</m:t>
                  </m:r>
                </m:e>
              </m:nary>
            </m:e>
          </m:d>
          <m:r>
            <w:rPr>
              <w:rFonts w:ascii="Cambria Math" w:hAnsi="Cambria Math" w:cs="Times New Roman"/>
              <w:noProof/>
              <w:sz w:val="24"/>
              <w:szCs w:val="24"/>
            </w:rPr>
            <m:t>,</m:t>
          </m:r>
        </m:oMath>
      </m:oMathPara>
    </w:p>
    <w:p w14:paraId="4B75FE4F" w14:textId="3181E3AD" w:rsidR="004055C0" w:rsidRPr="004B02D5" w:rsidRDefault="001B58C4" w:rsidP="004055C0">
      <w:pPr>
        <w:pStyle w:val="CommentText"/>
        <w:spacing w:line="48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where </w:t>
      </w:r>
      <w:r w:rsidRPr="00970F73">
        <w:rPr>
          <w:rFonts w:ascii="Times New Roman" w:hAnsi="Times New Roman" w:cs="Times New Roman"/>
          <w:i/>
          <w:noProof/>
          <w:sz w:val="24"/>
          <w:szCs w:val="24"/>
        </w:rPr>
        <w:t>arg</w:t>
      </w:r>
      <w:r>
        <w:rPr>
          <w:rFonts w:ascii="Times New Roman" w:hAnsi="Times New Roman" w:cs="Times New Roman"/>
          <w:noProof/>
          <w:sz w:val="24"/>
          <w:szCs w:val="24"/>
        </w:rPr>
        <w:t xml:space="preserve"> denotes the </w:t>
      </w:r>
      <w:r w:rsidR="00CB655B">
        <w:rPr>
          <w:rFonts w:ascii="Times New Roman" w:hAnsi="Times New Roman" w:cs="Times New Roman"/>
          <w:noProof/>
          <w:sz w:val="24"/>
          <w:szCs w:val="24"/>
        </w:rPr>
        <w:t>complex number</w:t>
      </w:r>
      <w:r>
        <w:rPr>
          <w:rFonts w:ascii="Times New Roman" w:hAnsi="Times New Roman" w:cs="Times New Roman"/>
          <w:noProof/>
          <w:sz w:val="24"/>
          <w:szCs w:val="24"/>
        </w:rPr>
        <w:t xml:space="preserve"> argument and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oMath>
      <w:r w:rsidR="00734951">
        <w:rPr>
          <w:rFonts w:ascii="Times New Roman" w:eastAsiaTheme="minorEastAsia" w:hAnsi="Times New Roman" w:cs="Times New Roman"/>
          <w:noProof/>
          <w:sz w:val="24"/>
          <w:szCs w:val="24"/>
        </w:rPr>
        <w:t xml:space="preserve"> denotes </w:t>
      </w:r>
      <w:r w:rsidR="00CB655B">
        <w:rPr>
          <w:rFonts w:ascii="Times New Roman" w:eastAsiaTheme="minorEastAsia" w:hAnsi="Times New Roman" w:cs="Times New Roman"/>
          <w:noProof/>
          <w:sz w:val="24"/>
          <w:szCs w:val="24"/>
        </w:rPr>
        <w:t xml:space="preserve">the month of death in angular form for a particular death </w:t>
      </w:r>
      <w:r w:rsidR="00CB655B">
        <w:rPr>
          <w:rFonts w:ascii="Times New Roman" w:eastAsiaTheme="minorEastAsia" w:hAnsi="Times New Roman" w:cs="Times New Roman"/>
          <w:i/>
          <w:noProof/>
          <w:sz w:val="24"/>
          <w:szCs w:val="24"/>
        </w:rPr>
        <w:t>j</w:t>
      </w:r>
      <w:r w:rsidR="00CB655B">
        <w:rPr>
          <w:rFonts w:ascii="Times New Roman" w:eastAsiaTheme="minorEastAsia" w:hAnsi="Times New Roman" w:cs="Times New Roman"/>
          <w:noProof/>
          <w:sz w:val="24"/>
          <w:szCs w:val="24"/>
        </w:rPr>
        <w:t xml:space="preserve">. </w:t>
      </w:r>
      <w:r>
        <w:rPr>
          <w:rFonts w:ascii="Times New Roman" w:hAnsi="Times New Roman" w:cs="Times New Roman"/>
          <w:noProof/>
          <w:sz w:val="24"/>
          <w:szCs w:val="24"/>
        </w:rPr>
        <w:t>The outcome of this calculation</w:t>
      </w:r>
      <w:r w:rsidR="001A0364">
        <w:rPr>
          <w:rFonts w:ascii="Times New Roman" w:hAnsi="Times New Roman" w:cs="Times New Roman"/>
          <w:noProof/>
          <w:sz w:val="24"/>
          <w:szCs w:val="24"/>
        </w:rPr>
        <w:t xml:space="preserve"> </w:t>
      </w:r>
      <w:r w:rsidR="00090953">
        <w:rPr>
          <w:rFonts w:ascii="Times New Roman" w:hAnsi="Times New Roman" w:cs="Times New Roman"/>
          <w:noProof/>
          <w:sz w:val="24"/>
          <w:szCs w:val="24"/>
        </w:rPr>
        <w:t>is</w:t>
      </w:r>
      <w:r w:rsidR="001A0364">
        <w:rPr>
          <w:rFonts w:ascii="Times New Roman" w:hAnsi="Times New Roman" w:cs="Times New Roman"/>
          <w:noProof/>
          <w:sz w:val="24"/>
          <w:szCs w:val="24"/>
        </w:rPr>
        <w:t xml:space="preserve"> then converted back into a month value</w:t>
      </w:r>
      <w:r w:rsidR="00757D69">
        <w:rPr>
          <w:rFonts w:ascii="Times New Roman" w:hAnsi="Times New Roman" w:cs="Times New Roman"/>
          <w:noProof/>
          <w:sz w:val="24"/>
          <w:szCs w:val="24"/>
        </w:rPr>
        <w:t xml:space="preserve"> </w:t>
      </w:r>
      <w:r w:rsidR="002A4B30">
        <w:rPr>
          <w:noProof/>
        </w:rPr>
        <w:fldChar w:fldCharType="begin" w:fldLock="1"/>
      </w:r>
      <w:r w:rsidR="00F93CBB">
        <w:rPr>
          <w:rFonts w:ascii="Times New Roman" w:hAnsi="Times New Roman" w:cs="Times New Roman"/>
          <w:noProof/>
          <w:sz w:val="24"/>
          <w:szCs w:val="24"/>
        </w:rPr>
        <w:instrText>ADDIN CSL_CITATION {"citationItems":[{"id":"ITEM-1","itemData":{"author":[{"dropping-particle":"","family":"Fisher","given":"Nicholas I","non-dropping-particle":"","parse-names":false,"suffix":""}],"id":"ITEM-1","issued":{"date-parts":[["1995"]]},"publisher":"Cambridge University Press","title":"Statistical analysis of circular data","type":"book"},"uris":["http://www.mendeley.com/documents/?uuid=e0e696d2-d3a7-48ae-8ad5-7bd596d8089d"]}],"mendeley":{"formattedCitation":"(Fisher, 1995)","plainTextFormattedCitation":"(Fisher, 1995)","previouslyFormattedCitation":"(Fisher, 1995)"},"properties":{"noteIndex":0},"schema":"https://github.com/citation-style-language/schema/raw/master/csl-citation.json"}</w:instrText>
      </w:r>
      <w:r w:rsidR="002A4B30">
        <w:rPr>
          <w:noProof/>
        </w:rPr>
        <w:fldChar w:fldCharType="separate"/>
      </w:r>
      <w:r w:rsidR="002A4B30" w:rsidRPr="002A4B30">
        <w:rPr>
          <w:rFonts w:ascii="Times New Roman" w:hAnsi="Times New Roman" w:cs="Times New Roman"/>
          <w:noProof/>
          <w:sz w:val="24"/>
          <w:szCs w:val="24"/>
        </w:rPr>
        <w:t>(Fisher, 1995)</w:t>
      </w:r>
      <w:r w:rsidR="002A4B30">
        <w:rPr>
          <w:noProof/>
        </w:rPr>
        <w:fldChar w:fldCharType="end"/>
      </w:r>
      <w:r w:rsidR="00EF047D">
        <w:rPr>
          <w:rFonts w:ascii="Times New Roman" w:hAnsi="Times New Roman" w:cs="Times New Roman"/>
          <w:noProof/>
          <w:sz w:val="24"/>
          <w:szCs w:val="24"/>
        </w:rPr>
        <w:t>.</w:t>
      </w:r>
      <w:r w:rsidR="0098017B">
        <w:rPr>
          <w:rFonts w:ascii="Times New Roman" w:hAnsi="Times New Roman" w:cs="Times New Roman"/>
          <w:noProof/>
          <w:sz w:val="24"/>
          <w:szCs w:val="24"/>
        </w:rPr>
        <w:t xml:space="preserve"> </w:t>
      </w:r>
      <w:r w:rsidR="004055C0" w:rsidRPr="004B02D5">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(version 0.2.4) was used for this </w:t>
      </w:r>
      <w:r w:rsidR="0098017B">
        <w:rPr>
          <w:rFonts w:ascii="Times New Roman" w:hAnsi="Times New Roman" w:cs="Times New Roman"/>
          <w:color w:val="000000" w:themeColor="text1"/>
          <w:sz w:val="24"/>
          <w:szCs w:val="24"/>
        </w:rPr>
        <w:t>analysis</w:t>
      </w:r>
      <w:r w:rsidR="004055C0" w:rsidRPr="004B02D5">
        <w:rPr>
          <w:rFonts w:ascii="Times New Roman" w:hAnsi="Times New Roman" w:cs="Times New Roman"/>
          <w:color w:val="000000" w:themeColor="text1"/>
          <w:sz w:val="24"/>
          <w:szCs w:val="24"/>
        </w:rPr>
        <w:t>.</w:t>
      </w:r>
    </w:p>
    <w:p w14:paraId="08A9E90E" w14:textId="77777777" w:rsidR="004055C0" w:rsidRPr="004B02D5" w:rsidRDefault="004055C0" w:rsidP="004055C0">
      <w:pPr>
        <w:spacing w:line="480" w:lineRule="auto"/>
        <w:jc w:val="both"/>
        <w:rPr>
          <w:color w:val="000000" w:themeColor="text1"/>
        </w:rPr>
      </w:pPr>
    </w:p>
    <w:p w14:paraId="4B96CF47" w14:textId="6B33C779" w:rsidR="00CC3184" w:rsidRPr="004B02D5" w:rsidRDefault="004115F7" w:rsidP="00CC3184">
      <w:pPr>
        <w:spacing w:line="480" w:lineRule="auto"/>
        <w:jc w:val="both"/>
        <w:rPr>
          <w:color w:val="000000" w:themeColor="text1"/>
        </w:rPr>
      </w:pPr>
      <w:r w:rsidRPr="004B02D5">
        <w:rPr>
          <w:color w:val="000000" w:themeColor="text1"/>
        </w:rPr>
        <w:t>For each age</w:t>
      </w:r>
      <w:r w:rsidR="00351CDA">
        <w:rPr>
          <w:color w:val="000000" w:themeColor="text1"/>
        </w:rPr>
        <w:t>-</w:t>
      </w:r>
      <w:r w:rsidRPr="004B02D5">
        <w:rPr>
          <w:color w:val="000000" w:themeColor="text1"/>
        </w:rPr>
        <w:t>sex group</w:t>
      </w:r>
      <w:r w:rsidR="00351CDA">
        <w:rPr>
          <w:color w:val="000000" w:themeColor="text1"/>
        </w:rPr>
        <w:t xml:space="preserve"> and cause of death</w:t>
      </w:r>
      <w:r w:rsidRPr="004B02D5">
        <w:rPr>
          <w:color w:val="000000" w:themeColor="text1"/>
        </w:rPr>
        <w:t xml:space="preserve">, </w:t>
      </w:r>
      <w:r w:rsidR="00CC3184">
        <w:rPr>
          <w:color w:val="000000" w:themeColor="text1"/>
        </w:rPr>
        <w:t>and for each year, we calculate</w:t>
      </w:r>
      <w:r w:rsidR="0098017B">
        <w:rPr>
          <w:color w:val="000000" w:themeColor="text1"/>
        </w:rPr>
        <w:t>d</w:t>
      </w:r>
      <w:r w:rsidR="00CC3184">
        <w:rPr>
          <w:color w:val="000000" w:themeColor="text1"/>
        </w:rPr>
        <w:t xml:space="preserve"> the percent difference in death rates between the maximum and minimum mortality months. W</w:t>
      </w:r>
      <w:r w:rsidRPr="004B02D5">
        <w:rPr>
          <w:color w:val="000000" w:themeColor="text1"/>
        </w:rPr>
        <w:t xml:space="preserve">e </w:t>
      </w:r>
      <w:r w:rsidR="004055C0" w:rsidRPr="004B02D5">
        <w:rPr>
          <w:color w:val="000000" w:themeColor="text1"/>
        </w:rPr>
        <w:t>fitted a linear regression to the time series of seasonal differences</w:t>
      </w:r>
      <w:r w:rsidRPr="004B02D5">
        <w:rPr>
          <w:color w:val="000000" w:themeColor="text1"/>
        </w:rPr>
        <w:t xml:space="preserve"> from 1980 to 2016</w:t>
      </w:r>
      <w:r w:rsidR="00DC34FB">
        <w:rPr>
          <w:color w:val="000000" w:themeColor="text1"/>
        </w:rPr>
        <w:t>, and used</w:t>
      </w:r>
      <w:r w:rsidR="00DC34FB" w:rsidRPr="004B02D5">
        <w:rPr>
          <w:color w:val="000000" w:themeColor="text1"/>
        </w:rPr>
        <w:t xml:space="preserve"> </w:t>
      </w:r>
      <w:r w:rsidRPr="004B02D5">
        <w:rPr>
          <w:color w:val="000000" w:themeColor="text1"/>
        </w:rPr>
        <w:t>the fitted trend line to estimate how much the percentage difference in death rates between the maximum and minimum mortality months had changed from 1980 to 2016</w:t>
      </w:r>
      <w:r w:rsidR="003A719E">
        <w:rPr>
          <w:color w:val="000000" w:themeColor="text1"/>
        </w:rPr>
        <w:t xml:space="preserve">. </w:t>
      </w:r>
      <w:r w:rsidR="00DE4035">
        <w:rPr>
          <w:color w:val="000000" w:themeColor="text1"/>
        </w:rPr>
        <w:t xml:space="preserve">We </w:t>
      </w:r>
      <w:r w:rsidRPr="004B02D5">
        <w:rPr>
          <w:color w:val="000000" w:themeColor="text1"/>
        </w:rPr>
        <w:t>weight</w:t>
      </w:r>
      <w:r w:rsidR="003A719E">
        <w:rPr>
          <w:color w:val="000000" w:themeColor="text1"/>
        </w:rPr>
        <w:t>ed</w:t>
      </w:r>
      <w:r w:rsidRPr="004B02D5">
        <w:rPr>
          <w:color w:val="000000" w:themeColor="text1"/>
        </w:rPr>
        <w:t xml:space="preserve"> </w:t>
      </w:r>
      <w:r w:rsidR="002977CC">
        <w:rPr>
          <w:color w:val="000000" w:themeColor="text1"/>
        </w:rPr>
        <w:t>seasonal difference</w:t>
      </w:r>
      <w:r w:rsidRPr="004B02D5">
        <w:rPr>
          <w:color w:val="000000" w:themeColor="text1"/>
        </w:rPr>
        <w:t xml:space="preserve"> by the inverse of the square of its standard error</w:t>
      </w:r>
      <w:r w:rsidR="003A719E">
        <w:rPr>
          <w:color w:val="000000" w:themeColor="text1"/>
        </w:rPr>
        <w:t>, which was calculated using a Poisson model to take population size of each age-sex group through time into account.</w:t>
      </w:r>
      <w:r w:rsidR="00351CDA">
        <w:rPr>
          <w:color w:val="000000" w:themeColor="text1"/>
        </w:rPr>
        <w:t xml:space="preserve"> This method gives us a p-value and a 95% CI for the change in seasonal difference</w:t>
      </w:r>
      <w:r w:rsidR="002977CC">
        <w:rPr>
          <w:color w:val="000000" w:themeColor="text1"/>
        </w:rPr>
        <w:t xml:space="preserve"> per year, which we used to calculate the seasonal difference at the start (1980) and end (2016) of the period of study.</w:t>
      </w:r>
      <w:r w:rsidR="004F361B">
        <w:rPr>
          <w:color w:val="000000" w:themeColor="text1"/>
        </w:rPr>
        <w:t xml:space="preserve"> </w:t>
      </w:r>
      <w:r w:rsidR="00CC3184">
        <w:rPr>
          <w:color w:val="000000" w:themeColor="text1"/>
        </w:rPr>
        <w:t xml:space="preserve">Our method of analysing seasonal differences avoids </w:t>
      </w:r>
      <w:proofErr w:type="gramStart"/>
      <w:r w:rsidR="00CC3184" w:rsidRPr="004F361B">
        <w:rPr>
          <w:color w:val="000000" w:themeColor="text1"/>
        </w:rPr>
        <w:t>assuming that</w:t>
      </w:r>
      <w:proofErr w:type="gramEnd"/>
      <w:r w:rsidR="00CC3184" w:rsidRPr="004F361B">
        <w:rPr>
          <w:color w:val="000000" w:themeColor="text1"/>
        </w:rPr>
        <w:t xml:space="preserve"> any </w:t>
      </w:r>
      <w:r w:rsidR="00CC3184">
        <w:rPr>
          <w:color w:val="000000" w:themeColor="text1"/>
        </w:rPr>
        <w:t>specific month or group of months represent</w:t>
      </w:r>
      <w:r w:rsidR="00CC3184" w:rsidRPr="004F361B">
        <w:rPr>
          <w:color w:val="000000" w:themeColor="text1"/>
        </w:rPr>
        <w:t xml:space="preserve"> </w:t>
      </w:r>
      <w:r w:rsidR="00CC3184">
        <w:rPr>
          <w:color w:val="000000" w:themeColor="text1"/>
        </w:rPr>
        <w:t>highest and lowest</w:t>
      </w:r>
      <w:r w:rsidR="00CC3184" w:rsidRPr="004F361B">
        <w:rPr>
          <w:color w:val="000000" w:themeColor="text1"/>
        </w:rPr>
        <w:t xml:space="preserve"> number of deaths for a particular cause of death</w:t>
      </w:r>
      <w:r w:rsidR="00CC3184">
        <w:rPr>
          <w:color w:val="000000" w:themeColor="text1"/>
        </w:rPr>
        <w:t>, which is the approach taken by the traditional measure of Excess Winter Deaths</w:t>
      </w:r>
      <w:r w:rsidR="00CC3184" w:rsidRPr="004F361B">
        <w:rPr>
          <w:color w:val="000000" w:themeColor="text1"/>
        </w:rPr>
        <w:t xml:space="preserve">. </w:t>
      </w:r>
      <w:r w:rsidR="00D67971">
        <w:rPr>
          <w:color w:val="000000" w:themeColor="text1"/>
        </w:rPr>
        <w:t>It also allows the maximum and minimum mortality months to vary by age group, sex and cause of death.</w:t>
      </w:r>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lastRenderedPageBreak/>
        <w:t>Robbie Parks is supported by a Wellcome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
      </w:pPr>
    </w:p>
    <w:p w14:paraId="244CBBA5" w14:textId="77777777" w:rsidR="00592BE6" w:rsidRPr="00AC73A1" w:rsidRDefault="00592BE6" w:rsidP="00592BE6">
      <w:pPr>
        <w:spacing w:line="480" w:lineRule="auto"/>
        <w:jc w:val="both"/>
        <w:rPr>
          <w:b/>
          <w:color w:val="000000" w:themeColor="text1"/>
        </w:rPr>
      </w:pPr>
      <w:r w:rsidRPr="00AC73A1">
        <w:rPr>
          <w:b/>
          <w:color w:val="000000" w:themeColor="text1"/>
        </w:rPr>
        <w:t>Author contributions</w:t>
      </w:r>
    </w:p>
    <w:p w14:paraId="2EC76E07" w14:textId="77777777" w:rsidR="00592BE6" w:rsidRPr="00AC73A1" w:rsidRDefault="00592BE6" w:rsidP="00592BE6">
      <w:pPr>
        <w:spacing w:line="480" w:lineRule="auto"/>
        <w:jc w:val="both"/>
        <w:rPr>
          <w:color w:val="000000" w:themeColor="text1"/>
        </w:rPr>
      </w:pPr>
      <w:r w:rsidRPr="00AC73A1">
        <w:rPr>
          <w:color w:val="000000" w:themeColor="text1"/>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1DF1BB7C" w:rsidR="000210D1" w:rsidRPr="00AC73A1" w:rsidRDefault="00FA30B3" w:rsidP="00C33FFB">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rsidP="004F361B">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0D2AC2">
      <w:pPr>
        <w:widowControl w:val="0"/>
        <w:autoSpaceDE w:val="0"/>
        <w:autoSpaceDN w:val="0"/>
        <w:adjustRightInd w:val="0"/>
        <w:ind w:left="640" w:hanging="640"/>
        <w:jc w:val="both"/>
        <w:rPr>
          <w:b/>
          <w:color w:val="000000" w:themeColor="text1"/>
        </w:rPr>
      </w:pPr>
    </w:p>
    <w:p w14:paraId="1D5D884B" w14:textId="3AA2E74D" w:rsidR="00B214C5" w:rsidRPr="00B214C5" w:rsidRDefault="009D5B4B" w:rsidP="00AC1F08">
      <w:pPr>
        <w:widowControl w:val="0"/>
        <w:autoSpaceDE w:val="0"/>
        <w:autoSpaceDN w:val="0"/>
        <w:adjustRightInd w:val="0"/>
        <w:ind w:left="480" w:hanging="480"/>
        <w:jc w:val="both"/>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B214C5" w:rsidRPr="00B214C5">
        <w:rPr>
          <w:rFonts w:eastAsia="Times New Roman"/>
          <w:noProof/>
        </w:rPr>
        <w:t xml:space="preserve">Basu, R. (2009). High ambient temperature and mortality: A review of epidemiologic studies from 2001 to 2008. </w:t>
      </w:r>
      <w:r w:rsidR="00B214C5" w:rsidRPr="00B214C5">
        <w:rPr>
          <w:rFonts w:eastAsia="Times New Roman"/>
          <w:i/>
          <w:iCs/>
          <w:noProof/>
        </w:rPr>
        <w:t>Environmental Health: A Global Access Science Source</w:t>
      </w:r>
      <w:r w:rsidR="00B214C5" w:rsidRPr="00B214C5">
        <w:rPr>
          <w:rFonts w:eastAsia="Times New Roman"/>
          <w:noProof/>
        </w:rPr>
        <w:t>. https://doi.org/10.1186/1476-069X-8-40</w:t>
      </w:r>
    </w:p>
    <w:p w14:paraId="28426204"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Basu, R., &amp; Samet, J. M. (2002). Relation between elevated ambient temperature and mortality: A review of the epidemiologic evidence. </w:t>
      </w:r>
      <w:r w:rsidRPr="00B214C5">
        <w:rPr>
          <w:rFonts w:eastAsia="Times New Roman"/>
          <w:i/>
          <w:iCs/>
          <w:noProof/>
        </w:rPr>
        <w:t>Epidemiologic Reviews</w:t>
      </w:r>
      <w:r w:rsidRPr="00B214C5">
        <w:rPr>
          <w:rFonts w:eastAsia="Times New Roman"/>
          <w:noProof/>
        </w:rPr>
        <w:t>. https://doi.org/10.1093/epirev/mxf007</w:t>
      </w:r>
    </w:p>
    <w:p w14:paraId="15B6F2D8"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Bennett, J. E., Blangiardo, M., Fecht, D., Elliott, P., &amp; Ezzati, M. (2014). Vulnerability to the mortality effects of warm temperature in the districts of England and Wales. </w:t>
      </w:r>
      <w:r w:rsidRPr="00B214C5">
        <w:rPr>
          <w:rFonts w:eastAsia="Times New Roman"/>
          <w:i/>
          <w:iCs/>
          <w:noProof/>
        </w:rPr>
        <w:t>Nature Climate Change</w:t>
      </w:r>
      <w:r w:rsidRPr="00B214C5">
        <w:rPr>
          <w:rFonts w:eastAsia="Times New Roman"/>
          <w:noProof/>
        </w:rPr>
        <w:t xml:space="preserve">, </w:t>
      </w:r>
      <w:r w:rsidRPr="00B214C5">
        <w:rPr>
          <w:rFonts w:eastAsia="Times New Roman"/>
          <w:i/>
          <w:iCs/>
          <w:noProof/>
        </w:rPr>
        <w:t>4</w:t>
      </w:r>
      <w:r w:rsidRPr="00B214C5">
        <w:rPr>
          <w:rFonts w:eastAsia="Times New Roman"/>
          <w:noProof/>
        </w:rPr>
        <w:t>(4), 269–273. https://doi.org/10.1038/nclimate2123</w:t>
      </w:r>
    </w:p>
    <w:p w14:paraId="268F159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Bobb, J. F., Peng, R. D., Bell, M. L., &amp; Dominici, F. (2014). Heat-related mortality and adaptation to heat in the United States. </w:t>
      </w:r>
      <w:r w:rsidRPr="00B214C5">
        <w:rPr>
          <w:rFonts w:eastAsia="Times New Roman"/>
          <w:i/>
          <w:iCs/>
          <w:noProof/>
        </w:rPr>
        <w:t>Environmental Health Perspectives</w:t>
      </w:r>
      <w:r w:rsidRPr="00B214C5">
        <w:rPr>
          <w:rFonts w:eastAsia="Times New Roman"/>
          <w:noProof/>
        </w:rPr>
        <w:t xml:space="preserve">, </w:t>
      </w:r>
      <w:r w:rsidRPr="00B214C5">
        <w:rPr>
          <w:rFonts w:eastAsia="Times New Roman"/>
          <w:i/>
          <w:iCs/>
          <w:noProof/>
        </w:rPr>
        <w:t>122</w:t>
      </w:r>
      <w:r w:rsidRPr="00B214C5">
        <w:rPr>
          <w:rFonts w:eastAsia="Times New Roman"/>
          <w:noProof/>
        </w:rPr>
        <w:t>(8), 811–816. https://doi.org/10.1289/ehp.1307392</w:t>
      </w:r>
    </w:p>
    <w:p w14:paraId="5A3B585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Braga, A. L. F., Zanobetti, A., &amp; Schwartz, J. (2002). The effect of weather on respiratory and cardiovascular deaths in 12 U.S. cities. </w:t>
      </w:r>
      <w:r w:rsidRPr="00B214C5">
        <w:rPr>
          <w:rFonts w:eastAsia="Times New Roman"/>
          <w:i/>
          <w:iCs/>
          <w:noProof/>
        </w:rPr>
        <w:t>Environmental Health Perspectives</w:t>
      </w:r>
      <w:r w:rsidRPr="00B214C5">
        <w:rPr>
          <w:rFonts w:eastAsia="Times New Roman"/>
          <w:noProof/>
        </w:rPr>
        <w:t xml:space="preserve">, </w:t>
      </w:r>
      <w:r w:rsidRPr="00B214C5">
        <w:rPr>
          <w:rFonts w:eastAsia="Times New Roman"/>
          <w:i/>
          <w:iCs/>
          <w:noProof/>
        </w:rPr>
        <w:t>110</w:t>
      </w:r>
      <w:r w:rsidRPr="00B214C5">
        <w:rPr>
          <w:rFonts w:eastAsia="Times New Roman"/>
          <w:noProof/>
        </w:rPr>
        <w:t>(9), 859–863. https://doi.org/10.1289/ehp.02110859</w:t>
      </w:r>
    </w:p>
    <w:p w14:paraId="31B97E7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Campbell, A. (2017). Excess winter mortality in England and Wales: 2016 to 2017 (provisional) and 2015 to 2016 (final). </w:t>
      </w:r>
      <w:r w:rsidRPr="00B214C5">
        <w:rPr>
          <w:rFonts w:eastAsia="Times New Roman"/>
          <w:i/>
          <w:iCs/>
          <w:noProof/>
        </w:rPr>
        <w:t>Statistical Bulletin, Office for National Statistics</w:t>
      </w:r>
      <w:r w:rsidRPr="00B214C5">
        <w:rPr>
          <w:rFonts w:eastAsia="Times New Roman"/>
          <w:noProof/>
        </w:rPr>
        <w:t>.</w:t>
      </w:r>
    </w:p>
    <w:p w14:paraId="34365CA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Carson, C., Hajat, S., Armstrong, B., &amp; Wilkinson, P. (2006). Declining vulnerability to temperature-related mortality in London over the 20th century. </w:t>
      </w:r>
      <w:r w:rsidRPr="00B214C5">
        <w:rPr>
          <w:rFonts w:eastAsia="Times New Roman"/>
          <w:i/>
          <w:iCs/>
          <w:noProof/>
        </w:rPr>
        <w:t>American Journal of Epidemiology</w:t>
      </w:r>
      <w:r w:rsidRPr="00B214C5">
        <w:rPr>
          <w:rFonts w:eastAsia="Times New Roman"/>
          <w:noProof/>
        </w:rPr>
        <w:t xml:space="preserve">, </w:t>
      </w:r>
      <w:r w:rsidRPr="00B214C5">
        <w:rPr>
          <w:rFonts w:eastAsia="Times New Roman"/>
          <w:i/>
          <w:iCs/>
          <w:noProof/>
        </w:rPr>
        <w:t>164</w:t>
      </w:r>
      <w:r w:rsidRPr="00B214C5">
        <w:rPr>
          <w:rFonts w:eastAsia="Times New Roman"/>
          <w:noProof/>
        </w:rPr>
        <w:t>(1), 77–84. https://doi.org/10.1093/aje/kwj147</w:t>
      </w:r>
    </w:p>
    <w:p w14:paraId="248E1577"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Cazelles, B., Chavez, M., Berteaux, D., Ménard, F., Vik, J. O., Jenouvrier, S., &amp; Stenseth, N. C. (2008). Wavelet analysis of ecological time series. </w:t>
      </w:r>
      <w:r w:rsidRPr="00B214C5">
        <w:rPr>
          <w:rFonts w:eastAsia="Times New Roman"/>
          <w:i/>
          <w:iCs/>
          <w:noProof/>
        </w:rPr>
        <w:t>Oecologia</w:t>
      </w:r>
      <w:r w:rsidRPr="00B214C5">
        <w:rPr>
          <w:rFonts w:eastAsia="Times New Roman"/>
          <w:noProof/>
        </w:rPr>
        <w:t>. https://doi.org/10.1007/s00442-008-0993-2</w:t>
      </w:r>
    </w:p>
    <w:p w14:paraId="79DA4E0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Davis, R. E., Knappenberger, P. C., Michaels, P. J., &amp; Novicoff, W. M. (2004). Seasonality of climate-human mortality relationships in US cities and impacts of climate change. </w:t>
      </w:r>
      <w:r w:rsidRPr="00B214C5">
        <w:rPr>
          <w:rFonts w:eastAsia="Times New Roman"/>
          <w:i/>
          <w:iCs/>
          <w:noProof/>
        </w:rPr>
        <w:t>Climate Research</w:t>
      </w:r>
      <w:r w:rsidRPr="00B214C5">
        <w:rPr>
          <w:rFonts w:eastAsia="Times New Roman"/>
          <w:noProof/>
        </w:rPr>
        <w:t xml:space="preserve">, </w:t>
      </w:r>
      <w:r w:rsidRPr="00B214C5">
        <w:rPr>
          <w:rFonts w:eastAsia="Times New Roman"/>
          <w:i/>
          <w:iCs/>
          <w:noProof/>
        </w:rPr>
        <w:t>26</w:t>
      </w:r>
      <w:r w:rsidRPr="00B214C5">
        <w:rPr>
          <w:rFonts w:eastAsia="Times New Roman"/>
          <w:noProof/>
        </w:rPr>
        <w:t>(1), 61–76. Retrieved from internal-pdf://32.0.35.211/paper.pdf</w:t>
      </w:r>
    </w:p>
    <w:p w14:paraId="46F0F7B4"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Dee, D. P., Uppala, S. M., Simmons, A. J., Berrisford, P., Poli, P., Kobayashi, S., … Vitart, F. (2011). The ERA-Interim reanalysis: configuration and performance of the data assimilation system. </w:t>
      </w:r>
      <w:r w:rsidRPr="00B214C5">
        <w:rPr>
          <w:rFonts w:eastAsia="Times New Roman"/>
          <w:i/>
          <w:iCs/>
          <w:noProof/>
        </w:rPr>
        <w:t>Quarterly Journal of the Royal Meteorological Society</w:t>
      </w:r>
      <w:r w:rsidRPr="00B214C5">
        <w:rPr>
          <w:rFonts w:eastAsia="Times New Roman"/>
          <w:noProof/>
        </w:rPr>
        <w:t xml:space="preserve">, </w:t>
      </w:r>
      <w:r w:rsidRPr="00B214C5">
        <w:rPr>
          <w:rFonts w:eastAsia="Times New Roman"/>
          <w:i/>
          <w:iCs/>
          <w:noProof/>
        </w:rPr>
        <w:t>137</w:t>
      </w:r>
      <w:r w:rsidRPr="00B214C5">
        <w:rPr>
          <w:rFonts w:eastAsia="Times New Roman"/>
          <w:noProof/>
        </w:rPr>
        <w:t>(656), 553–597. https://doi.org/10.1002/qj.828</w:t>
      </w:r>
    </w:p>
    <w:p w14:paraId="255B8A0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Feinstein, C. A. (2002). Seasonality of deaths in the U.S. by age and cause. </w:t>
      </w:r>
      <w:r w:rsidRPr="00B214C5">
        <w:rPr>
          <w:rFonts w:eastAsia="Times New Roman"/>
          <w:i/>
          <w:iCs/>
          <w:noProof/>
        </w:rPr>
        <w:t>Demographic Research</w:t>
      </w:r>
      <w:r w:rsidRPr="00B214C5">
        <w:rPr>
          <w:rFonts w:eastAsia="Times New Roman"/>
          <w:noProof/>
        </w:rPr>
        <w:t xml:space="preserve">, </w:t>
      </w:r>
      <w:r w:rsidRPr="00B214C5">
        <w:rPr>
          <w:rFonts w:eastAsia="Times New Roman"/>
          <w:i/>
          <w:iCs/>
          <w:noProof/>
        </w:rPr>
        <w:t>6</w:t>
      </w:r>
      <w:r w:rsidRPr="00B214C5">
        <w:rPr>
          <w:rFonts w:eastAsia="Times New Roman"/>
          <w:noProof/>
        </w:rPr>
        <w:t>, 469–486. https://doi.org/10.4054/DemRes.2002.6.17</w:t>
      </w:r>
    </w:p>
    <w:p w14:paraId="43CB465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Ferreira Braga, A. L., Zanobetti, A., &amp; Schwartz, J. (2001). The time course of weather-related deaths. </w:t>
      </w:r>
      <w:r w:rsidRPr="00B214C5">
        <w:rPr>
          <w:rFonts w:eastAsia="Times New Roman"/>
          <w:i/>
          <w:iCs/>
          <w:noProof/>
        </w:rPr>
        <w:t>Epidemiology</w:t>
      </w:r>
      <w:r w:rsidRPr="00B214C5">
        <w:rPr>
          <w:rFonts w:eastAsia="Times New Roman"/>
          <w:noProof/>
        </w:rPr>
        <w:t xml:space="preserve">, </w:t>
      </w:r>
      <w:r w:rsidRPr="00B214C5">
        <w:rPr>
          <w:rFonts w:eastAsia="Times New Roman"/>
          <w:i/>
          <w:iCs/>
          <w:noProof/>
        </w:rPr>
        <w:t>12</w:t>
      </w:r>
      <w:r w:rsidRPr="00B214C5">
        <w:rPr>
          <w:rFonts w:eastAsia="Times New Roman"/>
          <w:noProof/>
        </w:rPr>
        <w:t>(6), 662–667. https://doi.org/10.1097/00001648-200111000-00014</w:t>
      </w:r>
    </w:p>
    <w:p w14:paraId="68569E5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Fisher, N. I. (1995). </w:t>
      </w:r>
      <w:r w:rsidRPr="00B214C5">
        <w:rPr>
          <w:rFonts w:eastAsia="Times New Roman"/>
          <w:i/>
          <w:iCs/>
          <w:noProof/>
        </w:rPr>
        <w:t>Statistical analysis of circular data</w:t>
      </w:r>
      <w:r w:rsidRPr="00B214C5">
        <w:rPr>
          <w:rFonts w:eastAsia="Times New Roman"/>
          <w:noProof/>
        </w:rPr>
        <w:t>. Cambridge University Press.</w:t>
      </w:r>
    </w:p>
    <w:p w14:paraId="5E048F65"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Fowler, T., Southgate, R. J., Waite, T., Harrell, R., Kovats, S., Bone, A., … Murray, V. (2015). Excess winter deaths in Europe: A multi-country descriptive analysis. </w:t>
      </w:r>
      <w:r w:rsidRPr="00B214C5">
        <w:rPr>
          <w:rFonts w:eastAsia="Times New Roman"/>
          <w:i/>
          <w:iCs/>
          <w:noProof/>
        </w:rPr>
        <w:t>European Journal of Public Health</w:t>
      </w:r>
      <w:r w:rsidRPr="00B214C5">
        <w:rPr>
          <w:rFonts w:eastAsia="Times New Roman"/>
          <w:noProof/>
        </w:rPr>
        <w:t xml:space="preserve">, </w:t>
      </w:r>
      <w:r w:rsidRPr="00B214C5">
        <w:rPr>
          <w:rFonts w:eastAsia="Times New Roman"/>
          <w:i/>
          <w:iCs/>
          <w:noProof/>
        </w:rPr>
        <w:t>25</w:t>
      </w:r>
      <w:r w:rsidRPr="00B214C5">
        <w:rPr>
          <w:rFonts w:eastAsia="Times New Roman"/>
          <w:noProof/>
        </w:rPr>
        <w:t>(2), 339–345. https://doi.org/10.1093/eurpub/cku073</w:t>
      </w:r>
    </w:p>
    <w:p w14:paraId="6FFE0D3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Gasparrini, A., Guo, Y., Hashizume, M., Lavigne, E., Zanobetti, A., Schwartz, J., … Armstrong, B. (2015). Mortality risk attributable to high and low ambient temperature: A multicountry observational study. </w:t>
      </w:r>
      <w:r w:rsidRPr="00B214C5">
        <w:rPr>
          <w:rFonts w:eastAsia="Times New Roman"/>
          <w:i/>
          <w:iCs/>
          <w:noProof/>
        </w:rPr>
        <w:t>The Lancet</w:t>
      </w:r>
      <w:r w:rsidRPr="00B214C5">
        <w:rPr>
          <w:rFonts w:eastAsia="Times New Roman"/>
          <w:noProof/>
        </w:rPr>
        <w:t xml:space="preserve">, </w:t>
      </w:r>
      <w:r w:rsidRPr="00B214C5">
        <w:rPr>
          <w:rFonts w:eastAsia="Times New Roman"/>
          <w:i/>
          <w:iCs/>
          <w:noProof/>
        </w:rPr>
        <w:t>386</w:t>
      </w:r>
      <w:r w:rsidRPr="00B214C5">
        <w:rPr>
          <w:rFonts w:eastAsia="Times New Roman"/>
          <w:noProof/>
        </w:rPr>
        <w:t>(9991), 369–375. https://doi.org/10.1016/S0140-6736(14)62114-0</w:t>
      </w:r>
    </w:p>
    <w:p w14:paraId="004D52D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Grenfell, B. T., Bjørnstad, O. N., &amp; Kappey, J. (2001). Travelling waves and spatial hierarchies in measles epidemics. </w:t>
      </w:r>
      <w:r w:rsidRPr="00B214C5">
        <w:rPr>
          <w:rFonts w:eastAsia="Times New Roman"/>
          <w:i/>
          <w:iCs/>
          <w:noProof/>
        </w:rPr>
        <w:t>Nature</w:t>
      </w:r>
      <w:r w:rsidRPr="00B214C5">
        <w:rPr>
          <w:rFonts w:eastAsia="Times New Roman"/>
          <w:noProof/>
        </w:rPr>
        <w:t xml:space="preserve">, </w:t>
      </w:r>
      <w:r w:rsidRPr="00B214C5">
        <w:rPr>
          <w:rFonts w:eastAsia="Times New Roman"/>
          <w:i/>
          <w:iCs/>
          <w:noProof/>
        </w:rPr>
        <w:t>414</w:t>
      </w:r>
      <w:r w:rsidRPr="00B214C5">
        <w:rPr>
          <w:rFonts w:eastAsia="Times New Roman"/>
          <w:noProof/>
        </w:rPr>
        <w:t>(6865), 716–723. https://doi.org/10.1038/414716a</w:t>
      </w:r>
    </w:p>
    <w:p w14:paraId="3170D38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Healy, J. D. (2003). Excess winter mortality in Europe: A cross country analysis identifying key risk factors. </w:t>
      </w:r>
      <w:r w:rsidRPr="00B214C5">
        <w:rPr>
          <w:rFonts w:eastAsia="Times New Roman"/>
          <w:i/>
          <w:iCs/>
          <w:noProof/>
        </w:rPr>
        <w:t>Journal of Epidemiology and Community Health</w:t>
      </w:r>
      <w:r w:rsidRPr="00B214C5">
        <w:rPr>
          <w:rFonts w:eastAsia="Times New Roman"/>
          <w:noProof/>
        </w:rPr>
        <w:t xml:space="preserve">, </w:t>
      </w:r>
      <w:r w:rsidRPr="00B214C5">
        <w:rPr>
          <w:rFonts w:eastAsia="Times New Roman"/>
          <w:i/>
          <w:iCs/>
          <w:noProof/>
        </w:rPr>
        <w:t>57</w:t>
      </w:r>
      <w:r w:rsidRPr="00B214C5">
        <w:rPr>
          <w:rFonts w:eastAsia="Times New Roman"/>
          <w:noProof/>
        </w:rPr>
        <w:t xml:space="preserve">(10), 784–789. </w:t>
      </w:r>
      <w:r w:rsidRPr="00B214C5">
        <w:rPr>
          <w:rFonts w:eastAsia="Times New Roman"/>
          <w:noProof/>
        </w:rPr>
        <w:lastRenderedPageBreak/>
        <w:t>https://doi.org/10.1136/jech.57.10.784</w:t>
      </w:r>
    </w:p>
    <w:p w14:paraId="506EF94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Hubbard, B. B. (1998). </w:t>
      </w:r>
      <w:r w:rsidRPr="00B214C5">
        <w:rPr>
          <w:rFonts w:eastAsia="Times New Roman"/>
          <w:i/>
          <w:iCs/>
          <w:noProof/>
        </w:rPr>
        <w:t>The world according to wavelets: the story of a mathematical technique in the making</w:t>
      </w:r>
      <w:r w:rsidRPr="00B214C5">
        <w:rPr>
          <w:rFonts w:eastAsia="Times New Roman"/>
          <w:noProof/>
        </w:rPr>
        <w:t>. A K Peters/CRC Press.</w:t>
      </w:r>
    </w:p>
    <w:p w14:paraId="4C5E9D05"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Ingram, D. D., Parker, J. D., Schenker, N., Weed, J. A., Hamilton, B., Arias, E., &amp; Madans, J. H. (2003). United States Census 2000 population with bridged race categories. </w:t>
      </w:r>
      <w:r w:rsidRPr="00B214C5">
        <w:rPr>
          <w:rFonts w:eastAsia="Times New Roman"/>
          <w:i/>
          <w:iCs/>
          <w:noProof/>
        </w:rPr>
        <w:t>Vital and Health Statistics. Series 2, Data Evaluation and Methods Research</w:t>
      </w:r>
      <w:r w:rsidRPr="00B214C5">
        <w:rPr>
          <w:rFonts w:eastAsia="Times New Roman"/>
          <w:noProof/>
        </w:rPr>
        <w:t>, (135), 1–55. Retrieved from internal-pdf://103.99.132.94/paper.pdf</w:t>
      </w:r>
    </w:p>
    <w:p w14:paraId="64BA9C6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Kalkstein, A. J. (2013). Regional Similarities in Seasonal Mortality across the United States: An Examination of 28 Metropolitan Statistical Areas. </w:t>
      </w:r>
      <w:r w:rsidRPr="00B214C5">
        <w:rPr>
          <w:rFonts w:eastAsia="Times New Roman"/>
          <w:i/>
          <w:iCs/>
          <w:noProof/>
        </w:rPr>
        <w:t>PLoS ONE</w:t>
      </w:r>
      <w:r w:rsidRPr="00B214C5">
        <w:rPr>
          <w:rFonts w:eastAsia="Times New Roman"/>
          <w:noProof/>
        </w:rPr>
        <w:t xml:space="preserve">, </w:t>
      </w:r>
      <w:r w:rsidRPr="00B214C5">
        <w:rPr>
          <w:rFonts w:eastAsia="Times New Roman"/>
          <w:i/>
          <w:iCs/>
          <w:noProof/>
        </w:rPr>
        <w:t>8</w:t>
      </w:r>
      <w:r w:rsidRPr="00B214C5">
        <w:rPr>
          <w:rFonts w:eastAsia="Times New Roman"/>
          <w:noProof/>
        </w:rPr>
        <w:t>(5). https://doi.org/10.1371/journal.pone.0063971</w:t>
      </w:r>
    </w:p>
    <w:p w14:paraId="6610436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Karl, T. R., &amp; Koss, W. J. (1984). Regional and national monthly, seasonal, and annual temperature weighted by area, 1895-1983.</w:t>
      </w:r>
    </w:p>
    <w:p w14:paraId="18F7F5D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Kinney, P. L., Schwartz, J., Pascal, M., Petkova, E., Tertre, A. Le, Medina, S., &amp; Vautard, R. (2015). Winter season mortality: Will climate warming bring benefits? </w:t>
      </w:r>
      <w:r w:rsidRPr="00B214C5">
        <w:rPr>
          <w:rFonts w:eastAsia="Times New Roman"/>
          <w:i/>
          <w:iCs/>
          <w:noProof/>
        </w:rPr>
        <w:t>Environmental Research Letters</w:t>
      </w:r>
      <w:r w:rsidRPr="00B214C5">
        <w:rPr>
          <w:rFonts w:eastAsia="Times New Roman"/>
          <w:noProof/>
        </w:rPr>
        <w:t xml:space="preserve">, </w:t>
      </w:r>
      <w:r w:rsidRPr="00B214C5">
        <w:rPr>
          <w:rFonts w:eastAsia="Times New Roman"/>
          <w:i/>
          <w:iCs/>
          <w:noProof/>
        </w:rPr>
        <w:t>10</w:t>
      </w:r>
      <w:r w:rsidRPr="00B214C5">
        <w:rPr>
          <w:rFonts w:eastAsia="Times New Roman"/>
          <w:noProof/>
        </w:rPr>
        <w:t>(6). https://doi.org/10.1088/1748-9326/10/6/064016</w:t>
      </w:r>
    </w:p>
    <w:p w14:paraId="7B9FA80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Langford, I. H., &amp; Bentham, G. (1995). The potential effects of climate change on winter mortality in England and Wales. </w:t>
      </w:r>
      <w:r w:rsidRPr="00B214C5">
        <w:rPr>
          <w:rFonts w:eastAsia="Times New Roman"/>
          <w:i/>
          <w:iCs/>
          <w:noProof/>
        </w:rPr>
        <w:t>Int J Biometeorol</w:t>
      </w:r>
      <w:r w:rsidRPr="00B214C5">
        <w:rPr>
          <w:rFonts w:eastAsia="Times New Roman"/>
          <w:noProof/>
        </w:rPr>
        <w:t xml:space="preserve">, </w:t>
      </w:r>
      <w:r w:rsidRPr="00B214C5">
        <w:rPr>
          <w:rFonts w:eastAsia="Times New Roman"/>
          <w:i/>
          <w:iCs/>
          <w:noProof/>
        </w:rPr>
        <w:t>38</w:t>
      </w:r>
      <w:r w:rsidRPr="00B214C5">
        <w:rPr>
          <w:rFonts w:eastAsia="Times New Roman"/>
          <w:noProof/>
        </w:rPr>
        <w:t>(3), 141–147. Retrieved from internal-pdf://189.27.88.183/art%253A10.1007%252FBF01208491.pdf</w:t>
      </w:r>
    </w:p>
    <w:p w14:paraId="36FEDE3A"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Lerchl, A. (1998). Changes in the seasonality of mortality in Germany from 1946 to 1995: the role of temperature. </w:t>
      </w:r>
      <w:r w:rsidRPr="00B214C5">
        <w:rPr>
          <w:rFonts w:eastAsia="Times New Roman"/>
          <w:i/>
          <w:iCs/>
          <w:noProof/>
        </w:rPr>
        <w:t>International Journal of Biometeorology</w:t>
      </w:r>
      <w:r w:rsidRPr="00B214C5">
        <w:rPr>
          <w:rFonts w:eastAsia="Times New Roman"/>
          <w:noProof/>
        </w:rPr>
        <w:t xml:space="preserve">, </w:t>
      </w:r>
      <w:r w:rsidRPr="00B214C5">
        <w:rPr>
          <w:rFonts w:eastAsia="Times New Roman"/>
          <w:i/>
          <w:iCs/>
          <w:noProof/>
        </w:rPr>
        <w:t>42</w:t>
      </w:r>
      <w:r w:rsidRPr="00B214C5">
        <w:rPr>
          <w:rFonts w:eastAsia="Times New Roman"/>
          <w:noProof/>
        </w:rPr>
        <w:t>(2), 84–88. https://doi.org/10.1007/s004840050089</w:t>
      </w:r>
    </w:p>
    <w:p w14:paraId="6AA0394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MacDorman, M. F., &amp; Gregory, E. (2015). Fetal and Perinatal Mortality: United States, 2013. </w:t>
      </w:r>
      <w:r w:rsidRPr="00B214C5">
        <w:rPr>
          <w:rFonts w:eastAsia="Times New Roman"/>
          <w:i/>
          <w:iCs/>
          <w:noProof/>
        </w:rPr>
        <w:t>National Vital Statistics Reports</w:t>
      </w:r>
      <w:r w:rsidRPr="00B214C5">
        <w:rPr>
          <w:rFonts w:eastAsia="Times New Roman"/>
          <w:noProof/>
        </w:rPr>
        <w:t xml:space="preserve">, </w:t>
      </w:r>
      <w:r w:rsidRPr="00B214C5">
        <w:rPr>
          <w:rFonts w:eastAsia="Times New Roman"/>
          <w:i/>
          <w:iCs/>
          <w:noProof/>
        </w:rPr>
        <w:t>64</w:t>
      </w:r>
      <w:r w:rsidRPr="00B214C5">
        <w:rPr>
          <w:rFonts w:eastAsia="Times New Roman"/>
          <w:noProof/>
        </w:rPr>
        <w:t>(8), 1–24.</w:t>
      </w:r>
    </w:p>
    <w:p w14:paraId="1FC31DD6"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Martens, W. J. (1998). Climate change, thermal stress and mortality changes. </w:t>
      </w:r>
      <w:r w:rsidRPr="00B214C5">
        <w:rPr>
          <w:rFonts w:eastAsia="Times New Roman"/>
          <w:i/>
          <w:iCs/>
          <w:noProof/>
        </w:rPr>
        <w:t>Soc Sci Med</w:t>
      </w:r>
      <w:r w:rsidRPr="00B214C5">
        <w:rPr>
          <w:rFonts w:eastAsia="Times New Roman"/>
          <w:noProof/>
        </w:rPr>
        <w:t xml:space="preserve">, </w:t>
      </w:r>
      <w:r w:rsidRPr="00B214C5">
        <w:rPr>
          <w:rFonts w:eastAsia="Times New Roman"/>
          <w:i/>
          <w:iCs/>
          <w:noProof/>
        </w:rPr>
        <w:t>46</w:t>
      </w:r>
      <w:r w:rsidRPr="00B214C5">
        <w:rPr>
          <w:rFonts w:eastAsia="Times New Roman"/>
          <w:noProof/>
        </w:rPr>
        <w:t>(3), 331–344. Retrieved from internal-pdf://57.13.130.132/1-s2.0-S0277953697001627-main.pdf</w:t>
      </w:r>
    </w:p>
    <w:p w14:paraId="1B5C4C9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McKee, C. M. (1989). Deaths in winter: Can Britain learn from Europe? </w:t>
      </w:r>
      <w:r w:rsidRPr="00B214C5">
        <w:rPr>
          <w:rFonts w:eastAsia="Times New Roman"/>
          <w:i/>
          <w:iCs/>
          <w:noProof/>
        </w:rPr>
        <w:t>European Journal of Epidemiology</w:t>
      </w:r>
      <w:r w:rsidRPr="00B214C5">
        <w:rPr>
          <w:rFonts w:eastAsia="Times New Roman"/>
          <w:noProof/>
        </w:rPr>
        <w:t xml:space="preserve">, </w:t>
      </w:r>
      <w:r w:rsidRPr="00B214C5">
        <w:rPr>
          <w:rFonts w:eastAsia="Times New Roman"/>
          <w:i/>
          <w:iCs/>
          <w:noProof/>
        </w:rPr>
        <w:t>5</w:t>
      </w:r>
      <w:r w:rsidRPr="00B214C5">
        <w:rPr>
          <w:rFonts w:eastAsia="Times New Roman"/>
          <w:noProof/>
        </w:rPr>
        <w:t>(2), 178–182. https://doi.org/10.1007/BF00156826</w:t>
      </w:r>
    </w:p>
    <w:p w14:paraId="3EF24ED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Medina-Ramón, M., &amp; Schwartz, J. (2007). Temperature, temperature extremes, and mortality: A study of acclimatisation and effect modification in 50 US cities. </w:t>
      </w:r>
      <w:r w:rsidRPr="00B214C5">
        <w:rPr>
          <w:rFonts w:eastAsia="Times New Roman"/>
          <w:i/>
          <w:iCs/>
          <w:noProof/>
        </w:rPr>
        <w:t>Occupational and Environmental Medicine</w:t>
      </w:r>
      <w:r w:rsidRPr="00B214C5">
        <w:rPr>
          <w:rFonts w:eastAsia="Times New Roman"/>
          <w:noProof/>
        </w:rPr>
        <w:t xml:space="preserve">, </w:t>
      </w:r>
      <w:r w:rsidRPr="00B214C5">
        <w:rPr>
          <w:rFonts w:eastAsia="Times New Roman"/>
          <w:i/>
          <w:iCs/>
          <w:noProof/>
        </w:rPr>
        <w:t>64</w:t>
      </w:r>
      <w:r w:rsidRPr="00B214C5">
        <w:rPr>
          <w:rFonts w:eastAsia="Times New Roman"/>
          <w:noProof/>
        </w:rPr>
        <w:t>(12), 827–833. https://doi.org/10.1136/oem.2007.033175</w:t>
      </w:r>
    </w:p>
    <w:p w14:paraId="70C8353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Morris, M. E. (2013). Smart-Home Technologies to Assist Older People to Live Well at Home. </w:t>
      </w:r>
      <w:r w:rsidRPr="00B214C5">
        <w:rPr>
          <w:rFonts w:eastAsia="Times New Roman"/>
          <w:i/>
          <w:iCs/>
          <w:noProof/>
        </w:rPr>
        <w:t>Journal of Aging Science</w:t>
      </w:r>
      <w:r w:rsidRPr="00B214C5">
        <w:rPr>
          <w:rFonts w:eastAsia="Times New Roman"/>
          <w:noProof/>
        </w:rPr>
        <w:t xml:space="preserve">, </w:t>
      </w:r>
      <w:r w:rsidRPr="00B214C5">
        <w:rPr>
          <w:rFonts w:eastAsia="Times New Roman"/>
          <w:i/>
          <w:iCs/>
          <w:noProof/>
        </w:rPr>
        <w:t>01</w:t>
      </w:r>
      <w:r w:rsidRPr="00B214C5">
        <w:rPr>
          <w:rFonts w:eastAsia="Times New Roman"/>
          <w:noProof/>
        </w:rPr>
        <w:t>(01). https://doi.org/10.4172/2329-8847.1000101</w:t>
      </w:r>
    </w:p>
    <w:p w14:paraId="4BAF9E3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Moy, C. M., Seltzer, G. O., Rodbell, D. T., &amp; Anderson, D. M. (2002). Variability of El Niño/Southern Oscillation activity at millennial timescales during the Holocene epoch. </w:t>
      </w:r>
      <w:r w:rsidRPr="00B214C5">
        <w:rPr>
          <w:rFonts w:eastAsia="Times New Roman"/>
          <w:i/>
          <w:iCs/>
          <w:noProof/>
        </w:rPr>
        <w:t>Nature</w:t>
      </w:r>
      <w:r w:rsidRPr="00B214C5">
        <w:rPr>
          <w:rFonts w:eastAsia="Times New Roman"/>
          <w:noProof/>
        </w:rPr>
        <w:t xml:space="preserve">, </w:t>
      </w:r>
      <w:r w:rsidRPr="00B214C5">
        <w:rPr>
          <w:rFonts w:eastAsia="Times New Roman"/>
          <w:i/>
          <w:iCs/>
          <w:noProof/>
        </w:rPr>
        <w:t>420</w:t>
      </w:r>
      <w:r w:rsidRPr="00B214C5">
        <w:rPr>
          <w:rFonts w:eastAsia="Times New Roman"/>
          <w:noProof/>
        </w:rPr>
        <w:t>(6912), 162–165. https://doi.org/10.1038/nature01194</w:t>
      </w:r>
    </w:p>
    <w:p w14:paraId="2B56307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National Highway Traffic Safety Administration. (2005). Trend and Pattern Analysis of Highway Crash Fatality By Month and Day. </w:t>
      </w:r>
      <w:r w:rsidRPr="00B214C5">
        <w:rPr>
          <w:rFonts w:eastAsia="Times New Roman"/>
          <w:i/>
          <w:iCs/>
          <w:noProof/>
        </w:rPr>
        <w:t>National Center for Statistics and Analysis (NCHS)</w:t>
      </w:r>
      <w:r w:rsidRPr="00B214C5">
        <w:rPr>
          <w:rFonts w:eastAsia="Times New Roman"/>
          <w:noProof/>
        </w:rPr>
        <w:t>, (March).</w:t>
      </w:r>
    </w:p>
    <w:p w14:paraId="248D7EA6"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Public Health England. (2017). The Cold Weather Plan for England. </w:t>
      </w:r>
      <w:r w:rsidRPr="00B214C5">
        <w:rPr>
          <w:rFonts w:eastAsia="Times New Roman"/>
          <w:i/>
          <w:iCs/>
          <w:noProof/>
        </w:rPr>
        <w:t>Public Health England</w:t>
      </w:r>
      <w:r w:rsidRPr="00B214C5">
        <w:rPr>
          <w:rFonts w:eastAsia="Times New Roman"/>
          <w:noProof/>
        </w:rPr>
        <w:t>, (October).</w:t>
      </w:r>
    </w:p>
    <w:p w14:paraId="63407C1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Rau, R. (2004). Seasonality in Human Mortality.  A Demographic Approach. </w:t>
      </w:r>
      <w:r w:rsidRPr="00B214C5">
        <w:rPr>
          <w:rFonts w:eastAsia="Times New Roman"/>
          <w:i/>
          <w:iCs/>
          <w:noProof/>
        </w:rPr>
        <w:t>Wirtschafts- Und Sozialwissenschaftlichen Fakultät</w:t>
      </w:r>
      <w:r w:rsidRPr="00B214C5">
        <w:rPr>
          <w:rFonts w:eastAsia="Times New Roman"/>
          <w:noProof/>
        </w:rPr>
        <w:t xml:space="preserve">, </w:t>
      </w:r>
      <w:r w:rsidRPr="00B214C5">
        <w:rPr>
          <w:rFonts w:eastAsia="Times New Roman"/>
          <w:i/>
          <w:iCs/>
          <w:noProof/>
        </w:rPr>
        <w:t>PhD</w:t>
      </w:r>
      <w:r w:rsidRPr="00B214C5">
        <w:rPr>
          <w:rFonts w:eastAsia="Times New Roman"/>
          <w:noProof/>
        </w:rPr>
        <w:t>, 361. https://doi.org/10.1007/978-3-540-44902-7</w:t>
      </w:r>
    </w:p>
    <w:p w14:paraId="3BE5A41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Rau, R., Bohk-Ewald, C., Muszyńska, M. M., &amp; Vaupel, J. W. (2018). </w:t>
      </w:r>
      <w:r w:rsidRPr="00B214C5">
        <w:rPr>
          <w:rFonts w:eastAsia="Times New Roman"/>
          <w:i/>
          <w:iCs/>
          <w:noProof/>
        </w:rPr>
        <w:t>Visualizing Mortality Dynamics in the Lexis Diagram</w:t>
      </w:r>
      <w:r w:rsidRPr="00B214C5">
        <w:rPr>
          <w:rFonts w:eastAsia="Times New Roman"/>
          <w:noProof/>
        </w:rPr>
        <w:t>. https://doi.org/10.1007/978-3-319-64820-0</w:t>
      </w:r>
    </w:p>
    <w:p w14:paraId="73D524D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Rosenwaike, I. (1966). Seasonal Variation of Deaths in the United States, 1951–1960. </w:t>
      </w:r>
      <w:r w:rsidRPr="00B214C5">
        <w:rPr>
          <w:rFonts w:eastAsia="Times New Roman"/>
          <w:i/>
          <w:iCs/>
          <w:noProof/>
        </w:rPr>
        <w:t>Journal of the American Statistical Association</w:t>
      </w:r>
      <w:r w:rsidRPr="00B214C5">
        <w:rPr>
          <w:rFonts w:eastAsia="Times New Roman"/>
          <w:noProof/>
        </w:rPr>
        <w:t xml:space="preserve">, </w:t>
      </w:r>
      <w:r w:rsidRPr="00B214C5">
        <w:rPr>
          <w:rFonts w:eastAsia="Times New Roman"/>
          <w:i/>
          <w:iCs/>
          <w:noProof/>
        </w:rPr>
        <w:t>61</w:t>
      </w:r>
      <w:r w:rsidRPr="00B214C5">
        <w:rPr>
          <w:rFonts w:eastAsia="Times New Roman"/>
          <w:noProof/>
        </w:rPr>
        <w:t>(315), 706–719. https://doi.org/10.1080/01621459.1966.10480899</w:t>
      </w:r>
    </w:p>
    <w:p w14:paraId="52F2B95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lastRenderedPageBreak/>
        <w:t xml:space="preserve">Seretakis, D. (1997). Changing Seasonality of Mortality From Coronary Heart Disease. </w:t>
      </w:r>
      <w:r w:rsidRPr="00B214C5">
        <w:rPr>
          <w:rFonts w:eastAsia="Times New Roman"/>
          <w:i/>
          <w:iCs/>
          <w:noProof/>
        </w:rPr>
        <w:t>JAMA: The Journal of the American Medical Association</w:t>
      </w:r>
      <w:r w:rsidRPr="00B214C5">
        <w:rPr>
          <w:rFonts w:eastAsia="Times New Roman"/>
          <w:noProof/>
        </w:rPr>
        <w:t xml:space="preserve">, </w:t>
      </w:r>
      <w:r w:rsidRPr="00B214C5">
        <w:rPr>
          <w:rFonts w:eastAsia="Times New Roman"/>
          <w:i/>
          <w:iCs/>
          <w:noProof/>
        </w:rPr>
        <w:t>278</w:t>
      </w:r>
      <w:r w:rsidRPr="00B214C5">
        <w:rPr>
          <w:rFonts w:eastAsia="Times New Roman"/>
          <w:noProof/>
        </w:rPr>
        <w:t>(12), 1012. https://doi.org/10.1001/jama.1997.03550120072036</w:t>
      </w:r>
    </w:p>
    <w:p w14:paraId="44BE6221"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Sheridan, S. C., Kalkstein, A. J., &amp; Kalkstein, L. S. (2009). Trends in heat-related mortality in the United States, 1975-2004. </w:t>
      </w:r>
      <w:r w:rsidRPr="00B214C5">
        <w:rPr>
          <w:rFonts w:eastAsia="Times New Roman"/>
          <w:i/>
          <w:iCs/>
          <w:noProof/>
        </w:rPr>
        <w:t>Natural Hazards</w:t>
      </w:r>
      <w:r w:rsidRPr="00B214C5">
        <w:rPr>
          <w:rFonts w:eastAsia="Times New Roman"/>
          <w:noProof/>
        </w:rPr>
        <w:t xml:space="preserve">, </w:t>
      </w:r>
      <w:r w:rsidRPr="00B214C5">
        <w:rPr>
          <w:rFonts w:eastAsia="Times New Roman"/>
          <w:i/>
          <w:iCs/>
          <w:noProof/>
        </w:rPr>
        <w:t>50</w:t>
      </w:r>
      <w:r w:rsidRPr="00B214C5">
        <w:rPr>
          <w:rFonts w:eastAsia="Times New Roman"/>
          <w:noProof/>
        </w:rPr>
        <w:t>(1), 145–160. https://doi.org/10.1007/s11069-008-9327-2</w:t>
      </w:r>
    </w:p>
    <w:p w14:paraId="56C7660D" w14:textId="77777777" w:rsidR="00B214C5" w:rsidRPr="00B214C5" w:rsidRDefault="00B214C5" w:rsidP="00AC1F08">
      <w:pPr>
        <w:widowControl w:val="0"/>
        <w:autoSpaceDE w:val="0"/>
        <w:autoSpaceDN w:val="0"/>
        <w:adjustRightInd w:val="0"/>
        <w:ind w:left="480" w:hanging="480"/>
        <w:jc w:val="both"/>
        <w:rPr>
          <w:noProof/>
        </w:rPr>
      </w:pPr>
      <w:r w:rsidRPr="00B214C5">
        <w:rPr>
          <w:rFonts w:eastAsia="Times New Roman"/>
          <w:noProof/>
        </w:rPr>
        <w:t xml:space="preserve">Torrence, C., &amp; Compo, G. P. (1998). A Practical Guide to Wavelet Analysis. </w:t>
      </w:r>
      <w:r w:rsidRPr="00B214C5">
        <w:rPr>
          <w:rFonts w:eastAsia="Times New Roman"/>
          <w:i/>
          <w:iCs/>
          <w:noProof/>
        </w:rPr>
        <w:t>Bulletin of the American Meteorological Society</w:t>
      </w:r>
      <w:r w:rsidRPr="00B214C5">
        <w:rPr>
          <w:rFonts w:eastAsia="Times New Roman"/>
          <w:noProof/>
        </w:rPr>
        <w:t>. https://doi.org/10.1175/1520-0477(1998)079&lt;0061:APGTWA&gt;2.0.CO;2</w:t>
      </w:r>
    </w:p>
    <w:p w14:paraId="47F9BFAE" w14:textId="30155125" w:rsidR="002C33D5" w:rsidRPr="00AC73A1" w:rsidRDefault="009D5B4B" w:rsidP="00AC1F08">
      <w:pPr>
        <w:widowControl w:val="0"/>
        <w:autoSpaceDE w:val="0"/>
        <w:autoSpaceDN w:val="0"/>
        <w:adjustRightInd w:val="0"/>
        <w:ind w:left="480" w:hanging="480"/>
        <w:jc w:val="both"/>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11A2DD44" w14:textId="4ED073D5" w:rsidR="00AB7395" w:rsidRPr="00AC73A1"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 xml:space="preserve">all-cause and cause-specific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r w:rsidR="007F5916">
        <w:rPr>
          <w:color w:val="000000" w:themeColor="text1"/>
        </w:rPr>
        <w:t>6</w:t>
      </w:r>
      <w:r w:rsidRPr="00AC73A1">
        <w:rPr>
          <w:color w:val="000000" w:themeColor="text1"/>
        </w:rPr>
        <w:t>, by</w:t>
      </w:r>
      <w:r w:rsidR="001678F7">
        <w:rPr>
          <w:color w:val="000000" w:themeColor="text1"/>
        </w:rPr>
        <w:t xml:space="preserve"> </w:t>
      </w:r>
      <w:r w:rsidR="00F84E39">
        <w:rPr>
          <w:color w:val="000000" w:themeColor="text1"/>
        </w:rPr>
        <w:t xml:space="preserve">sex and </w:t>
      </w:r>
      <w:r w:rsidRPr="00AC73A1">
        <w:rPr>
          <w:color w:val="000000" w:themeColor="text1"/>
        </w:rPr>
        <w:t>age group</w:t>
      </w:r>
      <w:r w:rsidR="00D03948" w:rsidRPr="00AC73A1">
        <w:rPr>
          <w:color w:val="000000" w:themeColor="text1"/>
        </w:rPr>
        <w:t xml:space="preserve"> </w:t>
      </w:r>
      <w:r w:rsidRPr="00AC73A1">
        <w:rPr>
          <w:color w:val="000000" w:themeColor="text1"/>
        </w:rPr>
        <w:t xml:space="preserve">for (A) </w:t>
      </w:r>
      <w:r w:rsidR="00B6502E" w:rsidRPr="00AC73A1">
        <w:rPr>
          <w:color w:val="000000" w:themeColor="text1"/>
        </w:rPr>
        <w:t>males</w:t>
      </w:r>
      <w:r w:rsidRPr="00AC73A1">
        <w:rPr>
          <w:color w:val="000000" w:themeColor="text1"/>
        </w:rPr>
        <w:t xml:space="preserve"> and (B) </w:t>
      </w:r>
      <w:r w:rsidR="00B6502E" w:rsidRPr="00AC73A1">
        <w:rPr>
          <w:color w:val="000000" w:themeColor="text1"/>
        </w:rPr>
        <w:t>females</w:t>
      </w:r>
      <w:r w:rsidRPr="00AC73A1">
        <w:rPr>
          <w:color w:val="000000" w:themeColor="text1"/>
        </w:rPr>
        <w:t>. Wavelet power values increase from blue to red</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r w:rsidR="00F9363C">
        <w:rPr>
          <w:color w:val="000000" w:themeColor="text1"/>
        </w:rPr>
        <w:t>P-values for the presence of</w:t>
      </w:r>
      <w:r w:rsidR="0007767F">
        <w:rPr>
          <w:color w:val="000000" w:themeColor="text1"/>
        </w:rPr>
        <w:t xml:space="preserve"> 12-month</w:t>
      </w:r>
      <w:r w:rsidR="00F9363C">
        <w:rPr>
          <w:color w:val="000000" w:themeColor="text1"/>
        </w:rPr>
        <w:t xml:space="preserve"> </w:t>
      </w:r>
      <w:r w:rsidR="00F718EF">
        <w:rPr>
          <w:color w:val="000000" w:themeColor="text1"/>
        </w:rPr>
        <w:t xml:space="preserve">seasonality are to the right of each figure at the 12-month line. </w:t>
      </w:r>
      <w:r w:rsidR="00EF7D30">
        <w:rPr>
          <w:color w:val="000000" w:themeColor="text1"/>
        </w:rPr>
        <w:t xml:space="preserve">See Supplementary Figure </w:t>
      </w:r>
      <w:r w:rsidR="001C56BD">
        <w:rPr>
          <w:color w:val="000000" w:themeColor="text1"/>
        </w:rPr>
        <w:t>1</w:t>
      </w:r>
      <w:r w:rsidR="00EF7D30">
        <w:rPr>
          <w:color w:val="000000" w:themeColor="text1"/>
        </w:rPr>
        <w:t xml:space="preserve"> for disaggregated causes of death.</w:t>
      </w:r>
      <w:r w:rsidR="00AB7395" w:rsidRPr="00AC73A1">
        <w:rPr>
          <w:b/>
          <w:color w:val="000000" w:themeColor="text1"/>
        </w:rPr>
        <w:br w:type="page"/>
      </w:r>
    </w:p>
    <w:p w14:paraId="1E990617" w14:textId="2B454529" w:rsidR="00AB7395" w:rsidRPr="00AC73A1" w:rsidRDefault="0036381E" w:rsidP="00A24BBA">
      <w:pPr>
        <w:spacing w:line="480" w:lineRule="auto"/>
        <w:jc w:val="both"/>
        <w:rPr>
          <w:color w:val="000000" w:themeColor="text1"/>
        </w:rPr>
      </w:pPr>
      <w:r w:rsidRPr="00AC73A1">
        <w:rPr>
          <w:b/>
          <w:color w:val="000000" w:themeColor="text1"/>
        </w:rPr>
        <w:lastRenderedPageBreak/>
        <w:t>Figure 3</w:t>
      </w:r>
      <w:r w:rsidR="00B66895" w:rsidRPr="00AC73A1">
        <w:rPr>
          <w:b/>
          <w:color w:val="000000" w:themeColor="text1"/>
        </w:rPr>
        <w:t>:</w:t>
      </w:r>
      <w:r w:rsidRPr="00AC73A1">
        <w:rPr>
          <w:b/>
          <w:color w:val="000000" w:themeColor="text1"/>
        </w:rPr>
        <w:t xml:space="preserve"> </w:t>
      </w:r>
      <w:r w:rsidRPr="00AC73A1">
        <w:rPr>
          <w:color w:val="000000" w:themeColor="text1"/>
        </w:rPr>
        <w:t>Mean timing of maximum and minimum all-cause</w:t>
      </w:r>
      <w:r w:rsidR="00DD1C1B" w:rsidRPr="00AC73A1">
        <w:rPr>
          <w:color w:val="000000" w:themeColor="text1"/>
        </w:rPr>
        <w:t xml:space="preserve"> and cause-specific</w:t>
      </w:r>
      <w:r w:rsidRPr="00AC73A1">
        <w:rPr>
          <w:color w:val="000000" w:themeColor="text1"/>
        </w:rPr>
        <w:t xml:space="preserve"> mortality</w:t>
      </w:r>
      <w:r w:rsidR="00D763D8">
        <w:rPr>
          <w:color w:val="000000" w:themeColor="text1"/>
        </w:rPr>
        <w:t xml:space="preserve"> at the national level</w:t>
      </w:r>
      <w:r w:rsidRPr="00AC73A1">
        <w:rPr>
          <w:color w:val="000000" w:themeColor="text1"/>
        </w:rPr>
        <w:t xml:space="preserve">, by sex and age </w:t>
      </w:r>
      <w:r w:rsidR="009B509E" w:rsidRPr="00AC73A1">
        <w:rPr>
          <w:color w:val="000000" w:themeColor="text1"/>
        </w:rPr>
        <w:t>group for 1980</w:t>
      </w:r>
      <w:r w:rsidR="004D2BCA" w:rsidRPr="00AC73A1">
        <w:rPr>
          <w:color w:val="000000" w:themeColor="text1"/>
        </w:rPr>
        <w:t>-201</w:t>
      </w:r>
      <w:r w:rsidR="007F5916">
        <w:rPr>
          <w:color w:val="000000" w:themeColor="text1"/>
        </w:rPr>
        <w:t>6</w:t>
      </w:r>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r w:rsidR="00480AE7">
        <w:rPr>
          <w:color w:val="000000" w:themeColor="text1"/>
        </w:rPr>
        <w:t>variance</w:t>
      </w:r>
      <w:r w:rsidRPr="00AC73A1">
        <w:rPr>
          <w:color w:val="000000" w:themeColor="text1"/>
        </w:rPr>
        <w:t>.</w:t>
      </w:r>
      <w:r w:rsidR="00EF7D30">
        <w:rPr>
          <w:color w:val="000000" w:themeColor="text1"/>
        </w:rPr>
        <w:t xml:space="preserve"> See Supplementary Figure </w:t>
      </w:r>
      <w:r w:rsidR="00821CA7">
        <w:rPr>
          <w:color w:val="000000" w:themeColor="text1"/>
        </w:rPr>
        <w:t>2</w:t>
      </w:r>
      <w:r w:rsidR="00EF7D30">
        <w:rPr>
          <w:color w:val="000000" w:themeColor="text1"/>
        </w:rPr>
        <w:t xml:space="preserve"> for disaggregated causes of death.</w:t>
      </w:r>
      <w:r w:rsidR="00AB7395" w:rsidRPr="00AC73A1">
        <w:rPr>
          <w:b/>
          <w:color w:val="000000" w:themeColor="text1"/>
        </w:rPr>
        <w:br w:type="page"/>
      </w:r>
    </w:p>
    <w:p w14:paraId="6C0EFD26" w14:textId="6725D5F5" w:rsidR="00AB7395" w:rsidRPr="00AC73A1" w:rsidRDefault="0036381E" w:rsidP="00A24BBA">
      <w:pPr>
        <w:spacing w:line="480" w:lineRule="auto"/>
        <w:jc w:val="both"/>
        <w:rPr>
          <w:color w:val="000000" w:themeColor="text1"/>
        </w:rPr>
      </w:pPr>
      <w:r w:rsidRPr="00AC73A1">
        <w:rPr>
          <w:b/>
          <w:color w:val="000000" w:themeColor="text1"/>
        </w:rPr>
        <w:lastRenderedPageBreak/>
        <w:t>Figure 4</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r w:rsidR="00BD02E6">
        <w:rPr>
          <w:color w:val="000000" w:themeColor="text1"/>
        </w:rPr>
        <w:t xml:space="preserve"> for all-cause and </w:t>
      </w:r>
      <w:r w:rsidR="00F84E39" w:rsidRPr="00AC73A1">
        <w:rPr>
          <w:color w:val="000000" w:themeColor="text1"/>
        </w:rPr>
        <w:t>cause-specific mortality</w:t>
      </w:r>
      <w:r w:rsidR="00F84E39" w:rsidDel="00F84E39">
        <w:rPr>
          <w:color w:val="000000" w:themeColor="text1"/>
        </w:rPr>
        <w:t xml:space="preserve"> </w:t>
      </w:r>
      <w:r w:rsidR="009B509E" w:rsidRPr="00AC73A1">
        <w:rPr>
          <w:color w:val="000000" w:themeColor="text1"/>
        </w:rPr>
        <w:t>in 201</w:t>
      </w:r>
      <w:r w:rsidR="007F5916">
        <w:rPr>
          <w:color w:val="000000" w:themeColor="text1"/>
        </w:rPr>
        <w:t>6</w:t>
      </w:r>
      <w:r w:rsidR="009B509E" w:rsidRPr="00AC73A1">
        <w:rPr>
          <w:color w:val="000000" w:themeColor="text1"/>
        </w:rPr>
        <w:t xml:space="preserve"> versus 1980</w:t>
      </w:r>
      <w:r w:rsidR="00E0047E">
        <w:rPr>
          <w:color w:val="000000" w:themeColor="text1"/>
        </w:rPr>
        <w:t>,</w:t>
      </w:r>
      <w:r w:rsidRPr="00AC73A1">
        <w:rPr>
          <w:color w:val="000000" w:themeColor="text1"/>
        </w:rPr>
        <w:t xml:space="preserve"> by sex and age group.</w:t>
      </w:r>
      <w:r w:rsidR="00C32943">
        <w:rPr>
          <w:color w:val="000000" w:themeColor="text1"/>
        </w:rPr>
        <w:t xml:space="preserve"> </w:t>
      </w:r>
      <w:r w:rsidR="00EF7D30">
        <w:rPr>
          <w:color w:val="000000" w:themeColor="text1"/>
        </w:rPr>
        <w:t xml:space="preserve">See Supplementary Figure </w:t>
      </w:r>
      <w:r w:rsidR="0064630A">
        <w:rPr>
          <w:color w:val="000000" w:themeColor="text1"/>
        </w:rPr>
        <w:t>3</w:t>
      </w:r>
      <w:r w:rsidR="00EF7D30">
        <w:rPr>
          <w:color w:val="000000" w:themeColor="text1"/>
        </w:rPr>
        <w:t xml:space="preserve"> for disaggregated causes of death.</w:t>
      </w:r>
      <w:r w:rsidR="00AB7395" w:rsidRPr="00AC73A1">
        <w:rPr>
          <w:b/>
          <w:color w:val="000000" w:themeColor="text1"/>
        </w:rPr>
        <w:br w:type="page"/>
      </w:r>
    </w:p>
    <w:p w14:paraId="163DABAC" w14:textId="10752D9C" w:rsidR="00AB7395" w:rsidRPr="00AC73A1" w:rsidRDefault="0036381E" w:rsidP="00A24BBA">
      <w:pPr>
        <w:spacing w:line="480" w:lineRule="auto"/>
        <w:jc w:val="both"/>
      </w:pPr>
      <w:r w:rsidRPr="00AC73A1">
        <w:rPr>
          <w:b/>
          <w:color w:val="000000" w:themeColor="text1"/>
        </w:rPr>
        <w:lastRenderedPageBreak/>
        <w:t>Figure 5</w:t>
      </w:r>
      <w:r w:rsidR="00B66895" w:rsidRPr="00AC73A1">
        <w:rPr>
          <w:b/>
          <w:color w:val="000000" w:themeColor="text1"/>
        </w:rPr>
        <w:t>:</w:t>
      </w:r>
      <w:r w:rsidRPr="00AC73A1">
        <w:rPr>
          <w:color w:val="000000" w:themeColor="text1"/>
        </w:rPr>
        <w:t xml:space="preserve"> Mean timing of (A) maximum and (B) minimum all-cause mortality, by climate re</w:t>
      </w:r>
      <w:r w:rsidR="009B509E" w:rsidRPr="00AC73A1">
        <w:rPr>
          <w:color w:val="000000" w:themeColor="text1"/>
        </w:rPr>
        <w:t>gion, sex and age group for 1980</w:t>
      </w:r>
      <w:r w:rsidRPr="00AC73A1">
        <w:rPr>
          <w:color w:val="000000" w:themeColor="text1"/>
        </w:rPr>
        <w:t>-201</w:t>
      </w:r>
      <w:r w:rsidR="007F5916">
        <w:rPr>
          <w:color w:val="000000" w:themeColor="text1"/>
        </w:rPr>
        <w:t>6</w:t>
      </w:r>
      <w:r w:rsidRPr="00AC73A1">
        <w:rPr>
          <w:color w:val="000000" w:themeColor="text1"/>
        </w:rPr>
        <w:t>. Average temperatures (in degrees Celsius) are included in white for the corresponding month of maximum and minimum mortality for each climate region.</w:t>
      </w:r>
      <w:r w:rsidR="00325E17" w:rsidRPr="00AC73A1">
        <w:rPr>
          <w:color w:val="000000" w:themeColor="text1"/>
        </w:rPr>
        <w:t xml:space="preserve"> </w:t>
      </w:r>
      <w:r w:rsidR="00AB7395" w:rsidRPr="00AC73A1">
        <w:rPr>
          <w:b/>
          <w:color w:val="000000" w:themeColor="text1"/>
        </w:rPr>
        <w:br w:type="page"/>
      </w:r>
    </w:p>
    <w:p w14:paraId="3C325011" w14:textId="1BFC827E" w:rsidR="004A0060" w:rsidRDefault="0036381E" w:rsidP="00B24D59">
      <w:pPr>
        <w:spacing w:line="480" w:lineRule="auto"/>
        <w:jc w:val="both"/>
        <w:outlineLvl w:val="0"/>
        <w:rPr>
          <w:color w:val="000000" w:themeColor="text1"/>
        </w:rPr>
      </w:pPr>
      <w:r w:rsidRPr="00AC73A1">
        <w:rPr>
          <w:b/>
          <w:color w:val="000000" w:themeColor="text1"/>
        </w:rPr>
        <w:lastRenderedPageBreak/>
        <w:t>Figure 6</w:t>
      </w:r>
      <w:r w:rsidR="00B66895" w:rsidRPr="00AC73A1">
        <w:rPr>
          <w:b/>
          <w:color w:val="000000" w:themeColor="text1"/>
        </w:rPr>
        <w:t>:</w:t>
      </w:r>
      <w:r w:rsidRPr="00AC73A1">
        <w:rPr>
          <w:color w:val="000000" w:themeColor="text1"/>
        </w:rPr>
        <w:t xml:space="preserve"> The relationship between percent difference in</w:t>
      </w:r>
      <w:r w:rsidR="00265FE4">
        <w:rPr>
          <w:color w:val="000000" w:themeColor="text1"/>
        </w:rPr>
        <w:t xml:space="preserve"> all-cause</w:t>
      </w:r>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r w:rsidR="007F5916">
        <w:rPr>
          <w:color w:val="000000" w:themeColor="text1"/>
        </w:rPr>
        <w:t>6</w:t>
      </w:r>
      <w:r w:rsidRPr="00AC73A1">
        <w:rPr>
          <w:color w:val="000000" w:themeColor="text1"/>
        </w:rPr>
        <w:t xml:space="preserve">. </w:t>
      </w:r>
      <w:r w:rsidR="004A0060">
        <w:rPr>
          <w:color w:val="000000" w:themeColor="text1"/>
        </w:rPr>
        <w:br w:type="page"/>
      </w:r>
    </w:p>
    <w:p w14:paraId="273C103A" w14:textId="5B9A2C98" w:rsidR="00E32D18" w:rsidRPr="00AC73A1" w:rsidRDefault="00A95645" w:rsidP="00910AF9">
      <w:pPr>
        <w:spacing w:line="480" w:lineRule="auto"/>
        <w:jc w:val="both"/>
        <w:rPr>
          <w:b/>
          <w:color w:val="000000" w:themeColor="text1"/>
        </w:rPr>
      </w:pPr>
      <w:r w:rsidRPr="00AC73A1">
        <w:rPr>
          <w:b/>
          <w:color w:val="000000" w:themeColor="text1"/>
        </w:rPr>
        <w:lastRenderedPageBreak/>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r w:rsidR="00272705">
        <w:rPr>
          <w:color w:val="000000" w:themeColor="text1"/>
        </w:rPr>
        <w:t xml:space="preserve"> </w:t>
      </w:r>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rFonts w:eastAsia="Times New Roman"/>
                <w:b/>
                <w:bCs/>
                <w:color w:val="000000"/>
              </w:rPr>
            </w:pPr>
            <w:r w:rsidRPr="00CE3BE6">
              <w:rPr>
                <w:rFonts w:eastAsia="Times New Roman"/>
                <w:b/>
                <w:bCs/>
                <w:color w:val="000000"/>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rFonts w:eastAsia="Times New Roman"/>
                <w:b/>
                <w:bCs/>
                <w:color w:val="000000"/>
              </w:rPr>
            </w:pPr>
            <w:r w:rsidRPr="00CE3BE6">
              <w:rPr>
                <w:rFonts w:eastAsia="Times New Roman"/>
                <w:b/>
                <w:bCs/>
                <w:color w:val="000000"/>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rFonts w:eastAsia="Times New Roman"/>
                <w:b/>
                <w:bCs/>
                <w:color w:val="000000"/>
              </w:rPr>
            </w:pPr>
            <w:r w:rsidRPr="00CE3BE6">
              <w:rPr>
                <w:rFonts w:eastAsia="Times New Roman"/>
                <w:b/>
                <w:bCs/>
                <w:color w:val="000000"/>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rFonts w:eastAsia="Times New Roman"/>
                <w:b/>
                <w:bCs/>
                <w:color w:val="000000"/>
              </w:rPr>
            </w:pPr>
            <w:r w:rsidRPr="00CE3BE6">
              <w:rPr>
                <w:rFonts w:eastAsia="Times New Roman"/>
                <w:b/>
                <w:bCs/>
                <w:color w:val="000000"/>
              </w:rPr>
              <w:t>Total</w:t>
            </w:r>
          </w:p>
        </w:tc>
      </w:tr>
      <w:tr w:rsidR="003C1EB9" w:rsidRPr="00CE3BE6" w14:paraId="10FFAAC9"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rFonts w:eastAsia="Times New Roman"/>
                <w:bCs/>
                <w:color w:val="000000"/>
              </w:rPr>
            </w:pPr>
            <w:r w:rsidRPr="00AC73A1">
              <w:rPr>
                <w:rFonts w:eastAsia="Times New Roman"/>
                <w:bCs/>
                <w:color w:val="000000"/>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rFonts w:eastAsia="Times New Roman"/>
                <w:color w:val="000000"/>
              </w:rPr>
            </w:pPr>
            <w:r w:rsidRPr="00CE3BE6">
              <w:rPr>
                <w:rFonts w:eastAsia="Times New Roman"/>
                <w:color w:val="000000"/>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rFonts w:eastAsia="Times New Roman"/>
                <w:color w:val="000000"/>
              </w:rPr>
            </w:pPr>
            <w:r w:rsidRPr="00CE3BE6">
              <w:rPr>
                <w:rFonts w:eastAsia="Times New Roman"/>
                <w:color w:val="000000"/>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rFonts w:eastAsia="Times New Roman"/>
                <w:b/>
                <w:color w:val="000000"/>
              </w:rPr>
            </w:pPr>
            <w:r w:rsidRPr="00AC73A1">
              <w:rPr>
                <w:rFonts w:eastAsia="Times New Roman"/>
                <w:b/>
                <w:color w:val="000000"/>
              </w:rPr>
              <w:t>85,854,176</w:t>
            </w:r>
          </w:p>
        </w:tc>
      </w:tr>
      <w:tr w:rsidR="003C1EB9" w:rsidRPr="00CE3BE6" w14:paraId="08DFCF1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38FA3A79" w:rsidR="003C1EB9" w:rsidRPr="00AC73A1" w:rsidRDefault="003C1EB9" w:rsidP="00F84E39">
            <w:pPr>
              <w:rPr>
                <w:rFonts w:eastAsia="Times New Roman"/>
                <w:bCs/>
                <w:color w:val="000000"/>
              </w:rPr>
            </w:pPr>
            <w:r w:rsidRPr="00AC73A1">
              <w:rPr>
                <w:rFonts w:eastAsia="Times New Roman"/>
                <w:bCs/>
                <w:color w:val="000000"/>
              </w:rPr>
              <w:t>Cancer</w:t>
            </w:r>
            <w:r w:rsidR="00DE001B">
              <w:rPr>
                <w:rFonts w:eastAsia="Times New Roman"/>
                <w:bCs/>
                <w:color w:val="000000"/>
              </w:rPr>
              <w:t>s</w:t>
            </w:r>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rFonts w:eastAsia="Times New Roman"/>
                <w:color w:val="000000"/>
              </w:rPr>
            </w:pPr>
            <w:r w:rsidRPr="00CE3BE6">
              <w:rPr>
                <w:rFonts w:eastAsia="Times New Roman"/>
                <w:color w:val="000000"/>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rFonts w:eastAsia="Times New Roman"/>
                <w:color w:val="000000"/>
              </w:rPr>
            </w:pPr>
            <w:r w:rsidRPr="00CE3BE6">
              <w:rPr>
                <w:rFonts w:eastAsia="Times New Roman"/>
                <w:color w:val="000000"/>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rFonts w:eastAsia="Times New Roman"/>
                <w:color w:val="000000"/>
              </w:rPr>
            </w:pPr>
            <w:r w:rsidRPr="00CE3BE6">
              <w:rPr>
                <w:rFonts w:eastAsia="Times New Roman"/>
                <w:color w:val="000000"/>
              </w:rPr>
              <w:t>19,958,112</w:t>
            </w:r>
          </w:p>
        </w:tc>
      </w:tr>
      <w:tr w:rsidR="003C1EB9" w:rsidRPr="00CE3BE6" w14:paraId="30EF55AE"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391B3E4A" w:rsidR="003C1EB9" w:rsidRPr="00AC73A1" w:rsidRDefault="003C1EB9" w:rsidP="00F84E39">
            <w:pPr>
              <w:rPr>
                <w:rFonts w:eastAsia="Times New Roman"/>
                <w:bCs/>
                <w:color w:val="000000"/>
              </w:rPr>
            </w:pPr>
            <w:r w:rsidRPr="00AC73A1">
              <w:rPr>
                <w:rFonts w:eastAsia="Times New Roman"/>
                <w:bCs/>
                <w:color w:val="000000"/>
              </w:rPr>
              <w:t>Cardiorespiratory</w:t>
            </w:r>
            <w:r w:rsidR="009C3641">
              <w:rPr>
                <w:rFonts w:eastAsia="Times New Roman"/>
                <w:bCs/>
                <w:color w:val="000000"/>
              </w:rPr>
              <w:t xml:space="preserve">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rFonts w:eastAsia="Times New Roman"/>
                <w:color w:val="000000"/>
              </w:rPr>
            </w:pPr>
            <w:r w:rsidRPr="00CE3BE6">
              <w:rPr>
                <w:rFonts w:eastAsia="Times New Roman"/>
                <w:color w:val="000000"/>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rFonts w:eastAsia="Times New Roman"/>
                <w:color w:val="000000"/>
              </w:rPr>
            </w:pPr>
            <w:r w:rsidRPr="00CE3BE6">
              <w:rPr>
                <w:rFonts w:eastAsia="Times New Roman"/>
                <w:color w:val="000000"/>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rFonts w:eastAsia="Times New Roman"/>
                <w:color w:val="000000"/>
              </w:rPr>
            </w:pPr>
            <w:r w:rsidRPr="00CE3BE6">
              <w:rPr>
                <w:rFonts w:eastAsia="Times New Roman"/>
                <w:color w:val="000000"/>
              </w:rPr>
              <w:t>41,277,574</w:t>
            </w:r>
          </w:p>
        </w:tc>
      </w:tr>
      <w:tr w:rsidR="003C1EB9" w:rsidRPr="00CE3BE6" w14:paraId="451AE689"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0F5A04AA" w:rsidR="003C1EB9" w:rsidRPr="00AC73A1" w:rsidRDefault="003C1EB9" w:rsidP="00F84E39">
            <w:pPr>
              <w:rPr>
                <w:rFonts w:eastAsia="Times New Roman"/>
                <w:bCs/>
                <w:color w:val="000000"/>
              </w:rPr>
            </w:pPr>
            <w:r w:rsidRPr="00AC73A1">
              <w:rPr>
                <w:rFonts w:eastAsia="Times New Roman"/>
                <w:bCs/>
                <w:color w:val="000000"/>
              </w:rPr>
              <w:t>Cardiovascular</w:t>
            </w:r>
            <w:r w:rsidR="001F3669">
              <w:rPr>
                <w:rFonts w:eastAsia="Times New Roman"/>
                <w:bCs/>
                <w:color w:val="000000"/>
              </w:rPr>
              <w:t xml:space="preserve"> diseases</w:t>
            </w:r>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rFonts w:eastAsia="Times New Roman"/>
                <w:color w:val="000000"/>
              </w:rPr>
            </w:pPr>
            <w:r w:rsidRPr="00CE3BE6">
              <w:rPr>
                <w:rFonts w:eastAsia="Times New Roman"/>
                <w:color w:val="000000"/>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rFonts w:eastAsia="Times New Roman"/>
                <w:color w:val="000000"/>
              </w:rPr>
            </w:pPr>
            <w:r w:rsidRPr="00CE3BE6">
              <w:rPr>
                <w:rFonts w:eastAsia="Times New Roman"/>
                <w:color w:val="000000"/>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rFonts w:eastAsia="Times New Roman"/>
                <w:color w:val="000000"/>
              </w:rPr>
            </w:pPr>
            <w:r w:rsidRPr="00CE3BE6">
              <w:rPr>
                <w:rFonts w:eastAsia="Times New Roman"/>
                <w:color w:val="000000"/>
              </w:rPr>
              <w:t>33,448,900</w:t>
            </w:r>
          </w:p>
        </w:tc>
      </w:tr>
      <w:tr w:rsidR="003C1EB9" w:rsidRPr="00CE3BE6" w14:paraId="6C51EE0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rFonts w:eastAsia="Times New Roman"/>
                <w:bCs/>
                <w:color w:val="000000"/>
              </w:rPr>
            </w:pPr>
            <w:r w:rsidRPr="00AC73A1">
              <w:rPr>
                <w:rFonts w:eastAsia="Times New Roman"/>
                <w:bCs/>
                <w:color w:val="000000"/>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rFonts w:eastAsia="Times New Roman"/>
                <w:color w:val="000000"/>
              </w:rPr>
            </w:pPr>
            <w:r w:rsidRPr="00CE3BE6">
              <w:rPr>
                <w:rFonts w:eastAsia="Times New Roman"/>
                <w:color w:val="000000"/>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rFonts w:eastAsia="Times New Roman"/>
                <w:color w:val="000000"/>
              </w:rPr>
            </w:pPr>
            <w:r w:rsidRPr="00CE3BE6">
              <w:rPr>
                <w:rFonts w:eastAsia="Times New Roman"/>
                <w:color w:val="000000"/>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rFonts w:eastAsia="Times New Roman"/>
                <w:color w:val="000000"/>
              </w:rPr>
            </w:pPr>
            <w:r w:rsidRPr="00CE3BE6">
              <w:rPr>
                <w:rFonts w:eastAsia="Times New Roman"/>
                <w:color w:val="000000"/>
              </w:rPr>
              <w:t>5,387,602</w:t>
            </w:r>
          </w:p>
        </w:tc>
      </w:tr>
      <w:tr w:rsidR="003C1EB9" w:rsidRPr="00CE3BE6" w14:paraId="1D5B86A8"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rFonts w:eastAsia="Times New Roman"/>
                <w:bCs/>
                <w:color w:val="000000"/>
              </w:rPr>
            </w:pPr>
            <w:r w:rsidRPr="00AC73A1">
              <w:rPr>
                <w:rFonts w:eastAsia="Times New Roman"/>
                <w:bCs/>
                <w:color w:val="000000"/>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rFonts w:eastAsia="Times New Roman"/>
                <w:color w:val="000000"/>
              </w:rPr>
            </w:pPr>
            <w:r w:rsidRPr="00CE3BE6">
              <w:rPr>
                <w:rFonts w:eastAsia="Times New Roman"/>
                <w:color w:val="000000"/>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rFonts w:eastAsia="Times New Roman"/>
                <w:color w:val="000000"/>
              </w:rPr>
            </w:pPr>
            <w:r w:rsidRPr="00CE3BE6">
              <w:rPr>
                <w:rFonts w:eastAsia="Times New Roman"/>
                <w:color w:val="000000"/>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rFonts w:eastAsia="Times New Roman"/>
                <w:color w:val="000000"/>
              </w:rPr>
            </w:pPr>
            <w:r w:rsidRPr="00CE3BE6">
              <w:rPr>
                <w:rFonts w:eastAsia="Times New Roman"/>
                <w:color w:val="000000"/>
              </w:rPr>
              <w:t>2,441,072</w:t>
            </w:r>
          </w:p>
        </w:tc>
      </w:tr>
      <w:tr w:rsidR="003C1EB9" w:rsidRPr="00CE3BE6" w14:paraId="19AAA041"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rFonts w:eastAsia="Times New Roman"/>
                <w:bCs/>
                <w:color w:val="000000"/>
              </w:rPr>
            </w:pPr>
            <w:r w:rsidRPr="00AC73A1">
              <w:rPr>
                <w:rFonts w:eastAsia="Times New Roman"/>
                <w:bCs/>
                <w:color w:val="000000"/>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rFonts w:eastAsia="Times New Roman"/>
                <w:color w:val="000000"/>
              </w:rPr>
            </w:pPr>
            <w:r w:rsidRPr="00CE3BE6">
              <w:rPr>
                <w:rFonts w:eastAsia="Times New Roman"/>
                <w:color w:val="000000"/>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rFonts w:eastAsia="Times New Roman"/>
                <w:color w:val="000000"/>
              </w:rPr>
            </w:pPr>
            <w:r w:rsidRPr="00CE3BE6">
              <w:rPr>
                <w:rFonts w:eastAsia="Times New Roman"/>
                <w:color w:val="000000"/>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rFonts w:eastAsia="Times New Roman"/>
                <w:color w:val="000000"/>
              </w:rPr>
            </w:pPr>
            <w:r w:rsidRPr="00CE3BE6">
              <w:rPr>
                <w:rFonts w:eastAsia="Times New Roman"/>
                <w:color w:val="000000"/>
              </w:rPr>
              <w:t>5,803,046</w:t>
            </w:r>
          </w:p>
        </w:tc>
      </w:tr>
      <w:tr w:rsidR="003C1EB9" w:rsidRPr="00CE3BE6" w14:paraId="3191C6B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rFonts w:eastAsia="Times New Roman"/>
                <w:bCs/>
                <w:color w:val="000000"/>
              </w:rPr>
            </w:pPr>
            <w:r w:rsidRPr="00AC73A1">
              <w:rPr>
                <w:rFonts w:eastAsia="Times New Roman"/>
                <w:bCs/>
                <w:color w:val="000000"/>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rFonts w:eastAsia="Times New Roman"/>
                <w:color w:val="000000"/>
              </w:rPr>
            </w:pPr>
            <w:r w:rsidRPr="00CE3BE6">
              <w:rPr>
                <w:rFonts w:eastAsia="Times New Roman"/>
                <w:color w:val="000000"/>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rFonts w:eastAsia="Times New Roman"/>
                <w:color w:val="000000"/>
              </w:rPr>
            </w:pPr>
            <w:r w:rsidRPr="00CE3BE6">
              <w:rPr>
                <w:rFonts w:eastAsia="Times New Roman"/>
                <w:color w:val="000000"/>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rFonts w:eastAsia="Times New Roman"/>
                <w:color w:val="000000"/>
              </w:rPr>
            </w:pPr>
            <w:r w:rsidRPr="00CE3BE6">
              <w:rPr>
                <w:rFonts w:eastAsia="Times New Roman"/>
                <w:color w:val="000000"/>
              </w:rPr>
              <w:t>3,837,329</w:t>
            </w:r>
          </w:p>
        </w:tc>
      </w:tr>
      <w:tr w:rsidR="003C1EB9" w:rsidRPr="00CE3BE6" w14:paraId="64F13A16"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rFonts w:eastAsia="Times New Roman"/>
                <w:bCs/>
                <w:color w:val="000000"/>
              </w:rPr>
            </w:pPr>
            <w:r w:rsidRPr="00AC73A1">
              <w:rPr>
                <w:rFonts w:eastAsia="Times New Roman"/>
                <w:bCs/>
                <w:color w:val="000000"/>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rFonts w:eastAsia="Times New Roman"/>
                <w:color w:val="000000"/>
              </w:rPr>
            </w:pPr>
            <w:r w:rsidRPr="00CE3BE6">
              <w:rPr>
                <w:rFonts w:eastAsia="Times New Roman"/>
                <w:color w:val="000000"/>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rFonts w:eastAsia="Times New Roman"/>
                <w:color w:val="000000"/>
              </w:rPr>
            </w:pPr>
            <w:r w:rsidRPr="00CE3BE6">
              <w:rPr>
                <w:rFonts w:eastAsia="Times New Roman"/>
                <w:color w:val="000000"/>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rFonts w:eastAsia="Times New Roman"/>
                <w:color w:val="000000"/>
              </w:rPr>
            </w:pPr>
            <w:r w:rsidRPr="00CE3BE6">
              <w:rPr>
                <w:rFonts w:eastAsia="Times New Roman"/>
                <w:color w:val="000000"/>
              </w:rPr>
              <w:t>1,965,717</w:t>
            </w:r>
          </w:p>
        </w:tc>
      </w:tr>
      <w:tr w:rsidR="003C1EB9" w:rsidRPr="00CE3BE6" w14:paraId="5E6D173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4601154D" w:rsidR="003C1EB9" w:rsidRPr="00AC73A1" w:rsidRDefault="003C1EB9" w:rsidP="00F84E39">
            <w:pPr>
              <w:rPr>
                <w:rFonts w:eastAsia="Times New Roman"/>
                <w:bCs/>
                <w:color w:val="000000"/>
              </w:rPr>
            </w:pPr>
            <w:r w:rsidRPr="00AC73A1">
              <w:rPr>
                <w:rFonts w:eastAsia="Times New Roman"/>
                <w:bCs/>
                <w:color w:val="000000"/>
              </w:rPr>
              <w:t>Other</w:t>
            </w:r>
            <w:r w:rsidR="001F3669">
              <w:rPr>
                <w:rFonts w:eastAsia="Times New Roman"/>
                <w:bCs/>
                <w:color w:val="000000"/>
              </w:rPr>
              <w:t xml:space="preserve"> causes</w:t>
            </w:r>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rFonts w:eastAsia="Times New Roman"/>
                <w:color w:val="000000"/>
              </w:rPr>
            </w:pPr>
            <w:r w:rsidRPr="00CE3BE6">
              <w:rPr>
                <w:rFonts w:eastAsia="Times New Roman"/>
                <w:color w:val="000000"/>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rFonts w:eastAsia="Times New Roman"/>
                <w:color w:val="000000"/>
              </w:rPr>
            </w:pPr>
            <w:r w:rsidRPr="00CE3BE6">
              <w:rPr>
                <w:rFonts w:eastAsia="Times New Roman"/>
                <w:color w:val="000000"/>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rFonts w:eastAsia="Times New Roman"/>
                <w:color w:val="000000"/>
              </w:rPr>
            </w:pPr>
            <w:r w:rsidRPr="00CE3BE6">
              <w:rPr>
                <w:rFonts w:eastAsia="Times New Roman"/>
                <w:color w:val="000000"/>
              </w:rPr>
              <w:t>18,815,444</w:t>
            </w:r>
          </w:p>
        </w:tc>
      </w:tr>
    </w:tbl>
    <w:p w14:paraId="20E69C0C" w14:textId="77777777" w:rsidR="000E30F9" w:rsidRPr="00AC73A1" w:rsidRDefault="00A65808" w:rsidP="000E30F9">
      <w:pPr>
        <w:spacing w:line="480" w:lineRule="auto"/>
        <w:jc w:val="both"/>
        <w:rPr>
          <w:color w:val="000000" w:themeColor="text1"/>
        </w:rPr>
      </w:pPr>
      <w:r w:rsidRPr="00AC73A1">
        <w:rPr>
          <w:color w:val="000000" w:themeColor="text1"/>
        </w:rPr>
        <w:br w:type="page"/>
      </w:r>
      <w:r w:rsidR="000E30F9" w:rsidRPr="00AC73A1">
        <w:rPr>
          <w:b/>
          <w:color w:val="000000" w:themeColor="text1"/>
        </w:rPr>
        <w:lastRenderedPageBreak/>
        <w:t>Table 2</w:t>
      </w:r>
      <w:r w:rsidR="000E30F9" w:rsidRPr="00AC73A1">
        <w:rPr>
          <w:color w:val="000000" w:themeColor="text1"/>
        </w:rPr>
        <w:t>: Characteristics of climate regions of the USA.</w:t>
      </w:r>
    </w:p>
    <w:tbl>
      <w:tblPr>
        <w:tblW w:w="8780" w:type="dxa"/>
        <w:jc w:val="center"/>
        <w:tblLook w:val="04A0" w:firstRow="1" w:lastRow="0" w:firstColumn="1" w:lastColumn="0" w:noHBand="0" w:noVBand="1"/>
      </w:tblPr>
      <w:tblGrid>
        <w:gridCol w:w="2020"/>
        <w:gridCol w:w="3140"/>
        <w:gridCol w:w="1760"/>
        <w:gridCol w:w="1860"/>
      </w:tblGrid>
      <w:tr w:rsidR="00B26C55" w:rsidRPr="003D6280" w14:paraId="48558662" w14:textId="77777777" w:rsidTr="006B7721">
        <w:trPr>
          <w:trHeight w:val="1220"/>
          <w:jc w:val="center"/>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FD32F4"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11989622"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5C44183"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50181E76"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Mean annual temperature (1980-2016) (°C)</w:t>
            </w:r>
          </w:p>
        </w:tc>
      </w:tr>
      <w:tr w:rsidR="00B26C55" w:rsidRPr="003D6280" w14:paraId="53C418BB" w14:textId="77777777" w:rsidTr="006B7721">
        <w:trPr>
          <w:trHeight w:val="9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14113E9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Central</w:t>
            </w:r>
          </w:p>
        </w:tc>
        <w:tc>
          <w:tcPr>
            <w:tcW w:w="3140" w:type="dxa"/>
            <w:tcBorders>
              <w:top w:val="nil"/>
              <w:left w:val="nil"/>
              <w:bottom w:val="single" w:sz="4" w:space="0" w:color="auto"/>
              <w:right w:val="single" w:sz="4" w:space="0" w:color="auto"/>
            </w:tcBorders>
            <w:shd w:val="clear" w:color="auto" w:fill="auto"/>
            <w:vAlign w:val="center"/>
            <w:hideMark/>
          </w:tcPr>
          <w:p w14:paraId="7499CF6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center"/>
            <w:hideMark/>
          </w:tcPr>
          <w:p w14:paraId="4BB7CD36"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50,191,326</w:t>
            </w:r>
          </w:p>
        </w:tc>
        <w:tc>
          <w:tcPr>
            <w:tcW w:w="1860" w:type="dxa"/>
            <w:tcBorders>
              <w:top w:val="nil"/>
              <w:left w:val="nil"/>
              <w:bottom w:val="single" w:sz="4" w:space="0" w:color="auto"/>
              <w:right w:val="single" w:sz="4" w:space="0" w:color="auto"/>
            </w:tcBorders>
            <w:shd w:val="clear" w:color="auto" w:fill="auto"/>
            <w:noWrap/>
            <w:vAlign w:val="center"/>
            <w:hideMark/>
          </w:tcPr>
          <w:p w14:paraId="2400F502"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11.6</w:t>
            </w:r>
          </w:p>
        </w:tc>
      </w:tr>
      <w:tr w:rsidR="00B26C55" w:rsidRPr="003D6280" w14:paraId="7EF5EA9A"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24F590F5"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East North Central</w:t>
            </w:r>
          </w:p>
        </w:tc>
        <w:tc>
          <w:tcPr>
            <w:tcW w:w="3140" w:type="dxa"/>
            <w:tcBorders>
              <w:top w:val="nil"/>
              <w:left w:val="nil"/>
              <w:bottom w:val="single" w:sz="4" w:space="0" w:color="auto"/>
              <w:right w:val="single" w:sz="4" w:space="0" w:color="auto"/>
            </w:tcBorders>
            <w:shd w:val="clear" w:color="auto" w:fill="auto"/>
            <w:vAlign w:val="center"/>
            <w:hideMark/>
          </w:tcPr>
          <w:p w14:paraId="7BC6C45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Iowa, Michigan, Minnesota, Wisconsin</w:t>
            </w:r>
          </w:p>
        </w:tc>
        <w:tc>
          <w:tcPr>
            <w:tcW w:w="1760" w:type="dxa"/>
            <w:tcBorders>
              <w:top w:val="nil"/>
              <w:left w:val="nil"/>
              <w:bottom w:val="single" w:sz="4" w:space="0" w:color="auto"/>
              <w:right w:val="single" w:sz="4" w:space="0" w:color="auto"/>
            </w:tcBorders>
            <w:shd w:val="clear" w:color="auto" w:fill="auto"/>
            <w:noWrap/>
            <w:vAlign w:val="center"/>
            <w:hideMark/>
          </w:tcPr>
          <w:p w14:paraId="1368414A"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24,418,738</w:t>
            </w:r>
          </w:p>
        </w:tc>
        <w:tc>
          <w:tcPr>
            <w:tcW w:w="1860" w:type="dxa"/>
            <w:tcBorders>
              <w:top w:val="nil"/>
              <w:left w:val="nil"/>
              <w:bottom w:val="single" w:sz="4" w:space="0" w:color="auto"/>
              <w:right w:val="single" w:sz="4" w:space="0" w:color="auto"/>
            </w:tcBorders>
            <w:shd w:val="clear" w:color="auto" w:fill="auto"/>
            <w:noWrap/>
            <w:vAlign w:val="center"/>
            <w:hideMark/>
          </w:tcPr>
          <w:p w14:paraId="2D7F1283"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8</w:t>
            </w:r>
          </w:p>
        </w:tc>
      </w:tr>
      <w:tr w:rsidR="00B26C55" w:rsidRPr="003D6280" w14:paraId="516438B1" w14:textId="77777777" w:rsidTr="006B7721">
        <w:trPr>
          <w:trHeight w:val="160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3B360CE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Northeast</w:t>
            </w:r>
          </w:p>
        </w:tc>
        <w:tc>
          <w:tcPr>
            <w:tcW w:w="3140" w:type="dxa"/>
            <w:tcBorders>
              <w:top w:val="nil"/>
              <w:left w:val="nil"/>
              <w:bottom w:val="single" w:sz="4" w:space="0" w:color="auto"/>
              <w:right w:val="single" w:sz="4" w:space="0" w:color="auto"/>
            </w:tcBorders>
            <w:shd w:val="clear" w:color="auto" w:fill="auto"/>
            <w:vAlign w:val="center"/>
            <w:hideMark/>
          </w:tcPr>
          <w:p w14:paraId="239AF163"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center"/>
            <w:hideMark/>
          </w:tcPr>
          <w:p w14:paraId="0A2B1E29"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64,046,741</w:t>
            </w:r>
          </w:p>
        </w:tc>
        <w:tc>
          <w:tcPr>
            <w:tcW w:w="1860" w:type="dxa"/>
            <w:tcBorders>
              <w:top w:val="nil"/>
              <w:left w:val="nil"/>
              <w:bottom w:val="single" w:sz="4" w:space="0" w:color="auto"/>
              <w:right w:val="single" w:sz="4" w:space="0" w:color="auto"/>
            </w:tcBorders>
            <w:shd w:val="clear" w:color="auto" w:fill="auto"/>
            <w:noWrap/>
            <w:vAlign w:val="center"/>
            <w:hideMark/>
          </w:tcPr>
          <w:p w14:paraId="72DE3355"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10.6</w:t>
            </w:r>
          </w:p>
        </w:tc>
      </w:tr>
      <w:tr w:rsidR="00B26C55" w:rsidRPr="003D6280" w14:paraId="5332539D"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0CDFBF0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Northwest</w:t>
            </w:r>
          </w:p>
        </w:tc>
        <w:tc>
          <w:tcPr>
            <w:tcW w:w="3140" w:type="dxa"/>
            <w:tcBorders>
              <w:top w:val="nil"/>
              <w:left w:val="nil"/>
              <w:bottom w:val="single" w:sz="4" w:space="0" w:color="auto"/>
              <w:right w:val="single" w:sz="4" w:space="0" w:color="auto"/>
            </w:tcBorders>
            <w:shd w:val="clear" w:color="auto" w:fill="auto"/>
            <w:vAlign w:val="center"/>
            <w:hideMark/>
          </w:tcPr>
          <w:p w14:paraId="7EB082D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Alaska, Idaho, Oregon, Washington</w:t>
            </w:r>
          </w:p>
        </w:tc>
        <w:tc>
          <w:tcPr>
            <w:tcW w:w="1760" w:type="dxa"/>
            <w:tcBorders>
              <w:top w:val="nil"/>
              <w:left w:val="nil"/>
              <w:bottom w:val="single" w:sz="4" w:space="0" w:color="auto"/>
              <w:right w:val="single" w:sz="4" w:space="0" w:color="auto"/>
            </w:tcBorders>
            <w:shd w:val="clear" w:color="auto" w:fill="auto"/>
            <w:noWrap/>
            <w:vAlign w:val="center"/>
            <w:hideMark/>
          </w:tcPr>
          <w:p w14:paraId="5498C314"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13,811,810</w:t>
            </w:r>
          </w:p>
        </w:tc>
        <w:tc>
          <w:tcPr>
            <w:tcW w:w="1860" w:type="dxa"/>
            <w:tcBorders>
              <w:top w:val="nil"/>
              <w:left w:val="nil"/>
              <w:bottom w:val="single" w:sz="4" w:space="0" w:color="auto"/>
              <w:right w:val="single" w:sz="4" w:space="0" w:color="auto"/>
            </w:tcBorders>
            <w:shd w:val="clear" w:color="auto" w:fill="auto"/>
            <w:noWrap/>
            <w:vAlign w:val="center"/>
            <w:hideMark/>
          </w:tcPr>
          <w:p w14:paraId="7E6065E7"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8.2</w:t>
            </w:r>
          </w:p>
        </w:tc>
      </w:tr>
      <w:tr w:rsidR="00B26C55" w:rsidRPr="003D6280" w14:paraId="1C643E73"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4CBEA24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t>
            </w:r>
          </w:p>
        </w:tc>
        <w:tc>
          <w:tcPr>
            <w:tcW w:w="3140" w:type="dxa"/>
            <w:tcBorders>
              <w:top w:val="nil"/>
              <w:left w:val="nil"/>
              <w:bottom w:val="single" w:sz="4" w:space="0" w:color="auto"/>
              <w:right w:val="single" w:sz="4" w:space="0" w:color="auto"/>
            </w:tcBorders>
            <w:shd w:val="clear" w:color="auto" w:fill="auto"/>
            <w:vAlign w:val="center"/>
            <w:hideMark/>
          </w:tcPr>
          <w:p w14:paraId="48634086"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center"/>
            <w:hideMark/>
          </w:tcPr>
          <w:p w14:paraId="22AF3544"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45,388,414</w:t>
            </w:r>
          </w:p>
        </w:tc>
        <w:tc>
          <w:tcPr>
            <w:tcW w:w="1860" w:type="dxa"/>
            <w:tcBorders>
              <w:top w:val="nil"/>
              <w:left w:val="nil"/>
              <w:bottom w:val="single" w:sz="4" w:space="0" w:color="auto"/>
              <w:right w:val="single" w:sz="4" w:space="0" w:color="auto"/>
            </w:tcBorders>
            <w:shd w:val="clear" w:color="auto" w:fill="auto"/>
            <w:noWrap/>
            <w:vAlign w:val="center"/>
            <w:hideMark/>
          </w:tcPr>
          <w:p w14:paraId="79B47E75"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18</w:t>
            </w:r>
          </w:p>
        </w:tc>
      </w:tr>
      <w:tr w:rsidR="00B26C55" w:rsidRPr="003D6280" w14:paraId="3C16D61C" w14:textId="77777777" w:rsidTr="006B7721">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4CBC83A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Southeast</w:t>
            </w:r>
          </w:p>
        </w:tc>
        <w:tc>
          <w:tcPr>
            <w:tcW w:w="3140" w:type="dxa"/>
            <w:tcBorders>
              <w:top w:val="nil"/>
              <w:left w:val="nil"/>
              <w:bottom w:val="single" w:sz="4" w:space="0" w:color="auto"/>
              <w:right w:val="single" w:sz="4" w:space="0" w:color="auto"/>
            </w:tcBorders>
            <w:shd w:val="clear" w:color="auto" w:fill="auto"/>
            <w:vAlign w:val="center"/>
            <w:hideMark/>
          </w:tcPr>
          <w:p w14:paraId="7712F77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center"/>
            <w:hideMark/>
          </w:tcPr>
          <w:p w14:paraId="2DAC04E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59,356,072</w:t>
            </w:r>
          </w:p>
        </w:tc>
        <w:tc>
          <w:tcPr>
            <w:tcW w:w="1860" w:type="dxa"/>
            <w:tcBorders>
              <w:top w:val="nil"/>
              <w:left w:val="nil"/>
              <w:bottom w:val="single" w:sz="4" w:space="0" w:color="auto"/>
              <w:right w:val="single" w:sz="4" w:space="0" w:color="auto"/>
            </w:tcBorders>
            <w:shd w:val="clear" w:color="auto" w:fill="auto"/>
            <w:noWrap/>
            <w:vAlign w:val="center"/>
            <w:hideMark/>
          </w:tcPr>
          <w:p w14:paraId="72A1967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18.4</w:t>
            </w:r>
          </w:p>
        </w:tc>
      </w:tr>
      <w:tr w:rsidR="00B26C55" w:rsidRPr="003D6280" w14:paraId="4039AE5E"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5320B98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Southwest</w:t>
            </w:r>
          </w:p>
        </w:tc>
        <w:tc>
          <w:tcPr>
            <w:tcW w:w="3140" w:type="dxa"/>
            <w:tcBorders>
              <w:top w:val="nil"/>
              <w:left w:val="nil"/>
              <w:bottom w:val="single" w:sz="4" w:space="0" w:color="auto"/>
              <w:right w:val="single" w:sz="4" w:space="0" w:color="auto"/>
            </w:tcBorders>
            <w:shd w:val="clear" w:color="auto" w:fill="auto"/>
            <w:vAlign w:val="center"/>
            <w:hideMark/>
          </w:tcPr>
          <w:p w14:paraId="297A433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Arizona, Colorado, New Mexico, Utah</w:t>
            </w:r>
          </w:p>
        </w:tc>
        <w:tc>
          <w:tcPr>
            <w:tcW w:w="1760" w:type="dxa"/>
            <w:tcBorders>
              <w:top w:val="nil"/>
              <w:left w:val="nil"/>
              <w:bottom w:val="single" w:sz="4" w:space="0" w:color="auto"/>
              <w:right w:val="single" w:sz="4" w:space="0" w:color="auto"/>
            </w:tcBorders>
            <w:shd w:val="clear" w:color="auto" w:fill="auto"/>
            <w:noWrap/>
            <w:vAlign w:val="center"/>
            <w:hideMark/>
          </w:tcPr>
          <w:p w14:paraId="52716048"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17,613,981</w:t>
            </w:r>
          </w:p>
        </w:tc>
        <w:tc>
          <w:tcPr>
            <w:tcW w:w="1860" w:type="dxa"/>
            <w:tcBorders>
              <w:top w:val="nil"/>
              <w:left w:val="nil"/>
              <w:bottom w:val="single" w:sz="4" w:space="0" w:color="auto"/>
              <w:right w:val="single" w:sz="4" w:space="0" w:color="auto"/>
            </w:tcBorders>
            <w:shd w:val="clear" w:color="auto" w:fill="auto"/>
            <w:noWrap/>
            <w:vAlign w:val="center"/>
            <w:hideMark/>
          </w:tcPr>
          <w:p w14:paraId="07075AF9"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13.6</w:t>
            </w:r>
          </w:p>
        </w:tc>
      </w:tr>
      <w:tr w:rsidR="00B26C55" w:rsidRPr="003D6280" w14:paraId="3F432CFC" w14:textId="77777777" w:rsidTr="006B7721">
        <w:trPr>
          <w:trHeight w:val="3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7FE3108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w:t>
            </w:r>
          </w:p>
        </w:tc>
        <w:tc>
          <w:tcPr>
            <w:tcW w:w="3140" w:type="dxa"/>
            <w:tcBorders>
              <w:top w:val="nil"/>
              <w:left w:val="nil"/>
              <w:bottom w:val="single" w:sz="4" w:space="0" w:color="auto"/>
              <w:right w:val="single" w:sz="4" w:space="0" w:color="auto"/>
            </w:tcBorders>
            <w:shd w:val="clear" w:color="auto" w:fill="auto"/>
            <w:vAlign w:val="center"/>
            <w:hideMark/>
          </w:tcPr>
          <w:p w14:paraId="44FF1192"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California, Hawaii, Nevada</w:t>
            </w:r>
          </w:p>
        </w:tc>
        <w:tc>
          <w:tcPr>
            <w:tcW w:w="1760" w:type="dxa"/>
            <w:tcBorders>
              <w:top w:val="nil"/>
              <w:left w:val="nil"/>
              <w:bottom w:val="single" w:sz="4" w:space="0" w:color="auto"/>
              <w:right w:val="single" w:sz="4" w:space="0" w:color="auto"/>
            </w:tcBorders>
            <w:shd w:val="clear" w:color="auto" w:fill="auto"/>
            <w:noWrap/>
            <w:vAlign w:val="center"/>
            <w:hideMark/>
          </w:tcPr>
          <w:p w14:paraId="0851DCC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43,708,574</w:t>
            </w:r>
          </w:p>
        </w:tc>
        <w:tc>
          <w:tcPr>
            <w:tcW w:w="1860" w:type="dxa"/>
            <w:tcBorders>
              <w:top w:val="nil"/>
              <w:left w:val="nil"/>
              <w:bottom w:val="single" w:sz="4" w:space="0" w:color="auto"/>
              <w:right w:val="single" w:sz="4" w:space="0" w:color="auto"/>
            </w:tcBorders>
            <w:shd w:val="clear" w:color="auto" w:fill="auto"/>
            <w:noWrap/>
            <w:vAlign w:val="center"/>
            <w:hideMark/>
          </w:tcPr>
          <w:p w14:paraId="7B7E81B6"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16.6</w:t>
            </w:r>
          </w:p>
        </w:tc>
      </w:tr>
      <w:tr w:rsidR="00B26C55" w:rsidRPr="003D6280" w14:paraId="1D22EF2E" w14:textId="77777777" w:rsidTr="006B7721">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0F21A1C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 North Central</w:t>
            </w:r>
          </w:p>
        </w:tc>
        <w:tc>
          <w:tcPr>
            <w:tcW w:w="3140" w:type="dxa"/>
            <w:tcBorders>
              <w:top w:val="nil"/>
              <w:left w:val="nil"/>
              <w:bottom w:val="single" w:sz="4" w:space="0" w:color="auto"/>
              <w:right w:val="single" w:sz="4" w:space="0" w:color="auto"/>
            </w:tcBorders>
            <w:shd w:val="clear" w:color="auto" w:fill="auto"/>
            <w:vAlign w:val="center"/>
            <w:hideMark/>
          </w:tcPr>
          <w:p w14:paraId="18482E2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center"/>
            <w:hideMark/>
          </w:tcPr>
          <w:p w14:paraId="241F665C"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5,168,753</w:t>
            </w:r>
          </w:p>
        </w:tc>
        <w:tc>
          <w:tcPr>
            <w:tcW w:w="1860" w:type="dxa"/>
            <w:tcBorders>
              <w:top w:val="nil"/>
              <w:left w:val="nil"/>
              <w:bottom w:val="single" w:sz="4" w:space="0" w:color="auto"/>
              <w:right w:val="single" w:sz="4" w:space="0" w:color="auto"/>
            </w:tcBorders>
            <w:shd w:val="clear" w:color="auto" w:fill="auto"/>
            <w:noWrap/>
            <w:vAlign w:val="center"/>
            <w:hideMark/>
          </w:tcPr>
          <w:p w14:paraId="0BB796DA"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7.6</w:t>
            </w:r>
          </w:p>
        </w:tc>
      </w:tr>
    </w:tbl>
    <w:p w14:paraId="751E3F10" w14:textId="5A5614F2" w:rsidR="000E30F9" w:rsidRDefault="000E30F9">
      <w:pPr>
        <w:rPr>
          <w:color w:val="000000" w:themeColor="text1"/>
        </w:rPr>
      </w:pPr>
      <w:r w:rsidRPr="00AC73A1">
        <w:rPr>
          <w:b/>
        </w:rPr>
        <w:br w:type="page"/>
      </w:r>
    </w:p>
    <w:p w14:paraId="1F98886B" w14:textId="77777777" w:rsidR="00A65808" w:rsidRPr="00AC73A1" w:rsidRDefault="00A65808" w:rsidP="00910AF9">
      <w:pPr>
        <w:spacing w:line="480" w:lineRule="auto"/>
        <w:jc w:val="both"/>
        <w:rPr>
          <w:color w:val="000000" w:themeColor="text1"/>
        </w:rPr>
      </w:pPr>
    </w:p>
    <w:p w14:paraId="09DE3F61" w14:textId="70514C0D" w:rsidR="00EF117B" w:rsidRDefault="00EF117B">
      <w:r>
        <w:br w:type="page"/>
      </w:r>
    </w:p>
    <w:p w14:paraId="62902550" w14:textId="6C920BC8" w:rsidR="00002775" w:rsidRPr="00BA38EF" w:rsidRDefault="00002775" w:rsidP="00BE53B4"/>
    <w:sectPr w:rsidR="00002775" w:rsidRPr="00BA38EF" w:rsidSect="00011599">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EC374C" w14:textId="77777777" w:rsidR="008D6D4F" w:rsidRDefault="008D6D4F">
      <w:r>
        <w:separator/>
      </w:r>
    </w:p>
  </w:endnote>
  <w:endnote w:type="continuationSeparator" w:id="0">
    <w:p w14:paraId="2AD138BD" w14:textId="77777777" w:rsidR="008D6D4F" w:rsidRDefault="008D6D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3E43C8" w:rsidRDefault="003E43C8"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3E43C8" w:rsidRDefault="003E43C8"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24E2F7C4" w:rsidR="003E43C8" w:rsidRDefault="003E43C8"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F4F45">
      <w:rPr>
        <w:rStyle w:val="PageNumber"/>
        <w:noProof/>
      </w:rPr>
      <w:t>6</w:t>
    </w:r>
    <w:r>
      <w:rPr>
        <w:rStyle w:val="PageNumber"/>
      </w:rPr>
      <w:fldChar w:fldCharType="end"/>
    </w:r>
  </w:p>
  <w:p w14:paraId="3F8F309C" w14:textId="77777777" w:rsidR="003E43C8" w:rsidRDefault="003E43C8"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0E7500" w14:textId="77777777" w:rsidR="008D6D4F" w:rsidRDefault="008D6D4F">
      <w:r>
        <w:separator/>
      </w:r>
    </w:p>
  </w:footnote>
  <w:footnote w:type="continuationSeparator" w:id="0">
    <w:p w14:paraId="2B19E633" w14:textId="77777777" w:rsidR="008D6D4F" w:rsidRDefault="008D6D4F">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08D7"/>
    <w:rsid w:val="000011F3"/>
    <w:rsid w:val="00001E52"/>
    <w:rsid w:val="00002775"/>
    <w:rsid w:val="00003248"/>
    <w:rsid w:val="00003415"/>
    <w:rsid w:val="00004649"/>
    <w:rsid w:val="0000534F"/>
    <w:rsid w:val="00005B06"/>
    <w:rsid w:val="000064D1"/>
    <w:rsid w:val="00006DCD"/>
    <w:rsid w:val="00010088"/>
    <w:rsid w:val="00011599"/>
    <w:rsid w:val="000122C0"/>
    <w:rsid w:val="00012568"/>
    <w:rsid w:val="000126AB"/>
    <w:rsid w:val="00014E5D"/>
    <w:rsid w:val="000156AA"/>
    <w:rsid w:val="00016C20"/>
    <w:rsid w:val="000171E9"/>
    <w:rsid w:val="00020A32"/>
    <w:rsid w:val="00020F15"/>
    <w:rsid w:val="000210D1"/>
    <w:rsid w:val="00023586"/>
    <w:rsid w:val="0002488D"/>
    <w:rsid w:val="0002552E"/>
    <w:rsid w:val="00025DE6"/>
    <w:rsid w:val="000261DC"/>
    <w:rsid w:val="00030756"/>
    <w:rsid w:val="00033C40"/>
    <w:rsid w:val="00034165"/>
    <w:rsid w:val="000341A7"/>
    <w:rsid w:val="00035017"/>
    <w:rsid w:val="00035EC0"/>
    <w:rsid w:val="0003657E"/>
    <w:rsid w:val="00037CC3"/>
    <w:rsid w:val="00040FE5"/>
    <w:rsid w:val="0004316E"/>
    <w:rsid w:val="0004612A"/>
    <w:rsid w:val="00047456"/>
    <w:rsid w:val="00050A3D"/>
    <w:rsid w:val="00053419"/>
    <w:rsid w:val="000545B5"/>
    <w:rsid w:val="00054EEF"/>
    <w:rsid w:val="00055738"/>
    <w:rsid w:val="000559D5"/>
    <w:rsid w:val="00057B55"/>
    <w:rsid w:val="0006004E"/>
    <w:rsid w:val="00061E82"/>
    <w:rsid w:val="00066C53"/>
    <w:rsid w:val="00070EF4"/>
    <w:rsid w:val="000711BB"/>
    <w:rsid w:val="00071653"/>
    <w:rsid w:val="00072F64"/>
    <w:rsid w:val="0007537F"/>
    <w:rsid w:val="0007767F"/>
    <w:rsid w:val="00077D09"/>
    <w:rsid w:val="000826AA"/>
    <w:rsid w:val="00082769"/>
    <w:rsid w:val="00082868"/>
    <w:rsid w:val="0008287A"/>
    <w:rsid w:val="00082E19"/>
    <w:rsid w:val="0008315C"/>
    <w:rsid w:val="00084F55"/>
    <w:rsid w:val="000855C6"/>
    <w:rsid w:val="000855D2"/>
    <w:rsid w:val="00087CBF"/>
    <w:rsid w:val="00090953"/>
    <w:rsid w:val="0009134D"/>
    <w:rsid w:val="0009224B"/>
    <w:rsid w:val="00093043"/>
    <w:rsid w:val="000940BB"/>
    <w:rsid w:val="000A0AFB"/>
    <w:rsid w:val="000A0CBB"/>
    <w:rsid w:val="000A0E7F"/>
    <w:rsid w:val="000A1B37"/>
    <w:rsid w:val="000A4138"/>
    <w:rsid w:val="000A43C1"/>
    <w:rsid w:val="000A451B"/>
    <w:rsid w:val="000A68FE"/>
    <w:rsid w:val="000A7D70"/>
    <w:rsid w:val="000B0D4A"/>
    <w:rsid w:val="000B343F"/>
    <w:rsid w:val="000B4037"/>
    <w:rsid w:val="000B43B6"/>
    <w:rsid w:val="000B49C7"/>
    <w:rsid w:val="000B49CF"/>
    <w:rsid w:val="000B4CE3"/>
    <w:rsid w:val="000B6495"/>
    <w:rsid w:val="000B68AC"/>
    <w:rsid w:val="000B7625"/>
    <w:rsid w:val="000B799D"/>
    <w:rsid w:val="000C107C"/>
    <w:rsid w:val="000C12A0"/>
    <w:rsid w:val="000C19A1"/>
    <w:rsid w:val="000C2752"/>
    <w:rsid w:val="000C53E9"/>
    <w:rsid w:val="000C576A"/>
    <w:rsid w:val="000C6C91"/>
    <w:rsid w:val="000C6ED9"/>
    <w:rsid w:val="000C7277"/>
    <w:rsid w:val="000C75E0"/>
    <w:rsid w:val="000D0291"/>
    <w:rsid w:val="000D08C2"/>
    <w:rsid w:val="000D2AC2"/>
    <w:rsid w:val="000D352A"/>
    <w:rsid w:val="000D4F95"/>
    <w:rsid w:val="000D5BA9"/>
    <w:rsid w:val="000D6410"/>
    <w:rsid w:val="000D648A"/>
    <w:rsid w:val="000E0177"/>
    <w:rsid w:val="000E19E2"/>
    <w:rsid w:val="000E1B1B"/>
    <w:rsid w:val="000E2CF4"/>
    <w:rsid w:val="000E30F9"/>
    <w:rsid w:val="000E3486"/>
    <w:rsid w:val="000E3606"/>
    <w:rsid w:val="000E36FB"/>
    <w:rsid w:val="000E3A7A"/>
    <w:rsid w:val="000E5F6C"/>
    <w:rsid w:val="000E6B25"/>
    <w:rsid w:val="000E7E2F"/>
    <w:rsid w:val="000F50FB"/>
    <w:rsid w:val="000F5812"/>
    <w:rsid w:val="000F58BA"/>
    <w:rsid w:val="000F5BDA"/>
    <w:rsid w:val="000F5E5D"/>
    <w:rsid w:val="001000EB"/>
    <w:rsid w:val="0010072E"/>
    <w:rsid w:val="00100C18"/>
    <w:rsid w:val="00101234"/>
    <w:rsid w:val="00101D00"/>
    <w:rsid w:val="001029FD"/>
    <w:rsid w:val="00103132"/>
    <w:rsid w:val="001073C5"/>
    <w:rsid w:val="00111621"/>
    <w:rsid w:val="00115046"/>
    <w:rsid w:val="001153F6"/>
    <w:rsid w:val="0011544B"/>
    <w:rsid w:val="00115F35"/>
    <w:rsid w:val="001163FE"/>
    <w:rsid w:val="00116591"/>
    <w:rsid w:val="00122E71"/>
    <w:rsid w:val="00122F91"/>
    <w:rsid w:val="00123104"/>
    <w:rsid w:val="00124A8E"/>
    <w:rsid w:val="00125763"/>
    <w:rsid w:val="0012663E"/>
    <w:rsid w:val="00126DD9"/>
    <w:rsid w:val="001310F1"/>
    <w:rsid w:val="00131404"/>
    <w:rsid w:val="00132C6C"/>
    <w:rsid w:val="00132FB9"/>
    <w:rsid w:val="00133606"/>
    <w:rsid w:val="00134C6D"/>
    <w:rsid w:val="00136E85"/>
    <w:rsid w:val="00140141"/>
    <w:rsid w:val="001407BB"/>
    <w:rsid w:val="0014242B"/>
    <w:rsid w:val="00142A44"/>
    <w:rsid w:val="001435DE"/>
    <w:rsid w:val="00143F59"/>
    <w:rsid w:val="001446B6"/>
    <w:rsid w:val="001537B6"/>
    <w:rsid w:val="0015398F"/>
    <w:rsid w:val="00155EAD"/>
    <w:rsid w:val="00156FC7"/>
    <w:rsid w:val="00160598"/>
    <w:rsid w:val="001608FF"/>
    <w:rsid w:val="00161E98"/>
    <w:rsid w:val="0016206E"/>
    <w:rsid w:val="00162561"/>
    <w:rsid w:val="00162EC4"/>
    <w:rsid w:val="00163AC8"/>
    <w:rsid w:val="0016500A"/>
    <w:rsid w:val="00165260"/>
    <w:rsid w:val="0016605A"/>
    <w:rsid w:val="00166A52"/>
    <w:rsid w:val="00167563"/>
    <w:rsid w:val="001678F7"/>
    <w:rsid w:val="001704F4"/>
    <w:rsid w:val="001710A4"/>
    <w:rsid w:val="00172987"/>
    <w:rsid w:val="00175269"/>
    <w:rsid w:val="00175631"/>
    <w:rsid w:val="00175CB9"/>
    <w:rsid w:val="001763D6"/>
    <w:rsid w:val="00177A85"/>
    <w:rsid w:val="00180945"/>
    <w:rsid w:val="00181294"/>
    <w:rsid w:val="00182421"/>
    <w:rsid w:val="00182928"/>
    <w:rsid w:val="00183090"/>
    <w:rsid w:val="00184EFC"/>
    <w:rsid w:val="001853D0"/>
    <w:rsid w:val="001913A5"/>
    <w:rsid w:val="00191761"/>
    <w:rsid w:val="0019228F"/>
    <w:rsid w:val="001925D8"/>
    <w:rsid w:val="0019272E"/>
    <w:rsid w:val="00193F5D"/>
    <w:rsid w:val="00194CDD"/>
    <w:rsid w:val="0019570C"/>
    <w:rsid w:val="00196C4A"/>
    <w:rsid w:val="001A017E"/>
    <w:rsid w:val="001A0364"/>
    <w:rsid w:val="001A0673"/>
    <w:rsid w:val="001A0887"/>
    <w:rsid w:val="001A0CB6"/>
    <w:rsid w:val="001A0F81"/>
    <w:rsid w:val="001A1C85"/>
    <w:rsid w:val="001A1F00"/>
    <w:rsid w:val="001A373C"/>
    <w:rsid w:val="001A3870"/>
    <w:rsid w:val="001A3DE2"/>
    <w:rsid w:val="001A4537"/>
    <w:rsid w:val="001A477E"/>
    <w:rsid w:val="001A5458"/>
    <w:rsid w:val="001A5AD8"/>
    <w:rsid w:val="001A6909"/>
    <w:rsid w:val="001A7024"/>
    <w:rsid w:val="001A7900"/>
    <w:rsid w:val="001A7A93"/>
    <w:rsid w:val="001A7DC8"/>
    <w:rsid w:val="001B0BA7"/>
    <w:rsid w:val="001B23D1"/>
    <w:rsid w:val="001B3247"/>
    <w:rsid w:val="001B44B8"/>
    <w:rsid w:val="001B58C4"/>
    <w:rsid w:val="001B5B91"/>
    <w:rsid w:val="001B7A2A"/>
    <w:rsid w:val="001B7C8F"/>
    <w:rsid w:val="001B7DA5"/>
    <w:rsid w:val="001C0102"/>
    <w:rsid w:val="001C049B"/>
    <w:rsid w:val="001C0DFD"/>
    <w:rsid w:val="001C0EFF"/>
    <w:rsid w:val="001C0FC7"/>
    <w:rsid w:val="001C2F97"/>
    <w:rsid w:val="001C3523"/>
    <w:rsid w:val="001C3C8D"/>
    <w:rsid w:val="001C4494"/>
    <w:rsid w:val="001C56BD"/>
    <w:rsid w:val="001C613C"/>
    <w:rsid w:val="001C6327"/>
    <w:rsid w:val="001C6574"/>
    <w:rsid w:val="001C6F5C"/>
    <w:rsid w:val="001C72AE"/>
    <w:rsid w:val="001D05D2"/>
    <w:rsid w:val="001D0836"/>
    <w:rsid w:val="001D0F84"/>
    <w:rsid w:val="001D2724"/>
    <w:rsid w:val="001D36DD"/>
    <w:rsid w:val="001D59F0"/>
    <w:rsid w:val="001D5CBD"/>
    <w:rsid w:val="001D78FC"/>
    <w:rsid w:val="001D7BA9"/>
    <w:rsid w:val="001E02CF"/>
    <w:rsid w:val="001E0A6F"/>
    <w:rsid w:val="001E141A"/>
    <w:rsid w:val="001E4238"/>
    <w:rsid w:val="001E4AF8"/>
    <w:rsid w:val="001E4DA9"/>
    <w:rsid w:val="001E577E"/>
    <w:rsid w:val="001E7CED"/>
    <w:rsid w:val="001F03E7"/>
    <w:rsid w:val="001F0FFF"/>
    <w:rsid w:val="001F3669"/>
    <w:rsid w:val="001F3D58"/>
    <w:rsid w:val="001F679D"/>
    <w:rsid w:val="00200B4D"/>
    <w:rsid w:val="002015BB"/>
    <w:rsid w:val="00203677"/>
    <w:rsid w:val="00203DF9"/>
    <w:rsid w:val="00203FDC"/>
    <w:rsid w:val="00205191"/>
    <w:rsid w:val="002053E9"/>
    <w:rsid w:val="002061AD"/>
    <w:rsid w:val="00211F66"/>
    <w:rsid w:val="00212965"/>
    <w:rsid w:val="00213631"/>
    <w:rsid w:val="00214C19"/>
    <w:rsid w:val="00215559"/>
    <w:rsid w:val="00215F62"/>
    <w:rsid w:val="002165D5"/>
    <w:rsid w:val="002166AE"/>
    <w:rsid w:val="00217F61"/>
    <w:rsid w:val="00220C4B"/>
    <w:rsid w:val="002231AC"/>
    <w:rsid w:val="00223EAC"/>
    <w:rsid w:val="00225C47"/>
    <w:rsid w:val="0023094A"/>
    <w:rsid w:val="002317EC"/>
    <w:rsid w:val="002318D2"/>
    <w:rsid w:val="00231ECA"/>
    <w:rsid w:val="00232074"/>
    <w:rsid w:val="00233A16"/>
    <w:rsid w:val="00235CE2"/>
    <w:rsid w:val="00236AF3"/>
    <w:rsid w:val="00236E9B"/>
    <w:rsid w:val="00240F5E"/>
    <w:rsid w:val="00241EFC"/>
    <w:rsid w:val="00242DD5"/>
    <w:rsid w:val="00244355"/>
    <w:rsid w:val="00244D8A"/>
    <w:rsid w:val="00244F4D"/>
    <w:rsid w:val="002452E3"/>
    <w:rsid w:val="00247A0A"/>
    <w:rsid w:val="00251005"/>
    <w:rsid w:val="00251C2E"/>
    <w:rsid w:val="002542D0"/>
    <w:rsid w:val="00260281"/>
    <w:rsid w:val="0026033D"/>
    <w:rsid w:val="00260B02"/>
    <w:rsid w:val="00263A68"/>
    <w:rsid w:val="0026410C"/>
    <w:rsid w:val="00264184"/>
    <w:rsid w:val="002641A2"/>
    <w:rsid w:val="002648C8"/>
    <w:rsid w:val="00265FBF"/>
    <w:rsid w:val="00265FE4"/>
    <w:rsid w:val="002662B1"/>
    <w:rsid w:val="00271614"/>
    <w:rsid w:val="00272705"/>
    <w:rsid w:val="002734E8"/>
    <w:rsid w:val="00274464"/>
    <w:rsid w:val="00275889"/>
    <w:rsid w:val="0027631A"/>
    <w:rsid w:val="00276EAE"/>
    <w:rsid w:val="00277FF5"/>
    <w:rsid w:val="00280DF1"/>
    <w:rsid w:val="00281EE5"/>
    <w:rsid w:val="00283502"/>
    <w:rsid w:val="002867D8"/>
    <w:rsid w:val="002877D1"/>
    <w:rsid w:val="0029208D"/>
    <w:rsid w:val="002931FC"/>
    <w:rsid w:val="002946F4"/>
    <w:rsid w:val="002949F6"/>
    <w:rsid w:val="00294A3F"/>
    <w:rsid w:val="00294C9B"/>
    <w:rsid w:val="00296101"/>
    <w:rsid w:val="00296A5E"/>
    <w:rsid w:val="002977CC"/>
    <w:rsid w:val="002A4569"/>
    <w:rsid w:val="002A4A3A"/>
    <w:rsid w:val="002A4A82"/>
    <w:rsid w:val="002A4B30"/>
    <w:rsid w:val="002A7FE4"/>
    <w:rsid w:val="002B0951"/>
    <w:rsid w:val="002B0AB2"/>
    <w:rsid w:val="002B2295"/>
    <w:rsid w:val="002B3737"/>
    <w:rsid w:val="002B5E66"/>
    <w:rsid w:val="002B60AA"/>
    <w:rsid w:val="002B6D59"/>
    <w:rsid w:val="002C1A7D"/>
    <w:rsid w:val="002C2993"/>
    <w:rsid w:val="002C33D5"/>
    <w:rsid w:val="002C753F"/>
    <w:rsid w:val="002C7541"/>
    <w:rsid w:val="002C7660"/>
    <w:rsid w:val="002D0212"/>
    <w:rsid w:val="002D057C"/>
    <w:rsid w:val="002D1F5C"/>
    <w:rsid w:val="002D5558"/>
    <w:rsid w:val="002D5F29"/>
    <w:rsid w:val="002D7549"/>
    <w:rsid w:val="002E005E"/>
    <w:rsid w:val="002E0DC3"/>
    <w:rsid w:val="002E1EC9"/>
    <w:rsid w:val="002E20B6"/>
    <w:rsid w:val="002E2F92"/>
    <w:rsid w:val="002E5554"/>
    <w:rsid w:val="002E757A"/>
    <w:rsid w:val="002F03B9"/>
    <w:rsid w:val="002F0EE2"/>
    <w:rsid w:val="002F1C09"/>
    <w:rsid w:val="002F2133"/>
    <w:rsid w:val="002F2AD4"/>
    <w:rsid w:val="002F2C34"/>
    <w:rsid w:val="002F4DC5"/>
    <w:rsid w:val="002F6B9A"/>
    <w:rsid w:val="00300F68"/>
    <w:rsid w:val="00301AA6"/>
    <w:rsid w:val="003026D8"/>
    <w:rsid w:val="00304F47"/>
    <w:rsid w:val="003061D1"/>
    <w:rsid w:val="00306611"/>
    <w:rsid w:val="00306685"/>
    <w:rsid w:val="00310C35"/>
    <w:rsid w:val="00310E0C"/>
    <w:rsid w:val="003110FD"/>
    <w:rsid w:val="00315BE6"/>
    <w:rsid w:val="00320003"/>
    <w:rsid w:val="003206D2"/>
    <w:rsid w:val="0032080A"/>
    <w:rsid w:val="0032227A"/>
    <w:rsid w:val="00325BCE"/>
    <w:rsid w:val="00325E17"/>
    <w:rsid w:val="00326FD0"/>
    <w:rsid w:val="003322DD"/>
    <w:rsid w:val="00332CF8"/>
    <w:rsid w:val="00333321"/>
    <w:rsid w:val="003339E3"/>
    <w:rsid w:val="00333BE8"/>
    <w:rsid w:val="00333CA8"/>
    <w:rsid w:val="0033413A"/>
    <w:rsid w:val="00334301"/>
    <w:rsid w:val="00335759"/>
    <w:rsid w:val="003377A4"/>
    <w:rsid w:val="003406C1"/>
    <w:rsid w:val="00340A68"/>
    <w:rsid w:val="00340C26"/>
    <w:rsid w:val="00341373"/>
    <w:rsid w:val="00341AB6"/>
    <w:rsid w:val="003430BD"/>
    <w:rsid w:val="003452E0"/>
    <w:rsid w:val="003453DE"/>
    <w:rsid w:val="00346839"/>
    <w:rsid w:val="00346CE7"/>
    <w:rsid w:val="003513D0"/>
    <w:rsid w:val="00351CDA"/>
    <w:rsid w:val="00353439"/>
    <w:rsid w:val="0035353D"/>
    <w:rsid w:val="0035394F"/>
    <w:rsid w:val="00353A6E"/>
    <w:rsid w:val="00354320"/>
    <w:rsid w:val="0035630E"/>
    <w:rsid w:val="003572E4"/>
    <w:rsid w:val="00357AC1"/>
    <w:rsid w:val="00360B44"/>
    <w:rsid w:val="00362019"/>
    <w:rsid w:val="0036381E"/>
    <w:rsid w:val="0036464B"/>
    <w:rsid w:val="003649EA"/>
    <w:rsid w:val="003653FF"/>
    <w:rsid w:val="00365ECB"/>
    <w:rsid w:val="003664F1"/>
    <w:rsid w:val="003670E4"/>
    <w:rsid w:val="00373FD7"/>
    <w:rsid w:val="00377A68"/>
    <w:rsid w:val="00380476"/>
    <w:rsid w:val="00381A9E"/>
    <w:rsid w:val="0038389B"/>
    <w:rsid w:val="00384D1E"/>
    <w:rsid w:val="00385CAD"/>
    <w:rsid w:val="00386081"/>
    <w:rsid w:val="00386C88"/>
    <w:rsid w:val="00387B37"/>
    <w:rsid w:val="0039132E"/>
    <w:rsid w:val="00391B02"/>
    <w:rsid w:val="00391C83"/>
    <w:rsid w:val="00393385"/>
    <w:rsid w:val="00393912"/>
    <w:rsid w:val="00394197"/>
    <w:rsid w:val="00394423"/>
    <w:rsid w:val="0039492C"/>
    <w:rsid w:val="00394A77"/>
    <w:rsid w:val="0039751B"/>
    <w:rsid w:val="003A23C3"/>
    <w:rsid w:val="003A3A3F"/>
    <w:rsid w:val="003A4DA5"/>
    <w:rsid w:val="003A719E"/>
    <w:rsid w:val="003B0BAF"/>
    <w:rsid w:val="003B0DF1"/>
    <w:rsid w:val="003B214A"/>
    <w:rsid w:val="003B2BCB"/>
    <w:rsid w:val="003B4257"/>
    <w:rsid w:val="003B4543"/>
    <w:rsid w:val="003B496F"/>
    <w:rsid w:val="003B4F57"/>
    <w:rsid w:val="003B5AA4"/>
    <w:rsid w:val="003B60EB"/>
    <w:rsid w:val="003B6591"/>
    <w:rsid w:val="003B784F"/>
    <w:rsid w:val="003C0909"/>
    <w:rsid w:val="003C0D6B"/>
    <w:rsid w:val="003C153C"/>
    <w:rsid w:val="003C1EB9"/>
    <w:rsid w:val="003C32A1"/>
    <w:rsid w:val="003C3886"/>
    <w:rsid w:val="003C4D69"/>
    <w:rsid w:val="003D394A"/>
    <w:rsid w:val="003D4C29"/>
    <w:rsid w:val="003D6280"/>
    <w:rsid w:val="003D6587"/>
    <w:rsid w:val="003E060B"/>
    <w:rsid w:val="003E0DB3"/>
    <w:rsid w:val="003E1F81"/>
    <w:rsid w:val="003E213C"/>
    <w:rsid w:val="003E43C8"/>
    <w:rsid w:val="003E4733"/>
    <w:rsid w:val="003E6E8C"/>
    <w:rsid w:val="003E7BB5"/>
    <w:rsid w:val="003F029F"/>
    <w:rsid w:val="003F22B3"/>
    <w:rsid w:val="003F4581"/>
    <w:rsid w:val="003F5EC1"/>
    <w:rsid w:val="00400938"/>
    <w:rsid w:val="00400D63"/>
    <w:rsid w:val="0040151C"/>
    <w:rsid w:val="004018CB"/>
    <w:rsid w:val="00402922"/>
    <w:rsid w:val="00402D6F"/>
    <w:rsid w:val="0040449F"/>
    <w:rsid w:val="00404DA8"/>
    <w:rsid w:val="004055C0"/>
    <w:rsid w:val="00407783"/>
    <w:rsid w:val="0041155C"/>
    <w:rsid w:val="004115F7"/>
    <w:rsid w:val="004116D2"/>
    <w:rsid w:val="00411F19"/>
    <w:rsid w:val="004125DE"/>
    <w:rsid w:val="00413B5E"/>
    <w:rsid w:val="00414C7E"/>
    <w:rsid w:val="00415980"/>
    <w:rsid w:val="004161C9"/>
    <w:rsid w:val="00417354"/>
    <w:rsid w:val="004204E5"/>
    <w:rsid w:val="00421068"/>
    <w:rsid w:val="00421105"/>
    <w:rsid w:val="0042218D"/>
    <w:rsid w:val="004243A2"/>
    <w:rsid w:val="00424C6B"/>
    <w:rsid w:val="004258D7"/>
    <w:rsid w:val="004273F1"/>
    <w:rsid w:val="004331B4"/>
    <w:rsid w:val="00433EDB"/>
    <w:rsid w:val="004340D5"/>
    <w:rsid w:val="004344EB"/>
    <w:rsid w:val="00434598"/>
    <w:rsid w:val="0043479B"/>
    <w:rsid w:val="004350FA"/>
    <w:rsid w:val="0043757C"/>
    <w:rsid w:val="0043780C"/>
    <w:rsid w:val="00440599"/>
    <w:rsid w:val="00441B14"/>
    <w:rsid w:val="00442BEF"/>
    <w:rsid w:val="0044563F"/>
    <w:rsid w:val="00445D94"/>
    <w:rsid w:val="004475C0"/>
    <w:rsid w:val="0044771A"/>
    <w:rsid w:val="004508FE"/>
    <w:rsid w:val="00451549"/>
    <w:rsid w:val="00452179"/>
    <w:rsid w:val="004530DD"/>
    <w:rsid w:val="004530E4"/>
    <w:rsid w:val="00453709"/>
    <w:rsid w:val="00453D93"/>
    <w:rsid w:val="00455623"/>
    <w:rsid w:val="00456632"/>
    <w:rsid w:val="004566E5"/>
    <w:rsid w:val="00457A51"/>
    <w:rsid w:val="00461713"/>
    <w:rsid w:val="0046173B"/>
    <w:rsid w:val="004631F7"/>
    <w:rsid w:val="0046498A"/>
    <w:rsid w:val="00464C54"/>
    <w:rsid w:val="0046507E"/>
    <w:rsid w:val="00465E33"/>
    <w:rsid w:val="0046631F"/>
    <w:rsid w:val="004664CB"/>
    <w:rsid w:val="00466D5F"/>
    <w:rsid w:val="00467F6E"/>
    <w:rsid w:val="004717CE"/>
    <w:rsid w:val="00473066"/>
    <w:rsid w:val="00473A34"/>
    <w:rsid w:val="00474BAB"/>
    <w:rsid w:val="00475674"/>
    <w:rsid w:val="0047597D"/>
    <w:rsid w:val="00476FC9"/>
    <w:rsid w:val="00476FD1"/>
    <w:rsid w:val="004773C9"/>
    <w:rsid w:val="00477A87"/>
    <w:rsid w:val="00480AE7"/>
    <w:rsid w:val="004811A8"/>
    <w:rsid w:val="004817FA"/>
    <w:rsid w:val="004835CF"/>
    <w:rsid w:val="00485D14"/>
    <w:rsid w:val="004873B6"/>
    <w:rsid w:val="00487E60"/>
    <w:rsid w:val="00490EB4"/>
    <w:rsid w:val="004926F3"/>
    <w:rsid w:val="004930FE"/>
    <w:rsid w:val="004933FE"/>
    <w:rsid w:val="0049494F"/>
    <w:rsid w:val="004960EA"/>
    <w:rsid w:val="004A0060"/>
    <w:rsid w:val="004A1538"/>
    <w:rsid w:val="004A2847"/>
    <w:rsid w:val="004A39AD"/>
    <w:rsid w:val="004A469F"/>
    <w:rsid w:val="004A5074"/>
    <w:rsid w:val="004A5369"/>
    <w:rsid w:val="004A63B9"/>
    <w:rsid w:val="004A68C3"/>
    <w:rsid w:val="004A6C97"/>
    <w:rsid w:val="004A7EC4"/>
    <w:rsid w:val="004B02D5"/>
    <w:rsid w:val="004B1D5A"/>
    <w:rsid w:val="004B1D6B"/>
    <w:rsid w:val="004B2FFF"/>
    <w:rsid w:val="004B374F"/>
    <w:rsid w:val="004B3808"/>
    <w:rsid w:val="004B3A3B"/>
    <w:rsid w:val="004B4A30"/>
    <w:rsid w:val="004B6375"/>
    <w:rsid w:val="004B654D"/>
    <w:rsid w:val="004C02E8"/>
    <w:rsid w:val="004C1040"/>
    <w:rsid w:val="004C165E"/>
    <w:rsid w:val="004C2CEE"/>
    <w:rsid w:val="004C3449"/>
    <w:rsid w:val="004C44A6"/>
    <w:rsid w:val="004C4C80"/>
    <w:rsid w:val="004C546E"/>
    <w:rsid w:val="004D0817"/>
    <w:rsid w:val="004D1754"/>
    <w:rsid w:val="004D273F"/>
    <w:rsid w:val="004D2BCA"/>
    <w:rsid w:val="004D3747"/>
    <w:rsid w:val="004D6279"/>
    <w:rsid w:val="004D62AC"/>
    <w:rsid w:val="004D74DC"/>
    <w:rsid w:val="004E008C"/>
    <w:rsid w:val="004E27A9"/>
    <w:rsid w:val="004E3A74"/>
    <w:rsid w:val="004E461D"/>
    <w:rsid w:val="004E591D"/>
    <w:rsid w:val="004E5CD1"/>
    <w:rsid w:val="004E69CB"/>
    <w:rsid w:val="004E72FD"/>
    <w:rsid w:val="004E75ED"/>
    <w:rsid w:val="004F1CAB"/>
    <w:rsid w:val="004F1CE2"/>
    <w:rsid w:val="004F2FDD"/>
    <w:rsid w:val="004F361B"/>
    <w:rsid w:val="004F3FD7"/>
    <w:rsid w:val="004F404D"/>
    <w:rsid w:val="004F60F9"/>
    <w:rsid w:val="004F7FD8"/>
    <w:rsid w:val="00500952"/>
    <w:rsid w:val="005025EB"/>
    <w:rsid w:val="005028B3"/>
    <w:rsid w:val="00504124"/>
    <w:rsid w:val="00504171"/>
    <w:rsid w:val="00506AF4"/>
    <w:rsid w:val="0051013D"/>
    <w:rsid w:val="00511176"/>
    <w:rsid w:val="00511306"/>
    <w:rsid w:val="00511FC1"/>
    <w:rsid w:val="005130C5"/>
    <w:rsid w:val="005135F3"/>
    <w:rsid w:val="00517C94"/>
    <w:rsid w:val="00520468"/>
    <w:rsid w:val="00522A97"/>
    <w:rsid w:val="0052436F"/>
    <w:rsid w:val="00525CFC"/>
    <w:rsid w:val="0053029A"/>
    <w:rsid w:val="0053237F"/>
    <w:rsid w:val="00532941"/>
    <w:rsid w:val="00534B47"/>
    <w:rsid w:val="00534D44"/>
    <w:rsid w:val="00537184"/>
    <w:rsid w:val="00537676"/>
    <w:rsid w:val="005376F7"/>
    <w:rsid w:val="005378E9"/>
    <w:rsid w:val="00541914"/>
    <w:rsid w:val="005426EF"/>
    <w:rsid w:val="00544156"/>
    <w:rsid w:val="005450E2"/>
    <w:rsid w:val="00545E85"/>
    <w:rsid w:val="00545E92"/>
    <w:rsid w:val="00545F08"/>
    <w:rsid w:val="005520EF"/>
    <w:rsid w:val="0055284D"/>
    <w:rsid w:val="00553A6D"/>
    <w:rsid w:val="00555D5B"/>
    <w:rsid w:val="00555DCE"/>
    <w:rsid w:val="005570F9"/>
    <w:rsid w:val="005573B5"/>
    <w:rsid w:val="005604F3"/>
    <w:rsid w:val="005612F0"/>
    <w:rsid w:val="0056225E"/>
    <w:rsid w:val="00562461"/>
    <w:rsid w:val="0056316D"/>
    <w:rsid w:val="0056369A"/>
    <w:rsid w:val="005639CE"/>
    <w:rsid w:val="00564D34"/>
    <w:rsid w:val="00564D58"/>
    <w:rsid w:val="005651D6"/>
    <w:rsid w:val="00565921"/>
    <w:rsid w:val="00565B41"/>
    <w:rsid w:val="00567BA7"/>
    <w:rsid w:val="00567E9C"/>
    <w:rsid w:val="005742B2"/>
    <w:rsid w:val="0057621B"/>
    <w:rsid w:val="00576746"/>
    <w:rsid w:val="00576EFD"/>
    <w:rsid w:val="005773A8"/>
    <w:rsid w:val="00577BB1"/>
    <w:rsid w:val="00577D56"/>
    <w:rsid w:val="00577DE0"/>
    <w:rsid w:val="00582277"/>
    <w:rsid w:val="005861BC"/>
    <w:rsid w:val="005866BD"/>
    <w:rsid w:val="005866ED"/>
    <w:rsid w:val="00586DA1"/>
    <w:rsid w:val="005872C8"/>
    <w:rsid w:val="005872FC"/>
    <w:rsid w:val="00590032"/>
    <w:rsid w:val="005902F2"/>
    <w:rsid w:val="005918BD"/>
    <w:rsid w:val="00592119"/>
    <w:rsid w:val="00592638"/>
    <w:rsid w:val="00592BE6"/>
    <w:rsid w:val="0059341A"/>
    <w:rsid w:val="00593EAA"/>
    <w:rsid w:val="0059499B"/>
    <w:rsid w:val="0059624C"/>
    <w:rsid w:val="005A0464"/>
    <w:rsid w:val="005A07C4"/>
    <w:rsid w:val="005A20BA"/>
    <w:rsid w:val="005A2E60"/>
    <w:rsid w:val="005A76F0"/>
    <w:rsid w:val="005B03DF"/>
    <w:rsid w:val="005B0742"/>
    <w:rsid w:val="005B1D45"/>
    <w:rsid w:val="005B2FA0"/>
    <w:rsid w:val="005B469F"/>
    <w:rsid w:val="005B5156"/>
    <w:rsid w:val="005B5C70"/>
    <w:rsid w:val="005B6397"/>
    <w:rsid w:val="005B67C9"/>
    <w:rsid w:val="005B6A1B"/>
    <w:rsid w:val="005B7C1A"/>
    <w:rsid w:val="005C0164"/>
    <w:rsid w:val="005C0A96"/>
    <w:rsid w:val="005C2851"/>
    <w:rsid w:val="005C3CBC"/>
    <w:rsid w:val="005C4D6B"/>
    <w:rsid w:val="005C6D9A"/>
    <w:rsid w:val="005C7411"/>
    <w:rsid w:val="005C7E19"/>
    <w:rsid w:val="005D1CB6"/>
    <w:rsid w:val="005D22AA"/>
    <w:rsid w:val="005D244E"/>
    <w:rsid w:val="005D5156"/>
    <w:rsid w:val="005D5B83"/>
    <w:rsid w:val="005D5D35"/>
    <w:rsid w:val="005E05E1"/>
    <w:rsid w:val="005E3C3F"/>
    <w:rsid w:val="005E4F95"/>
    <w:rsid w:val="005F06A5"/>
    <w:rsid w:val="005F0F34"/>
    <w:rsid w:val="005F1013"/>
    <w:rsid w:val="005F321E"/>
    <w:rsid w:val="005F4447"/>
    <w:rsid w:val="005F50AC"/>
    <w:rsid w:val="005F75C8"/>
    <w:rsid w:val="00601585"/>
    <w:rsid w:val="00601BA9"/>
    <w:rsid w:val="00602D21"/>
    <w:rsid w:val="00603617"/>
    <w:rsid w:val="00604288"/>
    <w:rsid w:val="00604A42"/>
    <w:rsid w:val="00605E6F"/>
    <w:rsid w:val="00606037"/>
    <w:rsid w:val="00610C00"/>
    <w:rsid w:val="006112BC"/>
    <w:rsid w:val="00611D70"/>
    <w:rsid w:val="00611ED8"/>
    <w:rsid w:val="00612029"/>
    <w:rsid w:val="0061227B"/>
    <w:rsid w:val="006124E6"/>
    <w:rsid w:val="00614B7D"/>
    <w:rsid w:val="00614D92"/>
    <w:rsid w:val="00615328"/>
    <w:rsid w:val="0061632E"/>
    <w:rsid w:val="00617238"/>
    <w:rsid w:val="006177C5"/>
    <w:rsid w:val="006209EE"/>
    <w:rsid w:val="00620AA6"/>
    <w:rsid w:val="00621BB6"/>
    <w:rsid w:val="00623236"/>
    <w:rsid w:val="00624902"/>
    <w:rsid w:val="00625BF6"/>
    <w:rsid w:val="0062759F"/>
    <w:rsid w:val="006277F6"/>
    <w:rsid w:val="006309C4"/>
    <w:rsid w:val="006324AC"/>
    <w:rsid w:val="00632D82"/>
    <w:rsid w:val="00634E87"/>
    <w:rsid w:val="00635195"/>
    <w:rsid w:val="0063646E"/>
    <w:rsid w:val="006370F9"/>
    <w:rsid w:val="006412F8"/>
    <w:rsid w:val="00641AF0"/>
    <w:rsid w:val="00641FFF"/>
    <w:rsid w:val="00643A32"/>
    <w:rsid w:val="006441C9"/>
    <w:rsid w:val="006445F8"/>
    <w:rsid w:val="00644978"/>
    <w:rsid w:val="0064630A"/>
    <w:rsid w:val="00650609"/>
    <w:rsid w:val="00652128"/>
    <w:rsid w:val="00652AC7"/>
    <w:rsid w:val="00653DB5"/>
    <w:rsid w:val="00654669"/>
    <w:rsid w:val="006559F1"/>
    <w:rsid w:val="00656CF3"/>
    <w:rsid w:val="006630ED"/>
    <w:rsid w:val="006632B6"/>
    <w:rsid w:val="006633AD"/>
    <w:rsid w:val="00665B8F"/>
    <w:rsid w:val="006704B7"/>
    <w:rsid w:val="00673416"/>
    <w:rsid w:val="0067689E"/>
    <w:rsid w:val="0067703F"/>
    <w:rsid w:val="00677A01"/>
    <w:rsid w:val="00681718"/>
    <w:rsid w:val="006825A7"/>
    <w:rsid w:val="00684488"/>
    <w:rsid w:val="00690402"/>
    <w:rsid w:val="00691371"/>
    <w:rsid w:val="0069176C"/>
    <w:rsid w:val="006934E5"/>
    <w:rsid w:val="006939C1"/>
    <w:rsid w:val="00694B9C"/>
    <w:rsid w:val="006959B5"/>
    <w:rsid w:val="0069659E"/>
    <w:rsid w:val="00696DE7"/>
    <w:rsid w:val="006970AF"/>
    <w:rsid w:val="00697F11"/>
    <w:rsid w:val="006A5B04"/>
    <w:rsid w:val="006A63D8"/>
    <w:rsid w:val="006A677D"/>
    <w:rsid w:val="006A7793"/>
    <w:rsid w:val="006B04D0"/>
    <w:rsid w:val="006B25B3"/>
    <w:rsid w:val="006B277C"/>
    <w:rsid w:val="006B2CBD"/>
    <w:rsid w:val="006B3776"/>
    <w:rsid w:val="006B4F92"/>
    <w:rsid w:val="006B55AC"/>
    <w:rsid w:val="006B7721"/>
    <w:rsid w:val="006C06A0"/>
    <w:rsid w:val="006C147D"/>
    <w:rsid w:val="006C26C3"/>
    <w:rsid w:val="006C3DA1"/>
    <w:rsid w:val="006C41B5"/>
    <w:rsid w:val="006C50E6"/>
    <w:rsid w:val="006C70DC"/>
    <w:rsid w:val="006C7A80"/>
    <w:rsid w:val="006D0249"/>
    <w:rsid w:val="006D11D8"/>
    <w:rsid w:val="006D1A4D"/>
    <w:rsid w:val="006D29DE"/>
    <w:rsid w:val="006D3FE2"/>
    <w:rsid w:val="006D5AA9"/>
    <w:rsid w:val="006D62B8"/>
    <w:rsid w:val="006D68AA"/>
    <w:rsid w:val="006D6F45"/>
    <w:rsid w:val="006E0C5E"/>
    <w:rsid w:val="006E0E6B"/>
    <w:rsid w:val="006E202B"/>
    <w:rsid w:val="006E34E7"/>
    <w:rsid w:val="006E3DFC"/>
    <w:rsid w:val="006E4523"/>
    <w:rsid w:val="006E585E"/>
    <w:rsid w:val="006E58C4"/>
    <w:rsid w:val="006E5AD1"/>
    <w:rsid w:val="006E6ADB"/>
    <w:rsid w:val="006E6D0B"/>
    <w:rsid w:val="006E6E0D"/>
    <w:rsid w:val="006E70EA"/>
    <w:rsid w:val="006E7432"/>
    <w:rsid w:val="006E7853"/>
    <w:rsid w:val="006F07EC"/>
    <w:rsid w:val="006F12E4"/>
    <w:rsid w:val="006F1D0B"/>
    <w:rsid w:val="006F21C2"/>
    <w:rsid w:val="006F25A2"/>
    <w:rsid w:val="006F348A"/>
    <w:rsid w:val="006F382C"/>
    <w:rsid w:val="006F3E63"/>
    <w:rsid w:val="006F4CA6"/>
    <w:rsid w:val="006F59ED"/>
    <w:rsid w:val="006F6073"/>
    <w:rsid w:val="006F78C7"/>
    <w:rsid w:val="00702978"/>
    <w:rsid w:val="00704498"/>
    <w:rsid w:val="00704ACF"/>
    <w:rsid w:val="00706154"/>
    <w:rsid w:val="00706545"/>
    <w:rsid w:val="00706BDB"/>
    <w:rsid w:val="00706C63"/>
    <w:rsid w:val="00707714"/>
    <w:rsid w:val="00707E3F"/>
    <w:rsid w:val="0071242A"/>
    <w:rsid w:val="00712E39"/>
    <w:rsid w:val="0071370F"/>
    <w:rsid w:val="0071406C"/>
    <w:rsid w:val="00714DCB"/>
    <w:rsid w:val="007155A4"/>
    <w:rsid w:val="00715F58"/>
    <w:rsid w:val="00716D2A"/>
    <w:rsid w:val="00717EE0"/>
    <w:rsid w:val="0072070F"/>
    <w:rsid w:val="0072097F"/>
    <w:rsid w:val="0072142C"/>
    <w:rsid w:val="00722AD9"/>
    <w:rsid w:val="007232A6"/>
    <w:rsid w:val="00724B83"/>
    <w:rsid w:val="0072545A"/>
    <w:rsid w:val="00725C10"/>
    <w:rsid w:val="00725C59"/>
    <w:rsid w:val="00726222"/>
    <w:rsid w:val="0073048E"/>
    <w:rsid w:val="007342D2"/>
    <w:rsid w:val="0073479E"/>
    <w:rsid w:val="00734951"/>
    <w:rsid w:val="00734FDB"/>
    <w:rsid w:val="00735626"/>
    <w:rsid w:val="00737C06"/>
    <w:rsid w:val="00744393"/>
    <w:rsid w:val="00744AE6"/>
    <w:rsid w:val="007452E2"/>
    <w:rsid w:val="007462A2"/>
    <w:rsid w:val="007471B0"/>
    <w:rsid w:val="00753DAA"/>
    <w:rsid w:val="00754259"/>
    <w:rsid w:val="00754E6C"/>
    <w:rsid w:val="0075546D"/>
    <w:rsid w:val="00757D69"/>
    <w:rsid w:val="00760FE6"/>
    <w:rsid w:val="007613B9"/>
    <w:rsid w:val="007613D4"/>
    <w:rsid w:val="00761F77"/>
    <w:rsid w:val="00763760"/>
    <w:rsid w:val="00765400"/>
    <w:rsid w:val="007657EB"/>
    <w:rsid w:val="00765D19"/>
    <w:rsid w:val="00766A54"/>
    <w:rsid w:val="00766E22"/>
    <w:rsid w:val="007671B3"/>
    <w:rsid w:val="0076751F"/>
    <w:rsid w:val="00767823"/>
    <w:rsid w:val="0077066D"/>
    <w:rsid w:val="00770A91"/>
    <w:rsid w:val="00771AD0"/>
    <w:rsid w:val="00772531"/>
    <w:rsid w:val="00773692"/>
    <w:rsid w:val="00775081"/>
    <w:rsid w:val="007751D3"/>
    <w:rsid w:val="00777BFD"/>
    <w:rsid w:val="007802A8"/>
    <w:rsid w:val="00780D25"/>
    <w:rsid w:val="0078122B"/>
    <w:rsid w:val="007814E0"/>
    <w:rsid w:val="00783586"/>
    <w:rsid w:val="00784546"/>
    <w:rsid w:val="007846F4"/>
    <w:rsid w:val="0078487A"/>
    <w:rsid w:val="007852FE"/>
    <w:rsid w:val="00786AD0"/>
    <w:rsid w:val="00791168"/>
    <w:rsid w:val="007911C9"/>
    <w:rsid w:val="0079171F"/>
    <w:rsid w:val="00791CA8"/>
    <w:rsid w:val="0079291D"/>
    <w:rsid w:val="00792E89"/>
    <w:rsid w:val="00793E0B"/>
    <w:rsid w:val="00794755"/>
    <w:rsid w:val="00795E96"/>
    <w:rsid w:val="00797805"/>
    <w:rsid w:val="00797F02"/>
    <w:rsid w:val="007A2B05"/>
    <w:rsid w:val="007A2B2A"/>
    <w:rsid w:val="007A3713"/>
    <w:rsid w:val="007A3C23"/>
    <w:rsid w:val="007A61E2"/>
    <w:rsid w:val="007A6467"/>
    <w:rsid w:val="007A652A"/>
    <w:rsid w:val="007B06B2"/>
    <w:rsid w:val="007B2B86"/>
    <w:rsid w:val="007B2F5A"/>
    <w:rsid w:val="007B3AFF"/>
    <w:rsid w:val="007B3CD8"/>
    <w:rsid w:val="007B5183"/>
    <w:rsid w:val="007B551D"/>
    <w:rsid w:val="007B651A"/>
    <w:rsid w:val="007B6AC2"/>
    <w:rsid w:val="007B7697"/>
    <w:rsid w:val="007B7B7F"/>
    <w:rsid w:val="007C13B4"/>
    <w:rsid w:val="007C221D"/>
    <w:rsid w:val="007C4524"/>
    <w:rsid w:val="007C4D69"/>
    <w:rsid w:val="007C65D3"/>
    <w:rsid w:val="007C7B72"/>
    <w:rsid w:val="007E0218"/>
    <w:rsid w:val="007E021F"/>
    <w:rsid w:val="007E031A"/>
    <w:rsid w:val="007E13E7"/>
    <w:rsid w:val="007E30DC"/>
    <w:rsid w:val="007E7367"/>
    <w:rsid w:val="007F05EF"/>
    <w:rsid w:val="007F0FAC"/>
    <w:rsid w:val="007F1359"/>
    <w:rsid w:val="007F2345"/>
    <w:rsid w:val="007F2E1E"/>
    <w:rsid w:val="007F3A36"/>
    <w:rsid w:val="007F5135"/>
    <w:rsid w:val="007F54F2"/>
    <w:rsid w:val="007F5797"/>
    <w:rsid w:val="007F5916"/>
    <w:rsid w:val="007F604F"/>
    <w:rsid w:val="007F6689"/>
    <w:rsid w:val="007F765A"/>
    <w:rsid w:val="00800663"/>
    <w:rsid w:val="00800B92"/>
    <w:rsid w:val="008016FA"/>
    <w:rsid w:val="00801D40"/>
    <w:rsid w:val="00802C27"/>
    <w:rsid w:val="008038BB"/>
    <w:rsid w:val="00803D84"/>
    <w:rsid w:val="008064F7"/>
    <w:rsid w:val="00807D3D"/>
    <w:rsid w:val="00807D8E"/>
    <w:rsid w:val="0081393F"/>
    <w:rsid w:val="00813F4B"/>
    <w:rsid w:val="008163B7"/>
    <w:rsid w:val="008166AA"/>
    <w:rsid w:val="00816829"/>
    <w:rsid w:val="0081699D"/>
    <w:rsid w:val="008174C7"/>
    <w:rsid w:val="00817BAA"/>
    <w:rsid w:val="00820615"/>
    <w:rsid w:val="0082136F"/>
    <w:rsid w:val="00821A52"/>
    <w:rsid w:val="00821C43"/>
    <w:rsid w:val="00821CA7"/>
    <w:rsid w:val="0082372D"/>
    <w:rsid w:val="00833C6C"/>
    <w:rsid w:val="00835BC8"/>
    <w:rsid w:val="00835BFF"/>
    <w:rsid w:val="008369F4"/>
    <w:rsid w:val="00837653"/>
    <w:rsid w:val="00841B48"/>
    <w:rsid w:val="00843126"/>
    <w:rsid w:val="00843A73"/>
    <w:rsid w:val="0084585A"/>
    <w:rsid w:val="00845970"/>
    <w:rsid w:val="008510DB"/>
    <w:rsid w:val="008513E0"/>
    <w:rsid w:val="00852228"/>
    <w:rsid w:val="008525A3"/>
    <w:rsid w:val="008559F5"/>
    <w:rsid w:val="00856C5D"/>
    <w:rsid w:val="0086062E"/>
    <w:rsid w:val="00860CFB"/>
    <w:rsid w:val="0086410F"/>
    <w:rsid w:val="00864A9D"/>
    <w:rsid w:val="00866226"/>
    <w:rsid w:val="008662AD"/>
    <w:rsid w:val="008669E9"/>
    <w:rsid w:val="00867712"/>
    <w:rsid w:val="008711C1"/>
    <w:rsid w:val="008748D0"/>
    <w:rsid w:val="00874C25"/>
    <w:rsid w:val="00874C67"/>
    <w:rsid w:val="00877AE9"/>
    <w:rsid w:val="00880190"/>
    <w:rsid w:val="008807C6"/>
    <w:rsid w:val="00881129"/>
    <w:rsid w:val="00881856"/>
    <w:rsid w:val="00882810"/>
    <w:rsid w:val="008829B0"/>
    <w:rsid w:val="00882C94"/>
    <w:rsid w:val="00885D24"/>
    <w:rsid w:val="008860F2"/>
    <w:rsid w:val="008906DB"/>
    <w:rsid w:val="00890BDE"/>
    <w:rsid w:val="008912A2"/>
    <w:rsid w:val="0089237F"/>
    <w:rsid w:val="00892EB3"/>
    <w:rsid w:val="0089325A"/>
    <w:rsid w:val="008939CE"/>
    <w:rsid w:val="00896DC2"/>
    <w:rsid w:val="00897C35"/>
    <w:rsid w:val="008A287F"/>
    <w:rsid w:val="008A2A47"/>
    <w:rsid w:val="008A36F4"/>
    <w:rsid w:val="008A3E97"/>
    <w:rsid w:val="008A48DB"/>
    <w:rsid w:val="008A5089"/>
    <w:rsid w:val="008A6465"/>
    <w:rsid w:val="008A6C6B"/>
    <w:rsid w:val="008A6E03"/>
    <w:rsid w:val="008B3934"/>
    <w:rsid w:val="008B4941"/>
    <w:rsid w:val="008B54BC"/>
    <w:rsid w:val="008B60BA"/>
    <w:rsid w:val="008B7DDD"/>
    <w:rsid w:val="008C025D"/>
    <w:rsid w:val="008C1D2F"/>
    <w:rsid w:val="008C4931"/>
    <w:rsid w:val="008C4B74"/>
    <w:rsid w:val="008C5A61"/>
    <w:rsid w:val="008C706E"/>
    <w:rsid w:val="008C7C85"/>
    <w:rsid w:val="008D1344"/>
    <w:rsid w:val="008D16D9"/>
    <w:rsid w:val="008D2E91"/>
    <w:rsid w:val="008D4C2D"/>
    <w:rsid w:val="008D58FB"/>
    <w:rsid w:val="008D5D97"/>
    <w:rsid w:val="008D62D2"/>
    <w:rsid w:val="008D6B6B"/>
    <w:rsid w:val="008D6D4F"/>
    <w:rsid w:val="008D7A20"/>
    <w:rsid w:val="008D7ED7"/>
    <w:rsid w:val="008E2E93"/>
    <w:rsid w:val="008E41EF"/>
    <w:rsid w:val="008E4728"/>
    <w:rsid w:val="008E637A"/>
    <w:rsid w:val="008E764E"/>
    <w:rsid w:val="008F16FF"/>
    <w:rsid w:val="008F465B"/>
    <w:rsid w:val="008F4745"/>
    <w:rsid w:val="008F5EFD"/>
    <w:rsid w:val="008F7C0F"/>
    <w:rsid w:val="008F7D99"/>
    <w:rsid w:val="008F7DA5"/>
    <w:rsid w:val="00903420"/>
    <w:rsid w:val="00904B6C"/>
    <w:rsid w:val="00906223"/>
    <w:rsid w:val="009069BE"/>
    <w:rsid w:val="00907632"/>
    <w:rsid w:val="009100EF"/>
    <w:rsid w:val="00910AF9"/>
    <w:rsid w:val="00910BC9"/>
    <w:rsid w:val="00911EE8"/>
    <w:rsid w:val="009134D8"/>
    <w:rsid w:val="00913589"/>
    <w:rsid w:val="00913C15"/>
    <w:rsid w:val="0091462A"/>
    <w:rsid w:val="009156EA"/>
    <w:rsid w:val="00916EB7"/>
    <w:rsid w:val="009207F1"/>
    <w:rsid w:val="0092194B"/>
    <w:rsid w:val="00922A69"/>
    <w:rsid w:val="0092345D"/>
    <w:rsid w:val="0092526A"/>
    <w:rsid w:val="009255C7"/>
    <w:rsid w:val="009257FE"/>
    <w:rsid w:val="00925FBE"/>
    <w:rsid w:val="0092675D"/>
    <w:rsid w:val="009277C7"/>
    <w:rsid w:val="00931835"/>
    <w:rsid w:val="0093208D"/>
    <w:rsid w:val="00932BD5"/>
    <w:rsid w:val="00933A9A"/>
    <w:rsid w:val="00933E82"/>
    <w:rsid w:val="00934D53"/>
    <w:rsid w:val="00935167"/>
    <w:rsid w:val="00936733"/>
    <w:rsid w:val="00937AF1"/>
    <w:rsid w:val="009428BE"/>
    <w:rsid w:val="00943F5B"/>
    <w:rsid w:val="009455A0"/>
    <w:rsid w:val="00945B9D"/>
    <w:rsid w:val="009465AD"/>
    <w:rsid w:val="00946B38"/>
    <w:rsid w:val="009509FF"/>
    <w:rsid w:val="00950C48"/>
    <w:rsid w:val="009541C4"/>
    <w:rsid w:val="009544FB"/>
    <w:rsid w:val="00954635"/>
    <w:rsid w:val="009546CB"/>
    <w:rsid w:val="00954871"/>
    <w:rsid w:val="009558FF"/>
    <w:rsid w:val="00956D29"/>
    <w:rsid w:val="009570B0"/>
    <w:rsid w:val="009604D5"/>
    <w:rsid w:val="00960AF2"/>
    <w:rsid w:val="00962945"/>
    <w:rsid w:val="009629F0"/>
    <w:rsid w:val="00963B19"/>
    <w:rsid w:val="00964975"/>
    <w:rsid w:val="00964BD6"/>
    <w:rsid w:val="00964E6A"/>
    <w:rsid w:val="00966EC2"/>
    <w:rsid w:val="00967C68"/>
    <w:rsid w:val="00970F73"/>
    <w:rsid w:val="00971022"/>
    <w:rsid w:val="009715E6"/>
    <w:rsid w:val="00971DDB"/>
    <w:rsid w:val="009725F7"/>
    <w:rsid w:val="00972F65"/>
    <w:rsid w:val="00973308"/>
    <w:rsid w:val="00973BB6"/>
    <w:rsid w:val="00975D69"/>
    <w:rsid w:val="0098017B"/>
    <w:rsid w:val="0098603C"/>
    <w:rsid w:val="009861E6"/>
    <w:rsid w:val="00986A66"/>
    <w:rsid w:val="00987583"/>
    <w:rsid w:val="009924E9"/>
    <w:rsid w:val="00992A76"/>
    <w:rsid w:val="00992E34"/>
    <w:rsid w:val="00996091"/>
    <w:rsid w:val="00996AD4"/>
    <w:rsid w:val="009978A5"/>
    <w:rsid w:val="00997E15"/>
    <w:rsid w:val="009A1890"/>
    <w:rsid w:val="009A1BE3"/>
    <w:rsid w:val="009A475F"/>
    <w:rsid w:val="009A75F1"/>
    <w:rsid w:val="009B11D1"/>
    <w:rsid w:val="009B1ED1"/>
    <w:rsid w:val="009B1F4E"/>
    <w:rsid w:val="009B275D"/>
    <w:rsid w:val="009B2F32"/>
    <w:rsid w:val="009B399D"/>
    <w:rsid w:val="009B42AA"/>
    <w:rsid w:val="009B509E"/>
    <w:rsid w:val="009B52E7"/>
    <w:rsid w:val="009B5317"/>
    <w:rsid w:val="009B600D"/>
    <w:rsid w:val="009B60EF"/>
    <w:rsid w:val="009B65AE"/>
    <w:rsid w:val="009B6A35"/>
    <w:rsid w:val="009C118F"/>
    <w:rsid w:val="009C267E"/>
    <w:rsid w:val="009C3641"/>
    <w:rsid w:val="009C3DB9"/>
    <w:rsid w:val="009C4D03"/>
    <w:rsid w:val="009C5488"/>
    <w:rsid w:val="009C5745"/>
    <w:rsid w:val="009C58E0"/>
    <w:rsid w:val="009C75C8"/>
    <w:rsid w:val="009D16DD"/>
    <w:rsid w:val="009D1BEF"/>
    <w:rsid w:val="009D20AE"/>
    <w:rsid w:val="009D46B7"/>
    <w:rsid w:val="009D529E"/>
    <w:rsid w:val="009D5647"/>
    <w:rsid w:val="009D5B4B"/>
    <w:rsid w:val="009D615B"/>
    <w:rsid w:val="009D7307"/>
    <w:rsid w:val="009D7D47"/>
    <w:rsid w:val="009E02EB"/>
    <w:rsid w:val="009E25B4"/>
    <w:rsid w:val="009E450A"/>
    <w:rsid w:val="009E504C"/>
    <w:rsid w:val="009E5196"/>
    <w:rsid w:val="009F197F"/>
    <w:rsid w:val="009F3128"/>
    <w:rsid w:val="009F377D"/>
    <w:rsid w:val="009F5FAD"/>
    <w:rsid w:val="009F6B5E"/>
    <w:rsid w:val="00A0061C"/>
    <w:rsid w:val="00A01E9E"/>
    <w:rsid w:val="00A0361C"/>
    <w:rsid w:val="00A04968"/>
    <w:rsid w:val="00A076F3"/>
    <w:rsid w:val="00A10491"/>
    <w:rsid w:val="00A10552"/>
    <w:rsid w:val="00A11860"/>
    <w:rsid w:val="00A137B9"/>
    <w:rsid w:val="00A13ED9"/>
    <w:rsid w:val="00A13FEF"/>
    <w:rsid w:val="00A14627"/>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089D"/>
    <w:rsid w:val="00A319F6"/>
    <w:rsid w:val="00A35211"/>
    <w:rsid w:val="00A35647"/>
    <w:rsid w:val="00A407FD"/>
    <w:rsid w:val="00A41359"/>
    <w:rsid w:val="00A43C02"/>
    <w:rsid w:val="00A4520B"/>
    <w:rsid w:val="00A4651F"/>
    <w:rsid w:val="00A46F07"/>
    <w:rsid w:val="00A509B8"/>
    <w:rsid w:val="00A52393"/>
    <w:rsid w:val="00A52486"/>
    <w:rsid w:val="00A53CD7"/>
    <w:rsid w:val="00A54142"/>
    <w:rsid w:val="00A54D53"/>
    <w:rsid w:val="00A55A47"/>
    <w:rsid w:val="00A55BF6"/>
    <w:rsid w:val="00A56493"/>
    <w:rsid w:val="00A57D16"/>
    <w:rsid w:val="00A6000F"/>
    <w:rsid w:val="00A6017C"/>
    <w:rsid w:val="00A6117A"/>
    <w:rsid w:val="00A62D0E"/>
    <w:rsid w:val="00A65808"/>
    <w:rsid w:val="00A6623F"/>
    <w:rsid w:val="00A718C6"/>
    <w:rsid w:val="00A71C40"/>
    <w:rsid w:val="00A72C90"/>
    <w:rsid w:val="00A73337"/>
    <w:rsid w:val="00A740DA"/>
    <w:rsid w:val="00A7502F"/>
    <w:rsid w:val="00A75D38"/>
    <w:rsid w:val="00A76EC0"/>
    <w:rsid w:val="00A76F66"/>
    <w:rsid w:val="00A77996"/>
    <w:rsid w:val="00A80B45"/>
    <w:rsid w:val="00A811DF"/>
    <w:rsid w:val="00A817BA"/>
    <w:rsid w:val="00A8195E"/>
    <w:rsid w:val="00A821FD"/>
    <w:rsid w:val="00A833D2"/>
    <w:rsid w:val="00A83448"/>
    <w:rsid w:val="00A8345C"/>
    <w:rsid w:val="00A84441"/>
    <w:rsid w:val="00A869F6"/>
    <w:rsid w:val="00A87A63"/>
    <w:rsid w:val="00A87EFB"/>
    <w:rsid w:val="00A9014D"/>
    <w:rsid w:val="00A90313"/>
    <w:rsid w:val="00A90A4A"/>
    <w:rsid w:val="00A91EED"/>
    <w:rsid w:val="00A922ED"/>
    <w:rsid w:val="00A92BD2"/>
    <w:rsid w:val="00A95645"/>
    <w:rsid w:val="00A958FE"/>
    <w:rsid w:val="00A95B9E"/>
    <w:rsid w:val="00A978A1"/>
    <w:rsid w:val="00AA0329"/>
    <w:rsid w:val="00AA1780"/>
    <w:rsid w:val="00AA1CCE"/>
    <w:rsid w:val="00AA22F0"/>
    <w:rsid w:val="00AA2BC9"/>
    <w:rsid w:val="00AA2F95"/>
    <w:rsid w:val="00AA30BB"/>
    <w:rsid w:val="00AA3B09"/>
    <w:rsid w:val="00AA4B2F"/>
    <w:rsid w:val="00AA56CE"/>
    <w:rsid w:val="00AA5EC2"/>
    <w:rsid w:val="00AB2E9E"/>
    <w:rsid w:val="00AB2EF0"/>
    <w:rsid w:val="00AB2FE3"/>
    <w:rsid w:val="00AB3E0F"/>
    <w:rsid w:val="00AB4FD9"/>
    <w:rsid w:val="00AB66EA"/>
    <w:rsid w:val="00AB7395"/>
    <w:rsid w:val="00AC1F08"/>
    <w:rsid w:val="00AC24A5"/>
    <w:rsid w:val="00AC3981"/>
    <w:rsid w:val="00AC49BC"/>
    <w:rsid w:val="00AC55DD"/>
    <w:rsid w:val="00AC5BF7"/>
    <w:rsid w:val="00AC6A7C"/>
    <w:rsid w:val="00AC73A1"/>
    <w:rsid w:val="00AC746F"/>
    <w:rsid w:val="00AD1414"/>
    <w:rsid w:val="00AD18BF"/>
    <w:rsid w:val="00AD28C9"/>
    <w:rsid w:val="00AD2DD2"/>
    <w:rsid w:val="00AD31CC"/>
    <w:rsid w:val="00AD701D"/>
    <w:rsid w:val="00AD7FF9"/>
    <w:rsid w:val="00AE1964"/>
    <w:rsid w:val="00AE2237"/>
    <w:rsid w:val="00AE341C"/>
    <w:rsid w:val="00AE56C4"/>
    <w:rsid w:val="00AE6A16"/>
    <w:rsid w:val="00AF2FDD"/>
    <w:rsid w:val="00AF44BC"/>
    <w:rsid w:val="00AF4AD6"/>
    <w:rsid w:val="00AF552B"/>
    <w:rsid w:val="00AF5E8C"/>
    <w:rsid w:val="00AF623D"/>
    <w:rsid w:val="00AF7681"/>
    <w:rsid w:val="00AF7AC2"/>
    <w:rsid w:val="00B025C4"/>
    <w:rsid w:val="00B06547"/>
    <w:rsid w:val="00B0669F"/>
    <w:rsid w:val="00B11556"/>
    <w:rsid w:val="00B128A3"/>
    <w:rsid w:val="00B133D1"/>
    <w:rsid w:val="00B1603E"/>
    <w:rsid w:val="00B16FD1"/>
    <w:rsid w:val="00B204AC"/>
    <w:rsid w:val="00B214C5"/>
    <w:rsid w:val="00B21AE5"/>
    <w:rsid w:val="00B221E7"/>
    <w:rsid w:val="00B22C84"/>
    <w:rsid w:val="00B233D4"/>
    <w:rsid w:val="00B23634"/>
    <w:rsid w:val="00B24486"/>
    <w:rsid w:val="00B244F9"/>
    <w:rsid w:val="00B24D59"/>
    <w:rsid w:val="00B25270"/>
    <w:rsid w:val="00B26C55"/>
    <w:rsid w:val="00B26F9B"/>
    <w:rsid w:val="00B2712F"/>
    <w:rsid w:val="00B27741"/>
    <w:rsid w:val="00B27B5D"/>
    <w:rsid w:val="00B27E5A"/>
    <w:rsid w:val="00B304B4"/>
    <w:rsid w:val="00B305D2"/>
    <w:rsid w:val="00B31D5F"/>
    <w:rsid w:val="00B32EFF"/>
    <w:rsid w:val="00B3345C"/>
    <w:rsid w:val="00B34047"/>
    <w:rsid w:val="00B34BC1"/>
    <w:rsid w:val="00B34D22"/>
    <w:rsid w:val="00B3504F"/>
    <w:rsid w:val="00B35118"/>
    <w:rsid w:val="00B35C46"/>
    <w:rsid w:val="00B368B6"/>
    <w:rsid w:val="00B41144"/>
    <w:rsid w:val="00B41306"/>
    <w:rsid w:val="00B42ED5"/>
    <w:rsid w:val="00B438E6"/>
    <w:rsid w:val="00B45F2D"/>
    <w:rsid w:val="00B46096"/>
    <w:rsid w:val="00B461EC"/>
    <w:rsid w:val="00B465AF"/>
    <w:rsid w:val="00B46AD5"/>
    <w:rsid w:val="00B478EE"/>
    <w:rsid w:val="00B51B1A"/>
    <w:rsid w:val="00B539D8"/>
    <w:rsid w:val="00B53CC1"/>
    <w:rsid w:val="00B54F5A"/>
    <w:rsid w:val="00B55DB1"/>
    <w:rsid w:val="00B56226"/>
    <w:rsid w:val="00B56D4E"/>
    <w:rsid w:val="00B57279"/>
    <w:rsid w:val="00B576CF"/>
    <w:rsid w:val="00B60E7C"/>
    <w:rsid w:val="00B62D3F"/>
    <w:rsid w:val="00B6403F"/>
    <w:rsid w:val="00B6502E"/>
    <w:rsid w:val="00B650EB"/>
    <w:rsid w:val="00B66775"/>
    <w:rsid w:val="00B66895"/>
    <w:rsid w:val="00B66B49"/>
    <w:rsid w:val="00B6704E"/>
    <w:rsid w:val="00B6759A"/>
    <w:rsid w:val="00B67B01"/>
    <w:rsid w:val="00B67C7C"/>
    <w:rsid w:val="00B70782"/>
    <w:rsid w:val="00B7166D"/>
    <w:rsid w:val="00B802D5"/>
    <w:rsid w:val="00B84440"/>
    <w:rsid w:val="00B85AF6"/>
    <w:rsid w:val="00B85B28"/>
    <w:rsid w:val="00B861F5"/>
    <w:rsid w:val="00B86970"/>
    <w:rsid w:val="00B86D7A"/>
    <w:rsid w:val="00B86FF0"/>
    <w:rsid w:val="00B9130F"/>
    <w:rsid w:val="00B91368"/>
    <w:rsid w:val="00B91584"/>
    <w:rsid w:val="00B9292A"/>
    <w:rsid w:val="00B932BE"/>
    <w:rsid w:val="00B940C7"/>
    <w:rsid w:val="00B951CD"/>
    <w:rsid w:val="00B9615E"/>
    <w:rsid w:val="00B96681"/>
    <w:rsid w:val="00B96C91"/>
    <w:rsid w:val="00BA01B0"/>
    <w:rsid w:val="00BA38EF"/>
    <w:rsid w:val="00BA3E10"/>
    <w:rsid w:val="00BA5550"/>
    <w:rsid w:val="00BA72D3"/>
    <w:rsid w:val="00BA766C"/>
    <w:rsid w:val="00BA7E41"/>
    <w:rsid w:val="00BB06A1"/>
    <w:rsid w:val="00BB30BA"/>
    <w:rsid w:val="00BB36A2"/>
    <w:rsid w:val="00BB4232"/>
    <w:rsid w:val="00BB4B3A"/>
    <w:rsid w:val="00BB4FF2"/>
    <w:rsid w:val="00BB5047"/>
    <w:rsid w:val="00BB54F9"/>
    <w:rsid w:val="00BB5F35"/>
    <w:rsid w:val="00BB6109"/>
    <w:rsid w:val="00BB6B7A"/>
    <w:rsid w:val="00BB6E7F"/>
    <w:rsid w:val="00BB739D"/>
    <w:rsid w:val="00BB7524"/>
    <w:rsid w:val="00BC06EB"/>
    <w:rsid w:val="00BC109F"/>
    <w:rsid w:val="00BC242F"/>
    <w:rsid w:val="00BC35EF"/>
    <w:rsid w:val="00BC4DF1"/>
    <w:rsid w:val="00BC5573"/>
    <w:rsid w:val="00BC655C"/>
    <w:rsid w:val="00BD02E6"/>
    <w:rsid w:val="00BD1383"/>
    <w:rsid w:val="00BD3722"/>
    <w:rsid w:val="00BD3778"/>
    <w:rsid w:val="00BD45FA"/>
    <w:rsid w:val="00BD7179"/>
    <w:rsid w:val="00BD7B85"/>
    <w:rsid w:val="00BE0B51"/>
    <w:rsid w:val="00BE0CD3"/>
    <w:rsid w:val="00BE13F4"/>
    <w:rsid w:val="00BE1974"/>
    <w:rsid w:val="00BE1A2A"/>
    <w:rsid w:val="00BE28E0"/>
    <w:rsid w:val="00BE3C72"/>
    <w:rsid w:val="00BE50E6"/>
    <w:rsid w:val="00BE53B4"/>
    <w:rsid w:val="00BE5840"/>
    <w:rsid w:val="00BE6487"/>
    <w:rsid w:val="00BE6766"/>
    <w:rsid w:val="00BE6A78"/>
    <w:rsid w:val="00BE6B38"/>
    <w:rsid w:val="00BE7C5B"/>
    <w:rsid w:val="00BE7F76"/>
    <w:rsid w:val="00BF0FC8"/>
    <w:rsid w:val="00BF3FD9"/>
    <w:rsid w:val="00BF5E95"/>
    <w:rsid w:val="00BF6B19"/>
    <w:rsid w:val="00BF75C7"/>
    <w:rsid w:val="00C0051D"/>
    <w:rsid w:val="00C0115C"/>
    <w:rsid w:val="00C02149"/>
    <w:rsid w:val="00C02EE3"/>
    <w:rsid w:val="00C0323F"/>
    <w:rsid w:val="00C04B90"/>
    <w:rsid w:val="00C0501F"/>
    <w:rsid w:val="00C125D1"/>
    <w:rsid w:val="00C12A3F"/>
    <w:rsid w:val="00C130D9"/>
    <w:rsid w:val="00C1347B"/>
    <w:rsid w:val="00C134EC"/>
    <w:rsid w:val="00C13D9B"/>
    <w:rsid w:val="00C14611"/>
    <w:rsid w:val="00C14660"/>
    <w:rsid w:val="00C1470A"/>
    <w:rsid w:val="00C15568"/>
    <w:rsid w:val="00C163B5"/>
    <w:rsid w:val="00C16760"/>
    <w:rsid w:val="00C16C83"/>
    <w:rsid w:val="00C17F03"/>
    <w:rsid w:val="00C21B70"/>
    <w:rsid w:val="00C22E65"/>
    <w:rsid w:val="00C23D9A"/>
    <w:rsid w:val="00C241F4"/>
    <w:rsid w:val="00C24822"/>
    <w:rsid w:val="00C25541"/>
    <w:rsid w:val="00C25C40"/>
    <w:rsid w:val="00C25CEC"/>
    <w:rsid w:val="00C30533"/>
    <w:rsid w:val="00C30C5D"/>
    <w:rsid w:val="00C30CAA"/>
    <w:rsid w:val="00C32943"/>
    <w:rsid w:val="00C33FFB"/>
    <w:rsid w:val="00C34DB2"/>
    <w:rsid w:val="00C35148"/>
    <w:rsid w:val="00C36F42"/>
    <w:rsid w:val="00C37144"/>
    <w:rsid w:val="00C4447B"/>
    <w:rsid w:val="00C52535"/>
    <w:rsid w:val="00C52698"/>
    <w:rsid w:val="00C53889"/>
    <w:rsid w:val="00C54121"/>
    <w:rsid w:val="00C563E6"/>
    <w:rsid w:val="00C56688"/>
    <w:rsid w:val="00C57CDC"/>
    <w:rsid w:val="00C60085"/>
    <w:rsid w:val="00C60D59"/>
    <w:rsid w:val="00C62D73"/>
    <w:rsid w:val="00C62D97"/>
    <w:rsid w:val="00C6417B"/>
    <w:rsid w:val="00C641C2"/>
    <w:rsid w:val="00C646B4"/>
    <w:rsid w:val="00C6640B"/>
    <w:rsid w:val="00C66D47"/>
    <w:rsid w:val="00C708B9"/>
    <w:rsid w:val="00C71065"/>
    <w:rsid w:val="00C714DB"/>
    <w:rsid w:val="00C7166F"/>
    <w:rsid w:val="00C71ED7"/>
    <w:rsid w:val="00C72519"/>
    <w:rsid w:val="00C72ADA"/>
    <w:rsid w:val="00C76EA7"/>
    <w:rsid w:val="00C77AA5"/>
    <w:rsid w:val="00C77B93"/>
    <w:rsid w:val="00C77FA7"/>
    <w:rsid w:val="00C808A2"/>
    <w:rsid w:val="00C80B03"/>
    <w:rsid w:val="00C837D4"/>
    <w:rsid w:val="00C846EA"/>
    <w:rsid w:val="00C866BF"/>
    <w:rsid w:val="00C86A4C"/>
    <w:rsid w:val="00C8794B"/>
    <w:rsid w:val="00C87DEE"/>
    <w:rsid w:val="00C91B2D"/>
    <w:rsid w:val="00C94A67"/>
    <w:rsid w:val="00C950B8"/>
    <w:rsid w:val="00C9555C"/>
    <w:rsid w:val="00C956EE"/>
    <w:rsid w:val="00C96D25"/>
    <w:rsid w:val="00CA0C4E"/>
    <w:rsid w:val="00CA1E5A"/>
    <w:rsid w:val="00CA4EFD"/>
    <w:rsid w:val="00CA6179"/>
    <w:rsid w:val="00CA6F93"/>
    <w:rsid w:val="00CA785E"/>
    <w:rsid w:val="00CB331E"/>
    <w:rsid w:val="00CB3D19"/>
    <w:rsid w:val="00CB4962"/>
    <w:rsid w:val="00CB4CD7"/>
    <w:rsid w:val="00CB57D1"/>
    <w:rsid w:val="00CB584B"/>
    <w:rsid w:val="00CB655B"/>
    <w:rsid w:val="00CB7689"/>
    <w:rsid w:val="00CC3025"/>
    <w:rsid w:val="00CC3184"/>
    <w:rsid w:val="00CC3195"/>
    <w:rsid w:val="00CC4555"/>
    <w:rsid w:val="00CC4725"/>
    <w:rsid w:val="00CC4896"/>
    <w:rsid w:val="00CD1B3F"/>
    <w:rsid w:val="00CD33D6"/>
    <w:rsid w:val="00CD777C"/>
    <w:rsid w:val="00CD7B70"/>
    <w:rsid w:val="00CE1DCB"/>
    <w:rsid w:val="00CE3481"/>
    <w:rsid w:val="00CE3BE6"/>
    <w:rsid w:val="00CE3E2E"/>
    <w:rsid w:val="00CE56F0"/>
    <w:rsid w:val="00CE5F9E"/>
    <w:rsid w:val="00CF0CFC"/>
    <w:rsid w:val="00CF138F"/>
    <w:rsid w:val="00CF28DF"/>
    <w:rsid w:val="00CF297C"/>
    <w:rsid w:val="00CF318B"/>
    <w:rsid w:val="00CF32EB"/>
    <w:rsid w:val="00CF46E8"/>
    <w:rsid w:val="00CF4F45"/>
    <w:rsid w:val="00CF5F29"/>
    <w:rsid w:val="00CF73D8"/>
    <w:rsid w:val="00D00F5D"/>
    <w:rsid w:val="00D02922"/>
    <w:rsid w:val="00D038DF"/>
    <w:rsid w:val="00D03948"/>
    <w:rsid w:val="00D03A28"/>
    <w:rsid w:val="00D0474A"/>
    <w:rsid w:val="00D04AD1"/>
    <w:rsid w:val="00D0607B"/>
    <w:rsid w:val="00D06AEF"/>
    <w:rsid w:val="00D06CDA"/>
    <w:rsid w:val="00D075DC"/>
    <w:rsid w:val="00D10034"/>
    <w:rsid w:val="00D11282"/>
    <w:rsid w:val="00D114F2"/>
    <w:rsid w:val="00D117B9"/>
    <w:rsid w:val="00D13B58"/>
    <w:rsid w:val="00D13B5F"/>
    <w:rsid w:val="00D15C51"/>
    <w:rsid w:val="00D15C80"/>
    <w:rsid w:val="00D16DC4"/>
    <w:rsid w:val="00D211A0"/>
    <w:rsid w:val="00D215E6"/>
    <w:rsid w:val="00D232E3"/>
    <w:rsid w:val="00D23B2A"/>
    <w:rsid w:val="00D241C2"/>
    <w:rsid w:val="00D24DC4"/>
    <w:rsid w:val="00D257CC"/>
    <w:rsid w:val="00D277AA"/>
    <w:rsid w:val="00D312BA"/>
    <w:rsid w:val="00D3138B"/>
    <w:rsid w:val="00D31B63"/>
    <w:rsid w:val="00D33D76"/>
    <w:rsid w:val="00D34505"/>
    <w:rsid w:val="00D349E0"/>
    <w:rsid w:val="00D34C22"/>
    <w:rsid w:val="00D361AE"/>
    <w:rsid w:val="00D37EB9"/>
    <w:rsid w:val="00D40EE9"/>
    <w:rsid w:val="00D41F63"/>
    <w:rsid w:val="00D42725"/>
    <w:rsid w:val="00D42A31"/>
    <w:rsid w:val="00D435B3"/>
    <w:rsid w:val="00D44595"/>
    <w:rsid w:val="00D44B32"/>
    <w:rsid w:val="00D50F7E"/>
    <w:rsid w:val="00D511EB"/>
    <w:rsid w:val="00D51760"/>
    <w:rsid w:val="00D53EFC"/>
    <w:rsid w:val="00D5413B"/>
    <w:rsid w:val="00D551FB"/>
    <w:rsid w:val="00D55A8C"/>
    <w:rsid w:val="00D55DF6"/>
    <w:rsid w:val="00D56CDF"/>
    <w:rsid w:val="00D578EC"/>
    <w:rsid w:val="00D57972"/>
    <w:rsid w:val="00D60040"/>
    <w:rsid w:val="00D60C12"/>
    <w:rsid w:val="00D61489"/>
    <w:rsid w:val="00D61E42"/>
    <w:rsid w:val="00D63463"/>
    <w:rsid w:val="00D636BB"/>
    <w:rsid w:val="00D63948"/>
    <w:rsid w:val="00D64CF4"/>
    <w:rsid w:val="00D65212"/>
    <w:rsid w:val="00D656EB"/>
    <w:rsid w:val="00D65ADA"/>
    <w:rsid w:val="00D65B33"/>
    <w:rsid w:val="00D65D3F"/>
    <w:rsid w:val="00D67971"/>
    <w:rsid w:val="00D67E0B"/>
    <w:rsid w:val="00D7104C"/>
    <w:rsid w:val="00D72846"/>
    <w:rsid w:val="00D7364D"/>
    <w:rsid w:val="00D73BA0"/>
    <w:rsid w:val="00D7437C"/>
    <w:rsid w:val="00D746A3"/>
    <w:rsid w:val="00D74BA2"/>
    <w:rsid w:val="00D74F62"/>
    <w:rsid w:val="00D75325"/>
    <w:rsid w:val="00D763D8"/>
    <w:rsid w:val="00D82B3B"/>
    <w:rsid w:val="00D834F4"/>
    <w:rsid w:val="00D83ACB"/>
    <w:rsid w:val="00D83CBE"/>
    <w:rsid w:val="00D84009"/>
    <w:rsid w:val="00D845A7"/>
    <w:rsid w:val="00D8629D"/>
    <w:rsid w:val="00D869E4"/>
    <w:rsid w:val="00D8714D"/>
    <w:rsid w:val="00D905B6"/>
    <w:rsid w:val="00D910AD"/>
    <w:rsid w:val="00D92672"/>
    <w:rsid w:val="00D92926"/>
    <w:rsid w:val="00D92A88"/>
    <w:rsid w:val="00D937F6"/>
    <w:rsid w:val="00D94AB5"/>
    <w:rsid w:val="00D97444"/>
    <w:rsid w:val="00DA178A"/>
    <w:rsid w:val="00DA1FC5"/>
    <w:rsid w:val="00DA363C"/>
    <w:rsid w:val="00DA3685"/>
    <w:rsid w:val="00DA5F0A"/>
    <w:rsid w:val="00DA6C08"/>
    <w:rsid w:val="00DA7A56"/>
    <w:rsid w:val="00DB02FB"/>
    <w:rsid w:val="00DB0E48"/>
    <w:rsid w:val="00DB1F30"/>
    <w:rsid w:val="00DB2D88"/>
    <w:rsid w:val="00DB3130"/>
    <w:rsid w:val="00DB4B8F"/>
    <w:rsid w:val="00DB65EC"/>
    <w:rsid w:val="00DB7D92"/>
    <w:rsid w:val="00DB7F7E"/>
    <w:rsid w:val="00DC0C92"/>
    <w:rsid w:val="00DC1680"/>
    <w:rsid w:val="00DC1C08"/>
    <w:rsid w:val="00DC34FB"/>
    <w:rsid w:val="00DC3654"/>
    <w:rsid w:val="00DC40BE"/>
    <w:rsid w:val="00DC4352"/>
    <w:rsid w:val="00DC47A8"/>
    <w:rsid w:val="00DC4BCF"/>
    <w:rsid w:val="00DC63B6"/>
    <w:rsid w:val="00DC6E15"/>
    <w:rsid w:val="00DC6E3A"/>
    <w:rsid w:val="00DC768F"/>
    <w:rsid w:val="00DD146F"/>
    <w:rsid w:val="00DD1C1B"/>
    <w:rsid w:val="00DD7599"/>
    <w:rsid w:val="00DE001B"/>
    <w:rsid w:val="00DE0D8E"/>
    <w:rsid w:val="00DE1E11"/>
    <w:rsid w:val="00DE1EA3"/>
    <w:rsid w:val="00DE1F74"/>
    <w:rsid w:val="00DE21EC"/>
    <w:rsid w:val="00DE2636"/>
    <w:rsid w:val="00DE4035"/>
    <w:rsid w:val="00DF1059"/>
    <w:rsid w:val="00DF1484"/>
    <w:rsid w:val="00DF62BA"/>
    <w:rsid w:val="00DF665C"/>
    <w:rsid w:val="00DF682F"/>
    <w:rsid w:val="00DF7E18"/>
    <w:rsid w:val="00E002DD"/>
    <w:rsid w:val="00E0047E"/>
    <w:rsid w:val="00E033FB"/>
    <w:rsid w:val="00E03995"/>
    <w:rsid w:val="00E03CD3"/>
    <w:rsid w:val="00E0405F"/>
    <w:rsid w:val="00E0772F"/>
    <w:rsid w:val="00E10E0F"/>
    <w:rsid w:val="00E10E5A"/>
    <w:rsid w:val="00E110D3"/>
    <w:rsid w:val="00E115D4"/>
    <w:rsid w:val="00E11ABD"/>
    <w:rsid w:val="00E144A3"/>
    <w:rsid w:val="00E14713"/>
    <w:rsid w:val="00E1504C"/>
    <w:rsid w:val="00E16C74"/>
    <w:rsid w:val="00E175C5"/>
    <w:rsid w:val="00E17CDC"/>
    <w:rsid w:val="00E202D9"/>
    <w:rsid w:val="00E20480"/>
    <w:rsid w:val="00E22614"/>
    <w:rsid w:val="00E228F7"/>
    <w:rsid w:val="00E22B6A"/>
    <w:rsid w:val="00E23198"/>
    <w:rsid w:val="00E23271"/>
    <w:rsid w:val="00E24970"/>
    <w:rsid w:val="00E26342"/>
    <w:rsid w:val="00E27031"/>
    <w:rsid w:val="00E27B34"/>
    <w:rsid w:val="00E27F2F"/>
    <w:rsid w:val="00E3083C"/>
    <w:rsid w:val="00E30DF9"/>
    <w:rsid w:val="00E310D9"/>
    <w:rsid w:val="00E315FB"/>
    <w:rsid w:val="00E32D18"/>
    <w:rsid w:val="00E33674"/>
    <w:rsid w:val="00E337E1"/>
    <w:rsid w:val="00E34465"/>
    <w:rsid w:val="00E34FC6"/>
    <w:rsid w:val="00E367B6"/>
    <w:rsid w:val="00E370E5"/>
    <w:rsid w:val="00E372B0"/>
    <w:rsid w:val="00E40247"/>
    <w:rsid w:val="00E41E51"/>
    <w:rsid w:val="00E42E99"/>
    <w:rsid w:val="00E45865"/>
    <w:rsid w:val="00E46483"/>
    <w:rsid w:val="00E46600"/>
    <w:rsid w:val="00E47802"/>
    <w:rsid w:val="00E47DBC"/>
    <w:rsid w:val="00E50A81"/>
    <w:rsid w:val="00E5284B"/>
    <w:rsid w:val="00E54F6E"/>
    <w:rsid w:val="00E60B9F"/>
    <w:rsid w:val="00E610FC"/>
    <w:rsid w:val="00E618D1"/>
    <w:rsid w:val="00E62060"/>
    <w:rsid w:val="00E6228B"/>
    <w:rsid w:val="00E6294E"/>
    <w:rsid w:val="00E62B00"/>
    <w:rsid w:val="00E634B0"/>
    <w:rsid w:val="00E642BC"/>
    <w:rsid w:val="00E650A0"/>
    <w:rsid w:val="00E65AEC"/>
    <w:rsid w:val="00E666BC"/>
    <w:rsid w:val="00E67466"/>
    <w:rsid w:val="00E71235"/>
    <w:rsid w:val="00E71310"/>
    <w:rsid w:val="00E71D20"/>
    <w:rsid w:val="00E722D4"/>
    <w:rsid w:val="00E72ED4"/>
    <w:rsid w:val="00E74B48"/>
    <w:rsid w:val="00E7655A"/>
    <w:rsid w:val="00E776E4"/>
    <w:rsid w:val="00E803FE"/>
    <w:rsid w:val="00E80686"/>
    <w:rsid w:val="00E80BC8"/>
    <w:rsid w:val="00E819F1"/>
    <w:rsid w:val="00E827DA"/>
    <w:rsid w:val="00E851C7"/>
    <w:rsid w:val="00E85B65"/>
    <w:rsid w:val="00E909F5"/>
    <w:rsid w:val="00E912A6"/>
    <w:rsid w:val="00E91385"/>
    <w:rsid w:val="00E9207F"/>
    <w:rsid w:val="00E9239A"/>
    <w:rsid w:val="00E94C7C"/>
    <w:rsid w:val="00E95082"/>
    <w:rsid w:val="00E9529D"/>
    <w:rsid w:val="00E9559B"/>
    <w:rsid w:val="00E95C08"/>
    <w:rsid w:val="00E97949"/>
    <w:rsid w:val="00EA1274"/>
    <w:rsid w:val="00EA167A"/>
    <w:rsid w:val="00EA21F1"/>
    <w:rsid w:val="00EA373A"/>
    <w:rsid w:val="00EA5E28"/>
    <w:rsid w:val="00EA7170"/>
    <w:rsid w:val="00EA74CA"/>
    <w:rsid w:val="00EB02E8"/>
    <w:rsid w:val="00EB2CA2"/>
    <w:rsid w:val="00EB2ED6"/>
    <w:rsid w:val="00EB2F43"/>
    <w:rsid w:val="00EB3D43"/>
    <w:rsid w:val="00EB3E5C"/>
    <w:rsid w:val="00EB3FE7"/>
    <w:rsid w:val="00EB5045"/>
    <w:rsid w:val="00EB7CD1"/>
    <w:rsid w:val="00EB7F8E"/>
    <w:rsid w:val="00EC004F"/>
    <w:rsid w:val="00EC07C7"/>
    <w:rsid w:val="00EC4DA6"/>
    <w:rsid w:val="00EC559F"/>
    <w:rsid w:val="00EC6F25"/>
    <w:rsid w:val="00EC78B3"/>
    <w:rsid w:val="00ED0384"/>
    <w:rsid w:val="00ED09FF"/>
    <w:rsid w:val="00ED1766"/>
    <w:rsid w:val="00ED3EB5"/>
    <w:rsid w:val="00ED7523"/>
    <w:rsid w:val="00ED78D3"/>
    <w:rsid w:val="00EE0CA6"/>
    <w:rsid w:val="00EE1590"/>
    <w:rsid w:val="00EE196B"/>
    <w:rsid w:val="00EE40BC"/>
    <w:rsid w:val="00EE473F"/>
    <w:rsid w:val="00EE50EA"/>
    <w:rsid w:val="00EE67A4"/>
    <w:rsid w:val="00EE7E4F"/>
    <w:rsid w:val="00EF047D"/>
    <w:rsid w:val="00EF0AFA"/>
    <w:rsid w:val="00EF0C40"/>
    <w:rsid w:val="00EF0DEC"/>
    <w:rsid w:val="00EF117B"/>
    <w:rsid w:val="00EF1E22"/>
    <w:rsid w:val="00EF4283"/>
    <w:rsid w:val="00EF429C"/>
    <w:rsid w:val="00EF4585"/>
    <w:rsid w:val="00EF4FB4"/>
    <w:rsid w:val="00EF58F0"/>
    <w:rsid w:val="00EF5D2C"/>
    <w:rsid w:val="00EF6AD5"/>
    <w:rsid w:val="00EF7797"/>
    <w:rsid w:val="00EF7D30"/>
    <w:rsid w:val="00F00A6B"/>
    <w:rsid w:val="00F01757"/>
    <w:rsid w:val="00F01B41"/>
    <w:rsid w:val="00F01C29"/>
    <w:rsid w:val="00F022F6"/>
    <w:rsid w:val="00F0238C"/>
    <w:rsid w:val="00F0448C"/>
    <w:rsid w:val="00F04AEE"/>
    <w:rsid w:val="00F0534A"/>
    <w:rsid w:val="00F064A9"/>
    <w:rsid w:val="00F06B28"/>
    <w:rsid w:val="00F110C1"/>
    <w:rsid w:val="00F11CCD"/>
    <w:rsid w:val="00F1252C"/>
    <w:rsid w:val="00F147B2"/>
    <w:rsid w:val="00F17B1A"/>
    <w:rsid w:val="00F2170A"/>
    <w:rsid w:val="00F22585"/>
    <w:rsid w:val="00F23B8D"/>
    <w:rsid w:val="00F23C3A"/>
    <w:rsid w:val="00F250A7"/>
    <w:rsid w:val="00F25917"/>
    <w:rsid w:val="00F31435"/>
    <w:rsid w:val="00F31E70"/>
    <w:rsid w:val="00F32E7F"/>
    <w:rsid w:val="00F33911"/>
    <w:rsid w:val="00F33B5C"/>
    <w:rsid w:val="00F37812"/>
    <w:rsid w:val="00F418B0"/>
    <w:rsid w:val="00F43484"/>
    <w:rsid w:val="00F44160"/>
    <w:rsid w:val="00F455D8"/>
    <w:rsid w:val="00F45D72"/>
    <w:rsid w:val="00F50DD1"/>
    <w:rsid w:val="00F52D66"/>
    <w:rsid w:val="00F5304D"/>
    <w:rsid w:val="00F53B44"/>
    <w:rsid w:val="00F551C6"/>
    <w:rsid w:val="00F557A4"/>
    <w:rsid w:val="00F55A45"/>
    <w:rsid w:val="00F55F5E"/>
    <w:rsid w:val="00F56521"/>
    <w:rsid w:val="00F56EE5"/>
    <w:rsid w:val="00F571CA"/>
    <w:rsid w:val="00F61880"/>
    <w:rsid w:val="00F62012"/>
    <w:rsid w:val="00F62450"/>
    <w:rsid w:val="00F636D9"/>
    <w:rsid w:val="00F64873"/>
    <w:rsid w:val="00F64E7E"/>
    <w:rsid w:val="00F652A9"/>
    <w:rsid w:val="00F653C8"/>
    <w:rsid w:val="00F66D1B"/>
    <w:rsid w:val="00F71592"/>
    <w:rsid w:val="00F718EF"/>
    <w:rsid w:val="00F722A7"/>
    <w:rsid w:val="00F72E79"/>
    <w:rsid w:val="00F7368F"/>
    <w:rsid w:val="00F73868"/>
    <w:rsid w:val="00F73CE1"/>
    <w:rsid w:val="00F76061"/>
    <w:rsid w:val="00F77449"/>
    <w:rsid w:val="00F81E14"/>
    <w:rsid w:val="00F842CB"/>
    <w:rsid w:val="00F84E0B"/>
    <w:rsid w:val="00F84E39"/>
    <w:rsid w:val="00F904A9"/>
    <w:rsid w:val="00F91740"/>
    <w:rsid w:val="00F92934"/>
    <w:rsid w:val="00F9363C"/>
    <w:rsid w:val="00F937F7"/>
    <w:rsid w:val="00F93CBB"/>
    <w:rsid w:val="00F93E34"/>
    <w:rsid w:val="00F95A18"/>
    <w:rsid w:val="00F965BA"/>
    <w:rsid w:val="00FA063A"/>
    <w:rsid w:val="00FA1DFC"/>
    <w:rsid w:val="00FA2809"/>
    <w:rsid w:val="00FA2B3B"/>
    <w:rsid w:val="00FA30B3"/>
    <w:rsid w:val="00FA7477"/>
    <w:rsid w:val="00FA7733"/>
    <w:rsid w:val="00FA7BCF"/>
    <w:rsid w:val="00FA7F26"/>
    <w:rsid w:val="00FB0937"/>
    <w:rsid w:val="00FB0F7A"/>
    <w:rsid w:val="00FB162A"/>
    <w:rsid w:val="00FB2FE0"/>
    <w:rsid w:val="00FB4895"/>
    <w:rsid w:val="00FB489D"/>
    <w:rsid w:val="00FB49C8"/>
    <w:rsid w:val="00FB4E0C"/>
    <w:rsid w:val="00FB542F"/>
    <w:rsid w:val="00FB6151"/>
    <w:rsid w:val="00FB6E65"/>
    <w:rsid w:val="00FC4FE7"/>
    <w:rsid w:val="00FC6131"/>
    <w:rsid w:val="00FC7D12"/>
    <w:rsid w:val="00FC7D1E"/>
    <w:rsid w:val="00FD1F99"/>
    <w:rsid w:val="00FD2535"/>
    <w:rsid w:val="00FD464A"/>
    <w:rsid w:val="00FD572B"/>
    <w:rsid w:val="00FD6D1A"/>
    <w:rsid w:val="00FD7116"/>
    <w:rsid w:val="00FD7D5E"/>
    <w:rsid w:val="00FD7E90"/>
    <w:rsid w:val="00FE0350"/>
    <w:rsid w:val="00FE1F35"/>
    <w:rsid w:val="00FE26BC"/>
    <w:rsid w:val="00FE2F81"/>
    <w:rsid w:val="00FE5AB4"/>
    <w:rsid w:val="00FE5F91"/>
    <w:rsid w:val="00FE5FE6"/>
    <w:rsid w:val="00FE6FFC"/>
    <w:rsid w:val="00FF2440"/>
    <w:rsid w:val="00FF30A6"/>
    <w:rsid w:val="00FF35CA"/>
    <w:rsid w:val="00FF42B0"/>
    <w:rsid w:val="00FF4E42"/>
    <w:rsid w:val="00FF522C"/>
    <w:rsid w:val="00FF5DAC"/>
    <w:rsid w:val="00FF6256"/>
    <w:rsid w:val="00FF6541"/>
    <w:rsid w:val="00FF6747"/>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6F33B728-0DE9-47BF-8712-1BF370605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91B02"/>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 w:type="paragraph" w:styleId="DocumentMap">
    <w:name w:val="Document Map"/>
    <w:basedOn w:val="Normal"/>
    <w:link w:val="DocumentMapChar"/>
    <w:uiPriority w:val="99"/>
    <w:semiHidden/>
    <w:unhideWhenUsed/>
    <w:rsid w:val="001B7A2A"/>
  </w:style>
  <w:style w:type="character" w:customStyle="1" w:styleId="DocumentMapChar">
    <w:name w:val="Document Map Char"/>
    <w:basedOn w:val="DefaultParagraphFont"/>
    <w:link w:val="DocumentMap"/>
    <w:uiPriority w:val="99"/>
    <w:semiHidden/>
    <w:rsid w:val="001B7A2A"/>
    <w:rPr>
      <w:rFonts w:ascii="Times New Roman" w:hAnsi="Times New Roman" w:cs="Times New Roman"/>
      <w:lang w:val="en-GB" w:eastAsia="en-GB"/>
    </w:rPr>
  </w:style>
  <w:style w:type="character" w:styleId="PlaceholderText">
    <w:name w:val="Placeholder Text"/>
    <w:basedOn w:val="DefaultParagraphFont"/>
    <w:uiPriority w:val="99"/>
    <w:semiHidden/>
    <w:rsid w:val="0064497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38286524">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39640E27-EE99-0447-A99B-B77C18A1E0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27</Pages>
  <Words>20708</Words>
  <Characters>118042</Characters>
  <Application>Microsoft Macintosh Word</Application>
  <DocSecurity>0</DocSecurity>
  <Lines>983</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15</cp:revision>
  <dcterms:created xsi:type="dcterms:W3CDTF">2018-08-09T18:46:00Z</dcterms:created>
  <dcterms:modified xsi:type="dcterms:W3CDTF">2018-08-10T13:03:00Z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