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293423" w:displacedByCustomXml="next"/>
    <w:bookmarkStart w:id="1" w:name="_Toc7079038" w:displacedByCustomXml="next"/>
    <w:sdt>
      <w:sdtPr>
        <w:rPr>
          <w:rFonts w:eastAsiaTheme="minorEastAsia" w:cs="Times New Roman"/>
          <w:b w:val="0"/>
          <w:sz w:val="24"/>
          <w:szCs w:val="24"/>
          <w:lang w:eastAsia="en-US"/>
        </w:rPr>
        <w:id w:val="-1652053317"/>
        <w:docPartObj>
          <w:docPartGallery w:val="Table of Contents"/>
          <w:docPartUnique/>
        </w:docPartObj>
      </w:sdtPr>
      <w:sdtEndPr>
        <w:rPr>
          <w:bCs/>
          <w:noProof/>
        </w:rPr>
      </w:sdtEndPr>
      <w:sdtContent>
        <w:p w14:paraId="53505C17" w14:textId="02D55FAD" w:rsidR="00E14922" w:rsidRDefault="00E14922" w:rsidP="00E14922">
          <w:pPr>
            <w:pStyle w:val="Heading1"/>
            <w:numPr>
              <w:ilvl w:val="0"/>
              <w:numId w:val="0"/>
            </w:numPr>
          </w:pPr>
          <w:r>
            <w:t>Table of Contents</w:t>
          </w:r>
          <w:bookmarkEnd w:id="0"/>
        </w:p>
        <w:p w14:paraId="2C445781" w14:textId="2EED1E7A" w:rsidR="0034749E"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293423" w:history="1">
            <w:r w:rsidR="0034749E" w:rsidRPr="00014B28">
              <w:rPr>
                <w:rStyle w:val="Hyperlink"/>
                <w:noProof/>
              </w:rPr>
              <w:t>Table of Contents</w:t>
            </w:r>
            <w:r w:rsidR="0034749E">
              <w:rPr>
                <w:noProof/>
                <w:webHidden/>
              </w:rPr>
              <w:tab/>
            </w:r>
            <w:r w:rsidR="0034749E">
              <w:rPr>
                <w:noProof/>
                <w:webHidden/>
              </w:rPr>
              <w:fldChar w:fldCharType="begin"/>
            </w:r>
            <w:r w:rsidR="0034749E">
              <w:rPr>
                <w:noProof/>
                <w:webHidden/>
              </w:rPr>
              <w:instrText xml:space="preserve"> PAGEREF _Toc8293423 \h </w:instrText>
            </w:r>
            <w:r w:rsidR="0034749E">
              <w:rPr>
                <w:noProof/>
                <w:webHidden/>
              </w:rPr>
            </w:r>
            <w:r w:rsidR="0034749E">
              <w:rPr>
                <w:noProof/>
                <w:webHidden/>
              </w:rPr>
              <w:fldChar w:fldCharType="separate"/>
            </w:r>
            <w:r w:rsidR="0034749E">
              <w:rPr>
                <w:noProof/>
                <w:webHidden/>
              </w:rPr>
              <w:t>1</w:t>
            </w:r>
            <w:r w:rsidR="0034749E">
              <w:rPr>
                <w:noProof/>
                <w:webHidden/>
              </w:rPr>
              <w:fldChar w:fldCharType="end"/>
            </w:r>
          </w:hyperlink>
        </w:p>
        <w:p w14:paraId="54DDC668" w14:textId="13BEA808" w:rsidR="0034749E" w:rsidRDefault="0034749E">
          <w:pPr>
            <w:pStyle w:val="TOC1"/>
            <w:tabs>
              <w:tab w:val="left" w:pos="480"/>
              <w:tab w:val="right" w:leader="dot" w:pos="9010"/>
            </w:tabs>
            <w:rPr>
              <w:rFonts w:cstheme="minorBidi"/>
              <w:b w:val="0"/>
              <w:bCs w:val="0"/>
              <w:i w:val="0"/>
              <w:iCs w:val="0"/>
              <w:noProof/>
              <w:lang w:eastAsia="en-US"/>
            </w:rPr>
          </w:pPr>
          <w:hyperlink w:anchor="_Toc8293424" w:history="1">
            <w:r w:rsidRPr="00014B28">
              <w:rPr>
                <w:rStyle w:val="Hyperlink"/>
                <w:noProof/>
              </w:rPr>
              <w:t>1</w:t>
            </w:r>
            <w:r>
              <w:rPr>
                <w:rFonts w:cstheme="minorBidi"/>
                <w:b w:val="0"/>
                <w:bCs w:val="0"/>
                <w:i w:val="0"/>
                <w:iCs w:val="0"/>
                <w:noProof/>
                <w:lang w:eastAsia="en-US"/>
              </w:rPr>
              <w:tab/>
            </w:r>
            <w:r w:rsidRPr="00014B28">
              <w:rPr>
                <w:rStyle w:val="Hyperlink"/>
                <w:noProof/>
              </w:rPr>
              <w:t>Background</w:t>
            </w:r>
            <w:r>
              <w:rPr>
                <w:noProof/>
                <w:webHidden/>
              </w:rPr>
              <w:tab/>
            </w:r>
            <w:r>
              <w:rPr>
                <w:noProof/>
                <w:webHidden/>
              </w:rPr>
              <w:fldChar w:fldCharType="begin"/>
            </w:r>
            <w:r>
              <w:rPr>
                <w:noProof/>
                <w:webHidden/>
              </w:rPr>
              <w:instrText xml:space="preserve"> PAGEREF _Toc8293424 \h </w:instrText>
            </w:r>
            <w:r>
              <w:rPr>
                <w:noProof/>
                <w:webHidden/>
              </w:rPr>
            </w:r>
            <w:r>
              <w:rPr>
                <w:noProof/>
                <w:webHidden/>
              </w:rPr>
              <w:fldChar w:fldCharType="separate"/>
            </w:r>
            <w:r>
              <w:rPr>
                <w:noProof/>
                <w:webHidden/>
              </w:rPr>
              <w:t>2</w:t>
            </w:r>
            <w:r>
              <w:rPr>
                <w:noProof/>
                <w:webHidden/>
              </w:rPr>
              <w:fldChar w:fldCharType="end"/>
            </w:r>
          </w:hyperlink>
        </w:p>
        <w:p w14:paraId="5B1155C0" w14:textId="1F73D41C" w:rsidR="0034749E" w:rsidRDefault="0034749E">
          <w:pPr>
            <w:pStyle w:val="TOC2"/>
            <w:tabs>
              <w:tab w:val="left" w:pos="960"/>
              <w:tab w:val="right" w:leader="dot" w:pos="9010"/>
            </w:tabs>
            <w:rPr>
              <w:rFonts w:cstheme="minorBidi"/>
              <w:b w:val="0"/>
              <w:bCs w:val="0"/>
              <w:noProof/>
              <w:sz w:val="24"/>
              <w:szCs w:val="24"/>
              <w:lang w:eastAsia="en-US"/>
            </w:rPr>
          </w:pPr>
          <w:hyperlink w:anchor="_Toc8293425" w:history="1">
            <w:r w:rsidRPr="00014B28">
              <w:rPr>
                <w:rStyle w:val="Hyperlink"/>
                <w:noProof/>
              </w:rPr>
              <w:t>1.1</w:t>
            </w:r>
            <w:r>
              <w:rPr>
                <w:rFonts w:cstheme="minorBidi"/>
                <w:b w:val="0"/>
                <w:bCs w:val="0"/>
                <w:noProof/>
                <w:sz w:val="24"/>
                <w:szCs w:val="24"/>
                <w:lang w:eastAsia="en-US"/>
              </w:rPr>
              <w:tab/>
            </w:r>
            <w:r w:rsidRPr="00014B28">
              <w:rPr>
                <w:rStyle w:val="Hyperlink"/>
                <w:noProof/>
              </w:rPr>
              <w:t>Seasonal dynamics of mortality</w:t>
            </w:r>
            <w:r>
              <w:rPr>
                <w:noProof/>
                <w:webHidden/>
              </w:rPr>
              <w:tab/>
            </w:r>
            <w:r>
              <w:rPr>
                <w:noProof/>
                <w:webHidden/>
              </w:rPr>
              <w:fldChar w:fldCharType="begin"/>
            </w:r>
            <w:r>
              <w:rPr>
                <w:noProof/>
                <w:webHidden/>
              </w:rPr>
              <w:instrText xml:space="preserve"> PAGEREF _Toc8293425 \h </w:instrText>
            </w:r>
            <w:r>
              <w:rPr>
                <w:noProof/>
                <w:webHidden/>
              </w:rPr>
            </w:r>
            <w:r>
              <w:rPr>
                <w:noProof/>
                <w:webHidden/>
              </w:rPr>
              <w:fldChar w:fldCharType="separate"/>
            </w:r>
            <w:r>
              <w:rPr>
                <w:noProof/>
                <w:webHidden/>
              </w:rPr>
              <w:t>2</w:t>
            </w:r>
            <w:r>
              <w:rPr>
                <w:noProof/>
                <w:webHidden/>
              </w:rPr>
              <w:fldChar w:fldCharType="end"/>
            </w:r>
          </w:hyperlink>
        </w:p>
        <w:p w14:paraId="43139C03" w14:textId="6750E133" w:rsidR="0034749E" w:rsidRDefault="0034749E">
          <w:pPr>
            <w:pStyle w:val="TOC2"/>
            <w:tabs>
              <w:tab w:val="left" w:pos="960"/>
              <w:tab w:val="right" w:leader="dot" w:pos="9010"/>
            </w:tabs>
            <w:rPr>
              <w:rFonts w:cstheme="minorBidi"/>
              <w:b w:val="0"/>
              <w:bCs w:val="0"/>
              <w:noProof/>
              <w:sz w:val="24"/>
              <w:szCs w:val="24"/>
              <w:lang w:eastAsia="en-US"/>
            </w:rPr>
          </w:pPr>
          <w:hyperlink w:anchor="_Toc8293426" w:history="1">
            <w:r w:rsidRPr="00014B28">
              <w:rPr>
                <w:rStyle w:val="Hyperlink"/>
                <w:noProof/>
              </w:rPr>
              <w:t>1.2</w:t>
            </w:r>
            <w:r>
              <w:rPr>
                <w:rFonts w:cstheme="minorBidi"/>
                <w:b w:val="0"/>
                <w:bCs w:val="0"/>
                <w:noProof/>
                <w:sz w:val="24"/>
                <w:szCs w:val="24"/>
                <w:lang w:eastAsia="en-US"/>
              </w:rPr>
              <w:tab/>
            </w:r>
            <w:r w:rsidRPr="00014B28">
              <w:rPr>
                <w:rStyle w:val="Hyperlink"/>
                <w:noProof/>
              </w:rPr>
              <w:t>Mortality and temperature</w:t>
            </w:r>
            <w:r>
              <w:rPr>
                <w:noProof/>
                <w:webHidden/>
              </w:rPr>
              <w:tab/>
            </w:r>
            <w:r>
              <w:rPr>
                <w:noProof/>
                <w:webHidden/>
              </w:rPr>
              <w:fldChar w:fldCharType="begin"/>
            </w:r>
            <w:r>
              <w:rPr>
                <w:noProof/>
                <w:webHidden/>
              </w:rPr>
              <w:instrText xml:space="preserve"> PAGEREF _Toc8293426 \h </w:instrText>
            </w:r>
            <w:r>
              <w:rPr>
                <w:noProof/>
                <w:webHidden/>
              </w:rPr>
            </w:r>
            <w:r>
              <w:rPr>
                <w:noProof/>
                <w:webHidden/>
              </w:rPr>
              <w:fldChar w:fldCharType="separate"/>
            </w:r>
            <w:r>
              <w:rPr>
                <w:noProof/>
                <w:webHidden/>
              </w:rPr>
              <w:t>5</w:t>
            </w:r>
            <w:r>
              <w:rPr>
                <w:noProof/>
                <w:webHidden/>
              </w:rPr>
              <w:fldChar w:fldCharType="end"/>
            </w:r>
          </w:hyperlink>
        </w:p>
        <w:p w14:paraId="62550331" w14:textId="6B197808" w:rsidR="0034749E" w:rsidRDefault="0034749E">
          <w:pPr>
            <w:pStyle w:val="TOC2"/>
            <w:tabs>
              <w:tab w:val="left" w:pos="960"/>
              <w:tab w:val="right" w:leader="dot" w:pos="9010"/>
            </w:tabs>
            <w:rPr>
              <w:rFonts w:cstheme="minorBidi"/>
              <w:b w:val="0"/>
              <w:bCs w:val="0"/>
              <w:noProof/>
              <w:sz w:val="24"/>
              <w:szCs w:val="24"/>
              <w:lang w:eastAsia="en-US"/>
            </w:rPr>
          </w:pPr>
          <w:hyperlink w:anchor="_Toc8293427" w:history="1">
            <w:r w:rsidRPr="00014B28">
              <w:rPr>
                <w:rStyle w:val="Hyperlink"/>
                <w:noProof/>
              </w:rPr>
              <w:t>1.3</w:t>
            </w:r>
            <w:r>
              <w:rPr>
                <w:rFonts w:cstheme="minorBidi"/>
                <w:b w:val="0"/>
                <w:bCs w:val="0"/>
                <w:noProof/>
                <w:sz w:val="24"/>
                <w:szCs w:val="24"/>
                <w:lang w:eastAsia="en-US"/>
              </w:rPr>
              <w:tab/>
            </w:r>
            <w:r w:rsidRPr="00014B28">
              <w:rPr>
                <w:rStyle w:val="Hyperlink"/>
                <w:noProof/>
              </w:rPr>
              <w:t>Temperature an</w:t>
            </w:r>
            <w:r w:rsidRPr="00014B28">
              <w:rPr>
                <w:rStyle w:val="Hyperlink"/>
                <w:noProof/>
              </w:rPr>
              <w:t>d</w:t>
            </w:r>
            <w:r w:rsidRPr="00014B28">
              <w:rPr>
                <w:rStyle w:val="Hyperlink"/>
                <w:noProof/>
              </w:rPr>
              <w:t xml:space="preserve"> climate change</w:t>
            </w:r>
            <w:r>
              <w:rPr>
                <w:noProof/>
                <w:webHidden/>
              </w:rPr>
              <w:tab/>
            </w:r>
            <w:r>
              <w:rPr>
                <w:noProof/>
                <w:webHidden/>
              </w:rPr>
              <w:fldChar w:fldCharType="begin"/>
            </w:r>
            <w:r>
              <w:rPr>
                <w:noProof/>
                <w:webHidden/>
              </w:rPr>
              <w:instrText xml:space="preserve"> PAGEREF _Toc8293427 \h </w:instrText>
            </w:r>
            <w:r>
              <w:rPr>
                <w:noProof/>
                <w:webHidden/>
              </w:rPr>
            </w:r>
            <w:r>
              <w:rPr>
                <w:noProof/>
                <w:webHidden/>
              </w:rPr>
              <w:fldChar w:fldCharType="separate"/>
            </w:r>
            <w:r>
              <w:rPr>
                <w:noProof/>
                <w:webHidden/>
              </w:rPr>
              <w:t>9</w:t>
            </w:r>
            <w:r>
              <w:rPr>
                <w:noProof/>
                <w:webHidden/>
              </w:rPr>
              <w:fldChar w:fldCharType="end"/>
            </w:r>
          </w:hyperlink>
        </w:p>
        <w:p w14:paraId="7268626A" w14:textId="16C9A5AE" w:rsidR="0034749E" w:rsidRDefault="0034749E">
          <w:pPr>
            <w:pStyle w:val="TOC2"/>
            <w:tabs>
              <w:tab w:val="left" w:pos="960"/>
              <w:tab w:val="right" w:leader="dot" w:pos="9010"/>
            </w:tabs>
            <w:rPr>
              <w:rFonts w:cstheme="minorBidi"/>
              <w:b w:val="0"/>
              <w:bCs w:val="0"/>
              <w:noProof/>
              <w:sz w:val="24"/>
              <w:szCs w:val="24"/>
              <w:lang w:eastAsia="en-US"/>
            </w:rPr>
          </w:pPr>
          <w:hyperlink w:anchor="_Toc8293428" w:history="1">
            <w:r w:rsidRPr="00014B28">
              <w:rPr>
                <w:rStyle w:val="Hyperlink"/>
                <w:noProof/>
              </w:rPr>
              <w:t>1.4</w:t>
            </w:r>
            <w:r>
              <w:rPr>
                <w:rFonts w:cstheme="minorBidi"/>
                <w:b w:val="0"/>
                <w:bCs w:val="0"/>
                <w:noProof/>
                <w:sz w:val="24"/>
                <w:szCs w:val="24"/>
                <w:lang w:eastAsia="en-US"/>
              </w:rPr>
              <w:tab/>
            </w:r>
            <w:r w:rsidRPr="00014B28">
              <w:rPr>
                <w:rStyle w:val="Hyperlink"/>
                <w:noProof/>
              </w:rPr>
              <w:t>Modelling methodology</w:t>
            </w:r>
            <w:r>
              <w:rPr>
                <w:noProof/>
                <w:webHidden/>
              </w:rPr>
              <w:tab/>
            </w:r>
            <w:r>
              <w:rPr>
                <w:noProof/>
                <w:webHidden/>
              </w:rPr>
              <w:fldChar w:fldCharType="begin"/>
            </w:r>
            <w:r>
              <w:rPr>
                <w:noProof/>
                <w:webHidden/>
              </w:rPr>
              <w:instrText xml:space="preserve"> PAGEREF _Toc8293428 \h </w:instrText>
            </w:r>
            <w:r>
              <w:rPr>
                <w:noProof/>
                <w:webHidden/>
              </w:rPr>
            </w:r>
            <w:r>
              <w:rPr>
                <w:noProof/>
                <w:webHidden/>
              </w:rPr>
              <w:fldChar w:fldCharType="separate"/>
            </w:r>
            <w:r>
              <w:rPr>
                <w:noProof/>
                <w:webHidden/>
              </w:rPr>
              <w:t>10</w:t>
            </w:r>
            <w:r>
              <w:rPr>
                <w:noProof/>
                <w:webHidden/>
              </w:rPr>
              <w:fldChar w:fldCharType="end"/>
            </w:r>
          </w:hyperlink>
        </w:p>
        <w:p w14:paraId="299460C3" w14:textId="0EFCED01" w:rsidR="0034749E" w:rsidRDefault="0034749E">
          <w:pPr>
            <w:pStyle w:val="TOC2"/>
            <w:tabs>
              <w:tab w:val="left" w:pos="960"/>
              <w:tab w:val="right" w:leader="dot" w:pos="9010"/>
            </w:tabs>
            <w:rPr>
              <w:rFonts w:cstheme="minorBidi"/>
              <w:b w:val="0"/>
              <w:bCs w:val="0"/>
              <w:noProof/>
              <w:sz w:val="24"/>
              <w:szCs w:val="24"/>
              <w:lang w:eastAsia="en-US"/>
            </w:rPr>
          </w:pPr>
          <w:hyperlink w:anchor="_Toc8293429" w:history="1">
            <w:r w:rsidRPr="00014B28">
              <w:rPr>
                <w:rStyle w:val="Hyperlink"/>
                <w:noProof/>
              </w:rPr>
              <w:t>1.5</w:t>
            </w:r>
            <w:r>
              <w:rPr>
                <w:rFonts w:cstheme="minorBidi"/>
                <w:b w:val="0"/>
                <w:bCs w:val="0"/>
                <w:noProof/>
                <w:sz w:val="24"/>
                <w:szCs w:val="24"/>
                <w:lang w:eastAsia="en-US"/>
              </w:rPr>
              <w:tab/>
            </w:r>
            <w:r w:rsidRPr="00014B28">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_Toc8293429 \h </w:instrText>
            </w:r>
            <w:r>
              <w:rPr>
                <w:noProof/>
                <w:webHidden/>
              </w:rPr>
            </w:r>
            <w:r>
              <w:rPr>
                <w:noProof/>
                <w:webHidden/>
              </w:rPr>
              <w:fldChar w:fldCharType="separate"/>
            </w:r>
            <w:r>
              <w:rPr>
                <w:noProof/>
                <w:webHidden/>
              </w:rPr>
              <w:t>13</w:t>
            </w:r>
            <w:r>
              <w:rPr>
                <w:noProof/>
                <w:webHidden/>
              </w:rPr>
              <w:fldChar w:fldCharType="end"/>
            </w:r>
          </w:hyperlink>
        </w:p>
        <w:p w14:paraId="3C50F42E" w14:textId="58FD5B7F" w:rsidR="0034749E" w:rsidRDefault="0034749E">
          <w:pPr>
            <w:pStyle w:val="TOC2"/>
            <w:tabs>
              <w:tab w:val="left" w:pos="960"/>
              <w:tab w:val="right" w:leader="dot" w:pos="9010"/>
            </w:tabs>
            <w:rPr>
              <w:rFonts w:cstheme="minorBidi"/>
              <w:b w:val="0"/>
              <w:bCs w:val="0"/>
              <w:noProof/>
              <w:sz w:val="24"/>
              <w:szCs w:val="24"/>
              <w:lang w:eastAsia="en-US"/>
            </w:rPr>
          </w:pPr>
          <w:hyperlink w:anchor="_Toc8293430" w:history="1">
            <w:r w:rsidRPr="00014B28">
              <w:rPr>
                <w:rStyle w:val="Hyperlink"/>
                <w:noProof/>
              </w:rPr>
              <w:t>1.6</w:t>
            </w:r>
            <w:r>
              <w:rPr>
                <w:rFonts w:cstheme="minorBidi"/>
                <w:b w:val="0"/>
                <w:bCs w:val="0"/>
                <w:noProof/>
                <w:sz w:val="24"/>
                <w:szCs w:val="24"/>
                <w:lang w:eastAsia="en-US"/>
              </w:rPr>
              <w:tab/>
            </w:r>
            <w:r w:rsidRPr="00014B28">
              <w:rPr>
                <w:rStyle w:val="Hyperlink"/>
                <w:noProof/>
              </w:rPr>
              <w:t>Summary</w:t>
            </w:r>
            <w:r>
              <w:rPr>
                <w:noProof/>
                <w:webHidden/>
              </w:rPr>
              <w:tab/>
            </w:r>
            <w:r>
              <w:rPr>
                <w:noProof/>
                <w:webHidden/>
              </w:rPr>
              <w:fldChar w:fldCharType="begin"/>
            </w:r>
            <w:r>
              <w:rPr>
                <w:noProof/>
                <w:webHidden/>
              </w:rPr>
              <w:instrText xml:space="preserve"> PAGEREF _Toc8293430 \h </w:instrText>
            </w:r>
            <w:r>
              <w:rPr>
                <w:noProof/>
                <w:webHidden/>
              </w:rPr>
            </w:r>
            <w:r>
              <w:rPr>
                <w:noProof/>
                <w:webHidden/>
              </w:rPr>
              <w:fldChar w:fldCharType="separate"/>
            </w:r>
            <w:r>
              <w:rPr>
                <w:noProof/>
                <w:webHidden/>
              </w:rPr>
              <w:t>13</w:t>
            </w:r>
            <w:r>
              <w:rPr>
                <w:noProof/>
                <w:webHidden/>
              </w:rPr>
              <w:fldChar w:fldCharType="end"/>
            </w:r>
          </w:hyperlink>
        </w:p>
        <w:p w14:paraId="08B44C4D" w14:textId="6B33A413" w:rsidR="0034749E" w:rsidRDefault="0034749E">
          <w:pPr>
            <w:pStyle w:val="TOC1"/>
            <w:tabs>
              <w:tab w:val="right" w:leader="dot" w:pos="9010"/>
            </w:tabs>
            <w:rPr>
              <w:rFonts w:cstheme="minorBidi"/>
              <w:b w:val="0"/>
              <w:bCs w:val="0"/>
              <w:i w:val="0"/>
              <w:iCs w:val="0"/>
              <w:noProof/>
              <w:lang w:eastAsia="en-US"/>
            </w:rPr>
          </w:pPr>
          <w:hyperlink w:anchor="_Toc8293431" w:history="1">
            <w:r w:rsidRPr="00014B28">
              <w:rPr>
                <w:rStyle w:val="Hyperlink"/>
                <w:noProof/>
              </w:rPr>
              <w:t>Works cited</w:t>
            </w:r>
            <w:r>
              <w:rPr>
                <w:noProof/>
                <w:webHidden/>
              </w:rPr>
              <w:tab/>
            </w:r>
            <w:r>
              <w:rPr>
                <w:noProof/>
                <w:webHidden/>
              </w:rPr>
              <w:fldChar w:fldCharType="begin"/>
            </w:r>
            <w:r>
              <w:rPr>
                <w:noProof/>
                <w:webHidden/>
              </w:rPr>
              <w:instrText xml:space="preserve"> PAGEREF _Toc8293431 \h </w:instrText>
            </w:r>
            <w:r>
              <w:rPr>
                <w:noProof/>
                <w:webHidden/>
              </w:rPr>
            </w:r>
            <w:r>
              <w:rPr>
                <w:noProof/>
                <w:webHidden/>
              </w:rPr>
              <w:fldChar w:fldCharType="separate"/>
            </w:r>
            <w:r>
              <w:rPr>
                <w:noProof/>
                <w:webHidden/>
              </w:rPr>
              <w:t>14</w:t>
            </w:r>
            <w:r>
              <w:rPr>
                <w:noProof/>
                <w:webHidden/>
              </w:rPr>
              <w:fldChar w:fldCharType="end"/>
            </w:r>
          </w:hyperlink>
        </w:p>
        <w:p w14:paraId="4CE9CF6C" w14:textId="5FA7325F" w:rsidR="00E14922" w:rsidRDefault="00E14922" w:rsidP="00E14922">
          <w:pPr>
            <w:pStyle w:val="Style1"/>
          </w:pPr>
          <w:r w:rsidRPr="00E14922">
            <w:rPr>
              <w:b/>
              <w:bCs/>
              <w:noProof/>
            </w:rPr>
            <w:fldChar w:fldCharType="end"/>
          </w:r>
        </w:p>
      </w:sdtContent>
    </w:sdt>
    <w:p w14:paraId="52D0DB32" w14:textId="77777777" w:rsidR="00B549DF" w:rsidRDefault="00B549DF">
      <w:pPr>
        <w:spacing w:after="0" w:line="240" w:lineRule="auto"/>
        <w:jc w:val="left"/>
        <w:rPr>
          <w:rFonts w:eastAsiaTheme="majorEastAsia" w:cstheme="majorBidi"/>
          <w:b/>
          <w:sz w:val="32"/>
          <w:szCs w:val="32"/>
        </w:rPr>
      </w:pPr>
      <w:r>
        <w:br w:type="page"/>
      </w:r>
    </w:p>
    <w:p w14:paraId="51041B4F" w14:textId="2D989D22" w:rsidR="00785362" w:rsidRPr="00785362" w:rsidRDefault="000858BC" w:rsidP="00785362">
      <w:pPr>
        <w:pStyle w:val="Heading1"/>
      </w:pPr>
      <w:bookmarkStart w:id="2" w:name="_Toc8293424"/>
      <w:r>
        <w:lastRenderedPageBreak/>
        <w:t>Background</w:t>
      </w:r>
      <w:bookmarkEnd w:id="1"/>
      <w:bookmarkEnd w:id="2"/>
    </w:p>
    <w:p w14:paraId="0F42D578" w14:textId="2B4197C6" w:rsidR="00954451" w:rsidRDefault="00EB4E62" w:rsidP="00D551EC">
      <w:pPr>
        <w:pStyle w:val="Heading2"/>
      </w:pPr>
      <w:bookmarkStart w:id="3" w:name="_Toc8293425"/>
      <w:r>
        <w:t>Seasonal</w:t>
      </w:r>
      <w:r w:rsidR="00D551EC">
        <w:t xml:space="preserve">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3B977D17" w14:textId="08BA74DF" w:rsidR="008733D9" w:rsidRDefault="000E1B12" w:rsidP="008733D9">
      <w:pPr>
        <w:ind w:firstLine="720"/>
      </w:pPr>
      <w:r>
        <w:t>S</w:t>
      </w:r>
      <w:r w:rsidR="00C24C6C">
        <w:t xml:space="preserve">easonal variation of death rates </w:t>
      </w:r>
      <w:r>
        <w:t xml:space="preserve">within a year </w:t>
      </w:r>
      <w:r w:rsidR="00C24C6C">
        <w:t>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 xml:space="preserve">s have on </w:t>
      </w:r>
      <w:r w:rsidR="00056E78">
        <w:t>deaths</w:t>
      </w:r>
      <w:r w:rsidR="00DE6581">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7770F6">
        <w:t>A modern</w:t>
      </w:r>
      <w:r w:rsidR="00250C08">
        <w:t xml:space="preserve"> stud</w:t>
      </w:r>
      <w:r w:rsidR="007770F6">
        <w:t>y has</w:t>
      </w:r>
      <w:r w:rsidR="006D5B32">
        <w:t xml:space="preserve"> also shown that deaths were highly seasonal in ancient Rome </w:t>
      </w:r>
      <w:r w:rsidR="006D5B32">
        <w:fldChar w:fldCharType="begin" w:fldLock="1"/>
      </w:r>
      <w:r w:rsidR="00954AFE">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Rome","type":"article-journal"},"uris":["http://www.mendeley.com/documents/?uuid=ce1f544f-ef79-45d2-b366-0f0014598119"]}],"mendeley":{"formattedCitation":"(Shaw, 2006)","plainTextFormattedCitation":"(Shaw, 2006)","previouslyFormattedCitation":"(Shaw, 2006)"},"properties":{"noteIndex":0},"schema":"https://github.com/citation-style-language/schema/raw/master/csl-citation.json"}</w:instrText>
      </w:r>
      <w:r w:rsidR="006D5B32">
        <w:fldChar w:fldCharType="separate"/>
      </w:r>
      <w:r w:rsidR="006D5B32" w:rsidRPr="006D5B32">
        <w:rPr>
          <w:noProof/>
        </w:rPr>
        <w:t>(Shaw, 2006)</w:t>
      </w:r>
      <w:r w:rsidR="006D5B32">
        <w:fldChar w:fldCharType="end"/>
      </w:r>
      <w:r w:rsidR="006D5B32">
        <w:t xml:space="preserve">. </w:t>
      </w:r>
      <w:r w:rsidR="00056E78">
        <w:t>Death rates also vary within monthly, weekly and daily scales</w:t>
      </w:r>
      <w:r w:rsidR="00B42AD4">
        <w:t xml:space="preserve"> </w:t>
      </w:r>
      <w:r w:rsidR="00B42AD4">
        <w:fldChar w:fldCharType="begin" w:fldLock="1"/>
      </w:r>
      <w:r w:rsidR="006D5B32">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mortality","type":"article-journal"},"uris":["http://www.mendeley.com/documents/?uuid=b1b8ef30-aaa4-459a-9e97-8c3e39097128"]}],"mendeley":{"formattedCitation":"(Rogot, Fabsitz, &amp; Feinleib, 1976)","plainTextFormattedCitation":"(Rogot, Fabsitz, &amp; Feinleib, 1976)","previouslyFormattedCitation":"(Rogot, Fabsitz, &amp; Feinleib, 1976)"},"properties":{"noteIndex":0},"schema":"https://github.com/citation-style-language/schema/raw/master/csl-citation.json"}</w:instrText>
      </w:r>
      <w:r w:rsidR="00B42AD4">
        <w:fldChar w:fldCharType="separate"/>
      </w:r>
      <w:r w:rsidR="00B42AD4" w:rsidRPr="00B42AD4">
        <w:rPr>
          <w:noProof/>
        </w:rPr>
        <w:t>(Rogot, Fabsitz, &amp; Feinleib, 1976)</w:t>
      </w:r>
      <w:r w:rsidR="00B42AD4">
        <w:fldChar w:fldCharType="end"/>
      </w:r>
      <w:r w:rsidR="00056E78">
        <w:t xml:space="preserve">. </w:t>
      </w:r>
      <w:r w:rsidR="00EB605F">
        <w:t xml:space="preserve">Modern analyses of seasonality </w:t>
      </w:r>
      <w:r w:rsidR="00D453B0">
        <w:t xml:space="preserve">originate from work 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53140E">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2007","type":"article-journal"},"uris":["http://www.mendeley.com/documents/?uuid=d4445f2b-98e3-471e-bfbc-d68fe1f93318"]}],"mendeley":{"formattedCitation":"(Brown, Fearn, &amp; Wells, 2010; Healy, 2003; Reichert et al., 2004)","plainTextFormattedCitation":"(Brown, Fearn, &amp; Wells, 2010; Healy, 2003; Reichert et al., 2004)","previouslyFormattedCitation":"(Brown, Fearn, &amp; Wells, 2010; Healy, 2003; Reichert et al., 2004)"},"properties":{"noteIndex":0},"schema":"https://github.com/citation-style-language/schema/raw/master/csl-citation.json"}</w:instrText>
      </w:r>
      <w:r w:rsidR="00AC46FB">
        <w:fldChar w:fldCharType="separate"/>
      </w:r>
      <w:r w:rsidR="0053140E" w:rsidRPr="0053140E">
        <w:rPr>
          <w:noProof/>
        </w:rPr>
        <w:t>(Brown, Fearn, &amp; Wells, 2010; Healy, 2003; Reichert et al., 2004)</w:t>
      </w:r>
      <w:r w:rsidR="00AC46FB">
        <w:fldChar w:fldCharType="end"/>
      </w:r>
      <w:r w:rsidR="004F5E26">
        <w:t>.</w:t>
      </w:r>
      <w:r w:rsidR="00D51CB2">
        <w:t xml:space="preserve"> </w:t>
      </w:r>
      <w:r w:rsidR="00C64389">
        <w:t>This phenomenon is known as e</w:t>
      </w:r>
      <w:r w:rsidR="007E5386">
        <w:t xml:space="preserve">xcess winter </w:t>
      </w:r>
      <w:r w:rsidR="007E5386">
        <w:lastRenderedPageBreak/>
        <w:t>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since become a common</w:t>
      </w:r>
      <w:r w:rsidR="00646FEE">
        <w:t xml:space="preserve"> metric</w:t>
      </w:r>
      <w:r w:rsidR="006B5A9D">
        <w:t xml:space="preserve"> </w:t>
      </w:r>
      <w:r w:rsidR="00F919A9">
        <w:t>to quantify th</w:t>
      </w:r>
      <w:r w:rsidR="00E2117F">
        <w:t>e difference in total deaths between winter months and the rest of the year</w:t>
      </w:r>
      <w:r w:rsidR="000B6BE6">
        <w:t>. This is illustrated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 xml:space="preserve">on mortality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E361A3">
        <w:t>E</w:t>
      </w:r>
      <w:r w:rsidR="00A933E4">
        <w:t xml:space="preserve">xcess winter mortality in </w:t>
      </w:r>
      <w:r w:rsidR="000B6075">
        <w:t>temperate</w:t>
      </w:r>
      <w:r w:rsidR="00F12FCC">
        <w:t xml:space="preserve"> </w:t>
      </w:r>
      <w:r w:rsidR="00CC07F4">
        <w:t xml:space="preserve">high-income </w:t>
      </w:r>
      <w:r w:rsidR="00A933E4">
        <w:t>countries range</w:t>
      </w:r>
      <w:r w:rsidR="00BD7CD3">
        <w:t>s</w:t>
      </w:r>
      <w:r w:rsidR="00A933E4">
        <w:t xml:space="preserve"> from 5% to 30%</w:t>
      </w:r>
      <w:r w:rsidR="00E3461F">
        <w:t xml:space="preserve"> </w:t>
      </w:r>
      <w:r w:rsidR="004110D5">
        <w:fldChar w:fldCharType="begin" w:fldLock="1"/>
      </w:r>
      <w:r w:rsidR="004110D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4110D5">
        <w:fldChar w:fldCharType="separate"/>
      </w:r>
      <w:r w:rsidR="004110D5" w:rsidRPr="00AC46FB">
        <w:rPr>
          <w:noProof/>
        </w:rPr>
        <w:t>(Healy, 2003; Reichert et al., 2004)</w:t>
      </w:r>
      <w:r w:rsidR="004110D5">
        <w:fldChar w:fldCharType="end"/>
      </w:r>
      <w:r w:rsidR="004110D5">
        <w:t>.</w:t>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may also be wrong</w:t>
      </w:r>
      <w:r w:rsidR="008733D9">
        <w:t xml:space="preserve"> for certain age group, sex and location combinations within a cause of death</w:t>
      </w:r>
      <w:r w:rsidR="00BE6523">
        <w:t xml:space="preserve"> </w:t>
      </w:r>
      <w:r w:rsidR="00BE6523">
        <w:fldChar w:fldCharType="begin" w:fldLock="1"/>
      </w:r>
      <w:r w:rsidR="00BE652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BE6523">
        <w:fldChar w:fldCharType="separate"/>
      </w:r>
      <w:r w:rsidR="00BE6523" w:rsidRPr="003306B1">
        <w:rPr>
          <w:noProof/>
        </w:rPr>
        <w:t>(Rau, 2004)</w:t>
      </w:r>
      <w:r w:rsidR="00BE6523">
        <w:fldChar w:fldCharType="end"/>
      </w:r>
      <w:r w:rsidR="008733D9">
        <w:t>.</w:t>
      </w:r>
    </w:p>
    <w:p w14:paraId="5A05B6CC" w14:textId="6159389B" w:rsidR="00D252CA" w:rsidRDefault="005725BE" w:rsidP="00793224">
      <w:pPr>
        <w:ind w:firstLine="567"/>
        <w:rPr>
          <w:szCs w:val="24"/>
        </w:rPr>
      </w:pPr>
      <w:r>
        <w:rPr>
          <w:szCs w:val="24"/>
        </w:rPr>
        <w:t>Apart from excess winter mortality, t</w:t>
      </w:r>
      <w:r w:rsidR="00D252CA">
        <w:rPr>
          <w:szCs w:val="24"/>
        </w:rPr>
        <w:t xml:space="preserve">here are existing alternative ways of diagnosing seasonal mortality. </w:t>
      </w:r>
      <w:r w:rsidR="005545F3">
        <w:rPr>
          <w:szCs w:val="24"/>
        </w:rPr>
        <w:t>For</w:t>
      </w:r>
      <w:r w:rsidR="00D252CA">
        <w:rPr>
          <w:szCs w:val="24"/>
        </w:rPr>
        <w:t xml:space="preserve"> </w:t>
      </w:r>
      <w:r w:rsidR="005605C1">
        <w:rPr>
          <w:szCs w:val="24"/>
        </w:rPr>
        <w:t>North Americ</w:t>
      </w:r>
      <w:r w:rsidR="00A604A1">
        <w:rPr>
          <w:szCs w:val="24"/>
        </w:rPr>
        <w:t>a</w:t>
      </w:r>
      <w:r w:rsidR="00D252CA">
        <w:rPr>
          <w:szCs w:val="24"/>
        </w:rPr>
        <w:t xml:space="preserve">, some have employed algebraic techniques to examine seasonal mortality by demographic, cause of death and metropolitan areas </w:t>
      </w:r>
      <w:r w:rsidR="00D252CA">
        <w:rPr>
          <w:szCs w:val="24"/>
        </w:rPr>
        <w:fldChar w:fldCharType="begin" w:fldLock="1"/>
      </w:r>
      <w:r w:rsidR="00DF6530">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death","type":"article-journal","volume":"9"},"uris":["http://www.mendeley.com/documents/?uuid=36120b87-b240-460f-aee0-df8d43bc7671"]}],"mendeley":{"formattedCitation":"(Feinstein, 2002; Kalkstein, 2013; Rogot et al., 1976; Rosenwaike, 1966; Trudeau, 1997)","plainTextFormattedCitation":"(Feinstein, 2002; Kalkstein, 2013; Rogot et al., 1976; Rosenwaike, 1966; Trudeau, 1997)","previouslyFormattedCitation":"(Feinstein, 2002; Kalkstein, 2013; Rogot et al., 1976; Rosenwaike, 1966; Trudeau, 1997)"},"properties":{"noteIndex":0},"schema":"https://github.com/citation-style-language/schema/raw/master/csl-citation.json"}</w:instrText>
      </w:r>
      <w:r w:rsidR="00D252CA">
        <w:rPr>
          <w:szCs w:val="24"/>
        </w:rPr>
        <w:fldChar w:fldCharType="separate"/>
      </w:r>
      <w:r w:rsidR="001209A6" w:rsidRPr="001209A6">
        <w:rPr>
          <w:noProof/>
          <w:szCs w:val="24"/>
        </w:rPr>
        <w:t>(Feinstein, 2002; Kalkstein, 2013; Rogot et al., 1976; Rosenwaike, 1966; Trudeau, 1997)</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 </w:t>
      </w:r>
      <w:r w:rsidR="00D252CA">
        <w:rPr>
          <w:szCs w:val="24"/>
        </w:rPr>
        <w:fldChar w:fldCharType="begin" w:fldLock="1"/>
      </w:r>
      <w:r w:rsidR="00AE07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temperature","type":"article-journal"},"uris":["http://www.mendeley.com/documents/?uuid=93f31ff5-56fb-4ada-b4eb-67d454804a53"]}],"mendeley":{"formattedCitation":"(Gemmell, McLoone, Boddy, Dickinson, &amp; Watt, 2000; Green, Harari, &amp; Kristal-Boneh, 2007; Laake &amp; Sverre, 1996; Mackenbach, Kunst, &amp; Looman, 1992; Marti-Soler et al., 2014)","plainTextFormattedCitation":"(Gemmell, McLoone, Boddy, Dickinson, &amp; Watt, 2000; Green, Harari, &amp; Kristal-Boneh, 2007; Laake &amp; Sverre, 1996; Mackenbach, Kunst, &amp; Looman, 1992; Marti-Soler et al., 2014)","previouslyFormattedCitation":"(Gemmell, McLoone, Boddy, Dickinson, &amp; Watt, 2000; Green, Harari, &amp; Kristal-Boneh, 2007; Laake &amp; Sverre, 1996; Mackenbach, Kunst, &amp; Looman, 1992; Marti-Soler et al., 2014)"},"properties":{"noteIndex":0},"schema":"https://github.com/citation-style-language/schema/raw/master/csl-citation.json"}</w:instrText>
      </w:r>
      <w:r w:rsidR="00D252CA">
        <w:rPr>
          <w:szCs w:val="24"/>
        </w:rPr>
        <w:fldChar w:fldCharType="separate"/>
      </w:r>
      <w:r w:rsidR="00DF6530" w:rsidRPr="00DF6530">
        <w:rPr>
          <w:noProof/>
          <w:szCs w:val="24"/>
        </w:rPr>
        <w:t>(Gemmell, McLoone, Boddy, Dickinson, &amp; Watt, 2000; Green, Harari, &amp; Kristal-Boneh, 2007; Laake &amp; Sverre, 1996; Mackenbach, Kunst, &amp; Looman, 1992; Marti-Soler et al., 2014)</w:t>
      </w:r>
      <w:r w:rsidR="00D252CA">
        <w:rPr>
          <w:szCs w:val="24"/>
        </w:rPr>
        <w:fldChar w:fldCharType="end"/>
      </w:r>
      <w:r w:rsidR="00D252CA">
        <w:rPr>
          <w:szCs w:val="24"/>
        </w:rPr>
        <w:t>. One assumption of these analyses, however, is that seasonal death rates have a fixed</w:t>
      </w:r>
      <w:r w:rsidR="008016F3">
        <w:rPr>
          <w:szCs w:val="24"/>
        </w:rPr>
        <w:t xml:space="preserve"> </w:t>
      </w:r>
      <w:r w:rsidR="00D252CA">
        <w:rPr>
          <w:szCs w:val="24"/>
        </w:rPr>
        <w:t>12-month cycle</w:t>
      </w:r>
      <w:r w:rsidR="000E4433">
        <w:rPr>
          <w:szCs w:val="24"/>
        </w:rPr>
        <w:t>, though one</w:t>
      </w:r>
      <w:r w:rsidR="00D252CA" w:rsidRPr="00124AAF">
        <w:rPr>
          <w:szCs w:val="24"/>
        </w:rPr>
        <w:t xml:space="preserve"> study was more flexible in including certain other</w:t>
      </w:r>
      <w:r w:rsidR="00D252CA">
        <w:rPr>
          <w:szCs w:val="24"/>
        </w:rPr>
        <w:t xml:space="preserve"> allowed</w:t>
      </w:r>
      <w:r w:rsidR="00D252CA" w:rsidRPr="00124AAF">
        <w:rPr>
          <w:szCs w:val="24"/>
        </w:rPr>
        <w:t xml:space="preserve"> </w:t>
      </w:r>
      <w:r w:rsidR="00D252CA">
        <w:rPr>
          <w:szCs w:val="24"/>
        </w:rPr>
        <w:t>cycle</w:t>
      </w:r>
      <w:r w:rsidR="004531AC">
        <w:rPr>
          <w:szCs w:val="24"/>
        </w:rPr>
        <w:t xml:space="preserve"> lengths</w:t>
      </w:r>
      <w:r w:rsidR="00D252CA" w:rsidRPr="00124AAF">
        <w:rPr>
          <w:szCs w:val="24"/>
        </w:rPr>
        <w:t xml:space="preserve"> for </w:t>
      </w:r>
      <w:r w:rsidR="00D252CA">
        <w:rPr>
          <w:szCs w:val="24"/>
        </w:rPr>
        <w:t xml:space="preserve">a study of seasonality of mortality in </w:t>
      </w:r>
      <w:r w:rsidR="00D252CA" w:rsidRPr="00124AAF">
        <w:rPr>
          <w:szCs w:val="24"/>
        </w:rPr>
        <w:t>Japan</w:t>
      </w:r>
      <w:r w:rsidR="00D252CA">
        <w:rPr>
          <w:szCs w:val="24"/>
        </w:rPr>
        <w:t xml:space="preserve"> </w:t>
      </w:r>
      <w:r w:rsidR="00D252CA">
        <w:rPr>
          <w:szCs w:val="24"/>
        </w:rPr>
        <w:fldChar w:fldCharType="begin" w:fldLock="1"/>
      </w:r>
      <w:r w:rsidR="00D252CA">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Japan","type":"article-journal"},"uris":["http://www.mendeley.com/documents/?uuid=9f8103aa-5c2a-4789-a81c-4a7e1c8f248c"]}],"mendeley":{"formattedCitation":"(Nakaji et al., 2004)","plainTextFormattedCitation":"(Nakaji et al., 2004)","previouslyFormattedCitation":"(Nakaji et al., 2004)"},"properties":{"noteIndex":0},"schema":"https://github.com/citation-style-language/schema/raw/master/csl-citation.json"}</w:instrText>
      </w:r>
      <w:r w:rsidR="00D252CA">
        <w:rPr>
          <w:szCs w:val="24"/>
        </w:rPr>
        <w:fldChar w:fldCharType="separate"/>
      </w:r>
      <w:r w:rsidR="00D252CA" w:rsidRPr="00DE1479">
        <w:rPr>
          <w:noProof/>
          <w:szCs w:val="24"/>
        </w:rPr>
        <w:t>(Nakaji et al., 2004)</w:t>
      </w:r>
      <w:r w:rsidR="00D252CA">
        <w:rPr>
          <w:szCs w:val="24"/>
        </w:rPr>
        <w:fldChar w:fldCharType="end"/>
      </w:r>
      <w:r w:rsidR="00D252CA">
        <w:rPr>
          <w:szCs w:val="24"/>
        </w:rPr>
        <w:t xml:space="preserve">. </w:t>
      </w:r>
      <w:r w:rsidR="00A30403">
        <w:rPr>
          <w:szCs w:val="24"/>
        </w:rPr>
        <w:t>Another</w:t>
      </w:r>
      <w:r w:rsidR="00D252CA">
        <w:rPr>
          <w:szCs w:val="24"/>
        </w:rPr>
        <w:t xml:space="preserve"> disadvantage of </w:t>
      </w:r>
      <w:r w:rsidR="00A30403">
        <w:rPr>
          <w:szCs w:val="24"/>
        </w:rPr>
        <w:t xml:space="preserve">these types of analysis </w:t>
      </w:r>
      <w:r w:rsidR="00A24305">
        <w:rPr>
          <w:szCs w:val="24"/>
        </w:rPr>
        <w:t xml:space="preserve">is that </w:t>
      </w:r>
      <w:r w:rsidR="0034334E">
        <w:rPr>
          <w:szCs w:val="24"/>
        </w:rPr>
        <w:t xml:space="preserve">the ratio of </w:t>
      </w:r>
      <w:r w:rsidR="00022155">
        <w:rPr>
          <w:szCs w:val="24"/>
        </w:rPr>
        <w:t xml:space="preserve">seasonality and length of cycle is fixed across the period of study. </w:t>
      </w:r>
      <w:r w:rsidR="00D252CA">
        <w:rPr>
          <w:szCs w:val="24"/>
        </w:rPr>
        <w:t>Over time, behaviour of seasonal mortality can change</w:t>
      </w:r>
      <w:r w:rsidR="007258BE">
        <w:rPr>
          <w:szCs w:val="24"/>
        </w:rPr>
        <w:t xml:space="preserve"> or </w:t>
      </w:r>
      <w:r w:rsidR="007258BE">
        <w:rPr>
          <w:szCs w:val="24"/>
        </w:rPr>
        <w:lastRenderedPageBreak/>
        <w:t>disappear entirely</w:t>
      </w:r>
      <w:r w:rsidR="00D252CA">
        <w:rPr>
          <w:szCs w:val="24"/>
        </w:rPr>
        <w:t>.</w:t>
      </w:r>
      <w:r w:rsidR="006A6828">
        <w:rPr>
          <w:szCs w:val="24"/>
        </w:rPr>
        <w:t xml:space="preserve"> </w:t>
      </w:r>
      <w:r w:rsidR="007F7162">
        <w:rPr>
          <w:szCs w:val="24"/>
        </w:rPr>
        <w:t xml:space="preserve">Rau uses a Lexis diagram to </w:t>
      </w:r>
      <w:r w:rsidR="001A6067">
        <w:rPr>
          <w:szCs w:val="24"/>
        </w:rPr>
        <w:t>accommodate and analyse</w:t>
      </w:r>
      <w:r w:rsidR="003A36B7">
        <w:rPr>
          <w:szCs w:val="24"/>
        </w:rPr>
        <w:t xml:space="preserve"> </w:t>
      </w:r>
      <w:r w:rsidR="001A6067">
        <w:rPr>
          <w:szCs w:val="24"/>
        </w:rPr>
        <w:t>changes in seasonality of mortality</w:t>
      </w:r>
      <w:r w:rsidR="003A36B7">
        <w:rPr>
          <w:szCs w:val="24"/>
        </w:rPr>
        <w:t xml:space="preserve"> </w:t>
      </w:r>
      <w:r w:rsidR="007F7162">
        <w:rPr>
          <w:szCs w:val="24"/>
        </w:rPr>
        <w:fldChar w:fldCharType="begin" w:fldLock="1"/>
      </w:r>
      <w:r w:rsidR="00BF0FB4">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Diagram","type":"book"},"uris":["http://www.mendeley.com/documents/?uuid=e0c81d53-6ad6-40c1-935d-e122c89bb8f6"]}],"mendeley":{"formattedCitation":"(Rau, Bohk-Ewald, Muszyńska, &amp; Vaupel, 2018)","plainTextFormattedCitation":"(Rau, Bohk-Ewald, Muszyńska, &amp; Vaupel, 2018)","previouslyFormattedCitation":"(Rau, Bohk-Ewald, Muszyńska, &amp; Vaupel, 2018)"},"properties":{"noteIndex":0},"schema":"https://github.com/citation-style-language/schema/raw/master/csl-citation.json"}</w:instrText>
      </w:r>
      <w:r w:rsidR="007F7162">
        <w:rPr>
          <w:szCs w:val="24"/>
        </w:rPr>
        <w:fldChar w:fldCharType="separate"/>
      </w:r>
      <w:r w:rsidR="007F7162" w:rsidRPr="007F7162">
        <w:rPr>
          <w:noProof/>
          <w:szCs w:val="24"/>
        </w:rPr>
        <w:t>(Rau, Bohk-Ewald, Muszyńska, &amp; Vaupel, 2018)</w:t>
      </w:r>
      <w:r w:rsidR="007F7162">
        <w:rPr>
          <w:szCs w:val="24"/>
        </w:rPr>
        <w:fldChar w:fldCharType="end"/>
      </w:r>
      <w:r w:rsidR="007F7162">
        <w:rPr>
          <w:szCs w:val="24"/>
        </w:rPr>
        <w:t xml:space="preserve">. </w:t>
      </w:r>
      <w:r w:rsidR="006A6828">
        <w:rPr>
          <w:szCs w:val="24"/>
        </w:rPr>
        <w:t xml:space="preserve">An alternative </w:t>
      </w:r>
      <w:r w:rsidR="0060104D">
        <w:rPr>
          <w:szCs w:val="24"/>
        </w:rPr>
        <w:t xml:space="preserve">method could use wavelets, which </w:t>
      </w:r>
      <w:r w:rsidR="00FB74F2">
        <w:rPr>
          <w:szCs w:val="24"/>
        </w:rPr>
        <w:t>enables a dynamic spectral analysis</w:t>
      </w:r>
      <w:r w:rsidR="0060104D">
        <w:rPr>
          <w:szCs w:val="24"/>
        </w:rPr>
        <w:t>.</w:t>
      </w:r>
      <w:r w:rsidR="006A6828">
        <w:rPr>
          <w:szCs w:val="24"/>
        </w:rPr>
        <w:t xml:space="preserve"> </w:t>
      </w:r>
      <w:r w:rsidR="007A27B0">
        <w:rPr>
          <w:szCs w:val="24"/>
        </w:rPr>
        <w:t>W</w:t>
      </w:r>
      <w:r w:rsidR="00D252CA" w:rsidRPr="009738D2">
        <w:rPr>
          <w:szCs w:val="24"/>
        </w:rPr>
        <w:t xml:space="preserve">avelets have </w:t>
      </w:r>
      <w:r w:rsidR="00D252CA">
        <w:rPr>
          <w:szCs w:val="24"/>
        </w:rPr>
        <w:t xml:space="preserve">emerged as a useful tool </w:t>
      </w:r>
      <w:r w:rsidR="00D252CA" w:rsidRPr="009738D2">
        <w:rPr>
          <w:szCs w:val="24"/>
        </w:rPr>
        <w:t xml:space="preserve">to study the dynamics of </w:t>
      </w:r>
      <w:r w:rsidR="00D252CA">
        <w:rPr>
          <w:szCs w:val="24"/>
        </w:rPr>
        <w:t xml:space="preserve">seasonal signals in other fields of research, including </w:t>
      </w:r>
      <w:r w:rsidR="00D252CA" w:rsidRPr="009738D2">
        <w:rPr>
          <w:szCs w:val="24"/>
        </w:rPr>
        <w:t xml:space="preserve">weather phenomena </w:t>
      </w:r>
      <w:r w:rsidR="00D252CA" w:rsidRPr="009738D2">
        <w:rPr>
          <w:szCs w:val="24"/>
        </w:rPr>
        <w:fldChar w:fldCharType="begin" w:fldLock="1"/>
      </w:r>
      <w:r w:rsidR="00D252CA" w:rsidRPr="009738D2">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00D252CA" w:rsidRPr="009738D2">
        <w:rPr>
          <w:szCs w:val="24"/>
        </w:rPr>
        <w:fldChar w:fldCharType="separate"/>
      </w:r>
      <w:r w:rsidR="00D252CA" w:rsidRPr="009738D2">
        <w:rPr>
          <w:noProof/>
          <w:szCs w:val="24"/>
        </w:rPr>
        <w:t>(Moy, Seltzer, Rodbell, &amp; Anderson, 2002)</w:t>
      </w:r>
      <w:r w:rsidR="00D252CA" w:rsidRPr="009738D2">
        <w:rPr>
          <w:szCs w:val="24"/>
        </w:rPr>
        <w:fldChar w:fldCharType="end"/>
      </w:r>
      <w:r w:rsidR="00D252CA" w:rsidRPr="009738D2">
        <w:rPr>
          <w:szCs w:val="24"/>
        </w:rPr>
        <w:t xml:space="preserve"> and infectious diseases </w:t>
      </w:r>
      <w:r w:rsidR="00D252CA" w:rsidRPr="009738D2">
        <w:rPr>
          <w:szCs w:val="24"/>
        </w:rPr>
        <w:fldChar w:fldCharType="begin" w:fldLock="1"/>
      </w:r>
      <w:r w:rsidR="00D252CA" w:rsidRPr="009738D2">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00D252CA" w:rsidRPr="009738D2">
        <w:rPr>
          <w:szCs w:val="24"/>
        </w:rPr>
        <w:fldChar w:fldCharType="separate"/>
      </w:r>
      <w:r w:rsidR="00D252CA" w:rsidRPr="009738D2">
        <w:rPr>
          <w:noProof/>
          <w:szCs w:val="24"/>
        </w:rPr>
        <w:t>(Grenfell, Bjørnstad, &amp; Kappey, 2001)</w:t>
      </w:r>
      <w:r w:rsidR="00D252CA" w:rsidRPr="009738D2">
        <w:rPr>
          <w:szCs w:val="24"/>
        </w:rPr>
        <w:fldChar w:fldCharType="end"/>
      </w:r>
      <w:r w:rsidR="00D252CA">
        <w:rPr>
          <w:szCs w:val="24"/>
        </w:rPr>
        <w:t>.</w:t>
      </w:r>
      <w:r w:rsidR="007F7162">
        <w:rPr>
          <w:szCs w:val="24"/>
        </w:rPr>
        <w:t xml:space="preserve"> </w:t>
      </w:r>
    </w:p>
    <w:p w14:paraId="1C4D2CD1" w14:textId="77777777" w:rsidR="00CA0182" w:rsidRDefault="00460101" w:rsidP="004B349C">
      <w:pPr>
        <w:ind w:firstLine="567"/>
      </w:pPr>
      <w:r>
        <w:t>The existence of s</w:t>
      </w:r>
      <w:r w:rsidR="00666194">
        <w:t xml:space="preserve">easonal 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mortality </w:t>
      </w:r>
      <w:r w:rsidR="007E491A">
        <w:t xml:space="preserve">is required </w:t>
      </w:r>
      <w:r w:rsidR="002912D9">
        <w:t xml:space="preserve">for planning societal responses </w:t>
      </w:r>
      <w:r w:rsidR="000A709C">
        <w:t>which would aim</w:t>
      </w:r>
      <w:r w:rsidR="002912D9">
        <w:t xml:space="preserve"> to reduce peaks in death rates. </w:t>
      </w:r>
      <w:r w:rsidR="000C3434">
        <w:t xml:space="preserve">As temperature also varies seasonally, it has been thought that its variation </w:t>
      </w:r>
      <w:r w:rsidR="00666194">
        <w:t>may play a role</w:t>
      </w:r>
      <w:r w:rsidR="000C3434">
        <w:t xml:space="preserve"> in seasonal mortal</w:t>
      </w:r>
      <w:r w:rsidR="0080590A">
        <w:t>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 xml:space="preserve">would show larger excess winter mortality. This was not seen in a study of 36 cities in the United States </w:t>
      </w:r>
      <w:r w:rsidR="000C564D" w:rsidRPr="00097CA5">
        <w:rPr>
          <w:szCs w:val="24"/>
        </w:rPr>
        <w:fldChar w:fldCharType="begin" w:fldLock="1"/>
      </w:r>
      <w:r w:rsidR="000C564D" w:rsidRPr="00097CA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benefits?","type":"article-journal","volume":"10"},"uris":["http://www.mendeley.com/documents/?uuid=d2c6b903-6bd0-4558-b3ce-eb7f3fbf3539"]}],"mendeley":{"formattedCitation":"(Kinney et al., 2015)","plainTextFormattedCitation":"(Kinney et al., 2015)","previouslyFormattedCitation":"(Kinney et al., 2015)"},"properties":{"noteIndex":0},"schema":"https://github.com/citation-style-language/schema/raw/master/csl-citation.json"}</w:instrText>
      </w:r>
      <w:r w:rsidR="000C564D" w:rsidRPr="00097CA5">
        <w:rPr>
          <w:szCs w:val="24"/>
        </w:rPr>
        <w:fldChar w:fldCharType="separate"/>
      </w:r>
      <w:r w:rsidR="000C564D" w:rsidRPr="00097CA5">
        <w:rPr>
          <w:noProof/>
          <w:szCs w:val="24"/>
        </w:rPr>
        <w:t>(Kinney et al., 2015)</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F95909">
        <w:rPr>
          <w:szCs w:val="24"/>
        </w:rPr>
        <w:t xml:space="preserve"> </w:t>
      </w:r>
      <w:r w:rsidR="00D10CEC" w:rsidRPr="00097CA5">
        <w:rPr>
          <w:szCs w:val="24"/>
        </w:rPr>
        <w:fldChar w:fldCharType="begin" w:fldLock="1"/>
      </w:r>
      <w:r w:rsidR="00D10CEC">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D10CEC" w:rsidRPr="00097CA5">
        <w:rPr>
          <w:szCs w:val="24"/>
        </w:rPr>
        <w:fldChar w:fldCharType="separate"/>
      </w:r>
      <w:r w:rsidR="00D10CEC" w:rsidRPr="00995C2A">
        <w:rPr>
          <w:noProof/>
          <w:szCs w:val="24"/>
        </w:rPr>
        <w:t>(Healy, 2003)</w:t>
      </w:r>
      <w:r w:rsidR="00D10CEC" w:rsidRPr="00097CA5">
        <w:rPr>
          <w:szCs w:val="24"/>
        </w:rPr>
        <w:fldChar w:fldCharType="end"/>
      </w:r>
      <w:r w:rsidR="006953BD">
        <w:rPr>
          <w:szCs w:val="24"/>
        </w:rPr>
        <w:t>.</w:t>
      </w:r>
      <w:r w:rsidR="00064B13">
        <w:rPr>
          <w:szCs w:val="24"/>
        </w:rPr>
        <w:t xml:space="preserve"> One conclusion possible from these results is that </w:t>
      </w:r>
      <w:r w:rsidR="00A61B63">
        <w:rPr>
          <w:szCs w:val="24"/>
        </w:rPr>
        <w:t xml:space="preserve">drivers other than temperature, e.g. behavioural and socio-economic,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954AFE">
        <w:t xml:space="preserve"> </w:t>
      </w:r>
      <w:r w:rsidR="00954AFE">
        <w:fldChar w:fldCharType="begin" w:fldLock="1"/>
      </w:r>
      <w:r w:rsidR="005D6443">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approach","type":"article-journal","volume":"PhD"},"uris":["http://www.mendeley.com/documents/?uuid=735ffa52-a2fc-4bed-ab59-d84289752b70"]}],"mendeley":{"formattedCitation":"(Rau, 2004)","plainTextFormattedCitation":"(Rau, 2004)","previouslyFormattedCitation":"(Rau, 2004)"},"properties":{"noteIndex":0},"schema":"https://github.com/citation-style-language/schema/raw/master/csl-citation.json"}</w:instrText>
      </w:r>
      <w:r w:rsidR="00954AFE">
        <w:fldChar w:fldCharType="separate"/>
      </w:r>
      <w:r w:rsidR="00954AFE" w:rsidRPr="00954AFE">
        <w:rPr>
          <w:noProof/>
        </w:rPr>
        <w:t>(Rau, 2004)</w:t>
      </w:r>
      <w:r w:rsidR="00954AFE">
        <w:fldChar w:fldCharType="end"/>
      </w:r>
      <w:r w:rsidR="00954AFE">
        <w:t>.</w:t>
      </w:r>
      <w:r w:rsidR="004B349C">
        <w:t xml:space="preserve"> </w:t>
      </w:r>
    </w:p>
    <w:p w14:paraId="3C5DCB89" w14:textId="65D44AF9"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57D62">
        <w:rPr>
          <w:szCs w:val="24"/>
        </w:rPr>
        <w:t xml:space="preserve">one or more </w:t>
      </w:r>
      <w:r w:rsidR="00CC26CF">
        <w:rPr>
          <w:szCs w:val="24"/>
        </w:rPr>
        <w:t>month</w:t>
      </w:r>
      <w:r w:rsidR="00A57D62">
        <w:rPr>
          <w:szCs w:val="24"/>
        </w:rPr>
        <w:t>s</w:t>
      </w:r>
      <w:r w:rsidR="00E00726">
        <w:rPr>
          <w:szCs w:val="24"/>
        </w:rPr>
        <w:t xml:space="preserve"> in a particular year </w:t>
      </w:r>
      <w:r w:rsidR="00CC26CF">
        <w:rPr>
          <w:szCs w:val="24"/>
        </w:rPr>
        <w:t xml:space="preserve">may experience a deviation from a smooth seasonal cycle. </w:t>
      </w:r>
    </w:p>
    <w:p w14:paraId="5227BBD6" w14:textId="5C6FA947" w:rsidR="004D76D5" w:rsidRDefault="004C7DC5" w:rsidP="002A73E8">
      <w:pPr>
        <w:pStyle w:val="Heading2"/>
      </w:pPr>
      <w:bookmarkStart w:id="4" w:name="_Toc8293426"/>
      <w:r>
        <w:lastRenderedPageBreak/>
        <w:t>Mortality and temperature</w:t>
      </w:r>
      <w:bookmarkEnd w:id="4"/>
    </w:p>
    <w:p w14:paraId="3F93815D" w14:textId="3E420688" w:rsidR="00020C6F" w:rsidRDefault="00505972" w:rsidP="00CA74E1">
      <w:pPr>
        <w:ind w:firstLine="720"/>
        <w:rPr>
          <w:color w:val="000000" w:themeColor="text1"/>
          <w:szCs w:val="24"/>
        </w:rPr>
      </w:pPr>
      <w:r>
        <w:rPr>
          <w:rFonts w:cs="Calibri"/>
          <w:color w:val="000000" w:themeColor="text1"/>
          <w:szCs w:val="24"/>
        </w:rPr>
        <w:t xml:space="preserve">The Intergovernmental Panel on Climate Change (IPCC) defines </w:t>
      </w:r>
      <w:r w:rsidR="00487898">
        <w:rPr>
          <w:rFonts w:cs="Calibri"/>
          <w:color w:val="000000" w:themeColor="text1"/>
          <w:szCs w:val="24"/>
        </w:rPr>
        <w:t xml:space="preserve">climate </w:t>
      </w:r>
      <w:r>
        <w:rPr>
          <w:rFonts w:cs="Calibri"/>
          <w:color w:val="000000" w:themeColor="text1"/>
          <w:szCs w:val="24"/>
        </w:rPr>
        <w:t>adap</w:t>
      </w:r>
      <w:r w:rsidR="001067A9">
        <w:rPr>
          <w:rFonts w:cs="Calibri"/>
          <w:color w:val="000000" w:themeColor="text1"/>
          <w:szCs w:val="24"/>
        </w:rPr>
        <w:t>t</w:t>
      </w:r>
      <w:r>
        <w:rPr>
          <w:rFonts w:cs="Calibri"/>
          <w:color w:val="000000" w:themeColor="text1"/>
          <w:szCs w:val="24"/>
        </w:rPr>
        <w:t xml:space="preserve">ation as </w:t>
      </w:r>
      <w:r w:rsidR="001067A9">
        <w:rPr>
          <w:rFonts w:cs="Calibri"/>
          <w:color w:val="000000" w:themeColor="text1"/>
          <w:szCs w:val="24"/>
        </w:rPr>
        <w:t>‘the process of adjustment to actual or expected climate and its effects</w:t>
      </w:r>
      <w:r w:rsidR="00840858">
        <w:rPr>
          <w:rFonts w:cs="Calibri"/>
          <w:color w:val="000000" w:themeColor="text1"/>
          <w:szCs w:val="24"/>
        </w:rPr>
        <w:t xml:space="preserve">’ </w:t>
      </w:r>
      <w:r w:rsidR="00D128B1">
        <w:rPr>
          <w:rFonts w:cs="Calibri"/>
          <w:color w:val="000000" w:themeColor="text1"/>
          <w:szCs w:val="24"/>
        </w:rPr>
        <w:fldChar w:fldCharType="begin" w:fldLock="1"/>
      </w:r>
      <w:r w:rsidR="005A60EE">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Report.","type":"book"},"uris":["http://www.mendeley.com/documents/?uuid=6e387697-b381-425b-a9ae-c542584056e4"]}],"mendeley":{"formattedCitation":"(IPCC, 2014a)","plainTextFormattedCitation":"(IPCC, 2014a)","previouslyFormattedCitation":"(IPCC, 2014a)"},"properties":{"noteIndex":0},"schema":"https://github.com/citation-style-language/schema/raw/master/csl-citation.json"}</w:instrText>
      </w:r>
      <w:r w:rsidR="00D128B1">
        <w:rPr>
          <w:rFonts w:cs="Calibri"/>
          <w:color w:val="000000" w:themeColor="text1"/>
          <w:szCs w:val="24"/>
        </w:rPr>
        <w:fldChar w:fldCharType="separate"/>
      </w:r>
      <w:r w:rsidR="00E65FE4" w:rsidRPr="00E65FE4">
        <w:rPr>
          <w:rFonts w:cs="Calibri"/>
          <w:noProof/>
          <w:color w:val="000000" w:themeColor="text1"/>
          <w:szCs w:val="24"/>
        </w:rPr>
        <w:t>(IPCC, 2014a)</w:t>
      </w:r>
      <w:r w:rsidR="00D128B1">
        <w:rPr>
          <w:rFonts w:cs="Calibri"/>
          <w:color w:val="000000" w:themeColor="text1"/>
          <w:szCs w:val="24"/>
        </w:rPr>
        <w:fldChar w:fldCharType="end"/>
      </w:r>
      <w:r w:rsidR="001067A9">
        <w:rPr>
          <w:rFonts w:cs="Calibri"/>
          <w:color w:val="000000" w:themeColor="text1"/>
          <w:szCs w:val="24"/>
        </w:rPr>
        <w:t xml:space="preserve">. </w:t>
      </w:r>
      <w:r w:rsidR="00496846">
        <w:rPr>
          <w:rFonts w:cs="Calibri"/>
          <w:color w:val="000000" w:themeColor="text1"/>
          <w:szCs w:val="24"/>
        </w:rPr>
        <w:t>Throughout history, h</w:t>
      </w:r>
      <w:r w:rsidR="00C12284">
        <w:rPr>
          <w:rFonts w:cs="Calibri"/>
          <w:color w:val="000000" w:themeColor="text1"/>
          <w:szCs w:val="24"/>
        </w:rPr>
        <w:t>umans</w:t>
      </w:r>
      <w:r w:rsidR="00D75978" w:rsidRPr="00A60C11">
        <w:rPr>
          <w:rFonts w:cs="Calibri"/>
          <w:color w:val="000000" w:themeColor="text1"/>
          <w:szCs w:val="24"/>
        </w:rPr>
        <w:t xml:space="preserve"> have</w:t>
      </w:r>
      <w:r w:rsidR="00131628">
        <w:rPr>
          <w:rFonts w:cs="Calibri"/>
          <w:color w:val="000000" w:themeColor="text1"/>
          <w:szCs w:val="24"/>
        </w:rPr>
        <w:t xml:space="preserve"> </w:t>
      </w:r>
      <w:r w:rsidR="00D75978" w:rsidRPr="00A60C11">
        <w:rPr>
          <w:rFonts w:cs="Calibri"/>
          <w:color w:val="000000" w:themeColor="text1"/>
          <w:szCs w:val="24"/>
        </w:rPr>
        <w:t xml:space="preserve">biologically and behaviourally adapted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ED057C">
        <w:rPr>
          <w:rFonts w:cs="Calibri"/>
          <w:color w:val="000000" w:themeColor="text1"/>
          <w:szCs w:val="24"/>
        </w:rPr>
        <w:t xml:space="preserve">Biologically the human body takes </w:t>
      </w:r>
      <w:r w:rsidR="00F93FF6">
        <w:rPr>
          <w:rFonts w:cs="Calibri"/>
          <w:color w:val="000000" w:themeColor="text1"/>
          <w:szCs w:val="24"/>
        </w:rPr>
        <w:t xml:space="preserve">several days to adapt to </w:t>
      </w:r>
      <w:r w:rsidR="004A5FF9">
        <w:rPr>
          <w:rFonts w:cs="Calibri"/>
          <w:color w:val="000000" w:themeColor="text1"/>
          <w:szCs w:val="24"/>
        </w:rPr>
        <w:t>ambient temperature within a narrow range</w:t>
      </w:r>
      <w:r w:rsidR="00625880">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 can live long in a society’s memory </w:t>
      </w:r>
      <w:r w:rsidR="007A63EE">
        <w:rPr>
          <w:color w:val="000000" w:themeColor="text1"/>
          <w:szCs w:val="24"/>
        </w:rPr>
        <w:fldChar w:fldCharType="begin" w:fldLock="1"/>
      </w:r>
      <w:r w:rsidR="00E65FE4">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mortality.","type":"article-journal"},"uris":["http://www.mendeley.com/documents/?uuid=36d833d1-1737-4ae8-8983-ce4e1c9e580d"]}],"mendeley":{"formattedCitation":"(Garcia-Herrera, Díaz, Trigo, Luterbacher, &amp; Fischer, 2010; Kaiser et al., 2007)","plainTextFormattedCitation":"(Garcia-Herrera, Díaz, Trigo, Luterbacher, &amp; Fischer, 2010; Kaiser et al., 2007)","previouslyFormattedCitation":"(Garcia-Herrera, Díaz, Trigo, Luterbacher, &amp; Fischer, 2010; Kaiser et al., 2007)"},"properties":{"noteIndex":0},"schema":"https://github.com/citation-style-language/schema/raw/master/csl-citation.json"}</w:instrText>
      </w:r>
      <w:r w:rsidR="007A63EE">
        <w:rPr>
          <w:color w:val="000000" w:themeColor="text1"/>
          <w:szCs w:val="24"/>
        </w:rPr>
        <w:fldChar w:fldCharType="separate"/>
      </w:r>
      <w:r w:rsidR="0091101F" w:rsidRPr="0091101F">
        <w:rPr>
          <w:noProof/>
          <w:color w:val="000000" w:themeColor="text1"/>
          <w:szCs w:val="24"/>
        </w:rPr>
        <w:t>(Garcia-Herrera, Díaz, Trigo, Luterbacher, &amp; Fischer, 2010; Kaiser et al., 2007)</w:t>
      </w:r>
      <w:r w:rsidR="007A63EE">
        <w:rPr>
          <w:color w:val="000000" w:themeColor="text1"/>
          <w:szCs w:val="24"/>
        </w:rPr>
        <w:fldChar w:fldCharType="end"/>
      </w:r>
      <w:r w:rsidR="007A63EE">
        <w:rPr>
          <w:color w:val="000000" w:themeColor="text1"/>
          <w:szCs w:val="24"/>
        </w:rPr>
        <w:t>.</w:t>
      </w:r>
      <w:r w:rsidR="00DF6926">
        <w:rPr>
          <w:color w:val="000000" w:themeColor="text1"/>
          <w:szCs w:val="24"/>
        </w:rPr>
        <w:t xml:space="preserve"> </w:t>
      </w:r>
      <w:r w:rsidR="00337ABD">
        <w:rPr>
          <w:color w:val="000000" w:themeColor="text1"/>
          <w:szCs w:val="24"/>
        </w:rPr>
        <w:t xml:space="preserve">In the United States, extreme heat is estimated to cause more deaths than any other weather-related hazard </w:t>
      </w:r>
      <w:r w:rsidR="00E03E8F">
        <w:rPr>
          <w:color w:val="000000" w:themeColor="text1"/>
          <w:szCs w:val="24"/>
        </w:rPr>
        <w:fldChar w:fldCharType="begin" w:fldLock="1"/>
      </w:r>
      <w:r w:rsidR="00892E9A">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States","type":"article-journal"},"uris":["http://www.mendeley.com/documents/?uuid=ece0694e-a051-4310-83ac-190dbab9283f"]}],"mendeley":{"formattedCitation":"(Borden &amp; Cutter, 2008; Department of Homeland Security, 2019)","plainTextFormattedCitation":"(Borden &amp; Cutter, 2008; Department of Homeland Security, 2019)","previouslyFormattedCitation":"(Borden &amp; Cutter, 2008; Department of Homeland Security, 2019)"},"properties":{"noteIndex":0},"schema":"https://github.com/citation-style-language/schema/raw/master/csl-citation.json"}</w:instrText>
      </w:r>
      <w:r w:rsidR="00E03E8F">
        <w:rPr>
          <w:color w:val="000000" w:themeColor="text1"/>
          <w:szCs w:val="24"/>
        </w:rPr>
        <w:fldChar w:fldCharType="separate"/>
      </w:r>
      <w:r w:rsidR="00E03E8F" w:rsidRPr="00E03E8F">
        <w:rPr>
          <w:noProof/>
          <w:color w:val="000000" w:themeColor="text1"/>
          <w:szCs w:val="24"/>
        </w:rPr>
        <w:t>(Borden &amp; Cutter, 2008; Department of Homeland Security, 2019)</w:t>
      </w:r>
      <w:r w:rsidR="00E03E8F">
        <w:rPr>
          <w:color w:val="000000" w:themeColor="text1"/>
          <w:szCs w:val="24"/>
        </w:rPr>
        <w:fldChar w:fldCharType="end"/>
      </w:r>
      <w:r w:rsidR="008911E2">
        <w:rPr>
          <w:color w:val="000000" w:themeColor="text1"/>
          <w:szCs w:val="24"/>
        </w:rPr>
        <w:t>.</w:t>
      </w:r>
      <w:r w:rsidR="00337ABD">
        <w:rPr>
          <w:color w:val="000000" w:themeColor="text1"/>
          <w:szCs w:val="24"/>
        </w:rPr>
        <w:t xml:space="preserve"> </w:t>
      </w:r>
      <w:r w:rsidR="008911E2">
        <w:rPr>
          <w:color w:val="000000" w:themeColor="text1"/>
          <w:szCs w:val="24"/>
        </w:rPr>
        <w:t>T</w:t>
      </w:r>
      <w:r w:rsidR="00337ABD">
        <w:rPr>
          <w:color w:val="000000" w:themeColor="text1"/>
          <w:szCs w:val="24"/>
        </w:rPr>
        <w:t xml:space="preserve">hough extreme heat is </w:t>
      </w:r>
      <w:r w:rsidR="00337ABD" w:rsidRPr="00D94588">
        <w:rPr>
          <w:szCs w:val="24"/>
        </w:rPr>
        <w:t xml:space="preserve">not yet recognized as a natural disaster under the Sendai Framework for Disaster Risk Reduction </w:t>
      </w:r>
      <w:r w:rsidR="00337ABD" w:rsidRPr="00D94588">
        <w:rPr>
          <w:szCs w:val="24"/>
        </w:rPr>
        <w:fldChar w:fldCharType="begin" w:fldLock="1"/>
      </w:r>
      <w:r w:rsidR="00337ABD" w:rsidRPr="00D94588">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337ABD" w:rsidRPr="00D94588">
        <w:rPr>
          <w:szCs w:val="24"/>
        </w:rPr>
        <w:fldChar w:fldCharType="separate"/>
      </w:r>
      <w:r w:rsidR="00337ABD" w:rsidRPr="00D94588">
        <w:rPr>
          <w:noProof/>
          <w:szCs w:val="24"/>
        </w:rPr>
        <w:t>(UNISDR, 2015)</w:t>
      </w:r>
      <w:r w:rsidR="00337ABD" w:rsidRPr="00D94588">
        <w:rPr>
          <w:szCs w:val="24"/>
        </w:rPr>
        <w:fldChar w:fldCharType="end"/>
      </w:r>
      <w:r w:rsidR="008911E2">
        <w:rPr>
          <w:szCs w:val="24"/>
        </w:rPr>
        <w:t>,</w:t>
      </w:r>
      <w:r w:rsidR="00337ABD">
        <w:rPr>
          <w:szCs w:val="24"/>
        </w:rPr>
        <w:t xml:space="preserve"> </w:t>
      </w:r>
      <w:r w:rsidR="00651B40">
        <w:rPr>
          <w:szCs w:val="24"/>
        </w:rPr>
        <w:t>t</w:t>
      </w:r>
      <w:r w:rsidR="00337ABD">
        <w:rPr>
          <w:szCs w:val="24"/>
        </w:rPr>
        <w:t xml:space="preserve">here is a rapidly growing awareness with </w:t>
      </w:r>
      <w:r w:rsidR="00AF605E">
        <w:rPr>
          <w:color w:val="000000" w:themeColor="text1"/>
          <w:szCs w:val="24"/>
        </w:rPr>
        <w:t>t</w:t>
      </w:r>
      <w:r w:rsidR="00072CAE">
        <w:rPr>
          <w:szCs w:val="24"/>
        </w:rPr>
        <w:t xml:space="preserve">he public </w:t>
      </w:r>
      <w:r w:rsidR="00337ABD">
        <w:rPr>
          <w:szCs w:val="24"/>
        </w:rPr>
        <w:t>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are potentially</w:t>
      </w:r>
      <w:r w:rsidR="00DF6926">
        <w:rPr>
          <w:color w:val="000000" w:themeColor="text1"/>
          <w:szCs w:val="24"/>
        </w:rPr>
        <w:t xml:space="preserve"> dangerous </w:t>
      </w:r>
      <w:r w:rsidR="00DF6926">
        <w:rPr>
          <w:color w:val="000000" w:themeColor="text1"/>
          <w:szCs w:val="24"/>
        </w:rPr>
        <w:fldChar w:fldCharType="begin" w:fldLock="1"/>
      </w:r>
      <w:r w:rsidR="00E03E8F">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DF6926">
        <w:rPr>
          <w:color w:val="000000" w:themeColor="text1"/>
          <w:szCs w:val="24"/>
        </w:rPr>
        <w:fldChar w:fldCharType="separate"/>
      </w:r>
      <w:r w:rsidR="00DF6926" w:rsidRPr="00E227E6">
        <w:rPr>
          <w:noProof/>
          <w:color w:val="000000" w:themeColor="text1"/>
          <w:szCs w:val="24"/>
        </w:rPr>
        <w:t>(Kovats &amp; Hajat, 2008)</w:t>
      </w:r>
      <w:r w:rsidR="00DF6926">
        <w:rPr>
          <w:color w:val="000000" w:themeColor="text1"/>
          <w:szCs w:val="24"/>
        </w:rPr>
        <w:fldChar w:fldCharType="end"/>
      </w:r>
      <w:r w:rsidR="00DF6926">
        <w:rPr>
          <w:color w:val="000000" w:themeColor="text1"/>
          <w:szCs w:val="24"/>
        </w:rPr>
        <w:t>.</w:t>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F11926">
        <w:rPr>
          <w:color w:val="000000" w:themeColor="text1"/>
          <w:szCs w:val="24"/>
        </w:rPr>
        <w:t xml:space="preserve"> </w:t>
      </w:r>
      <w:r w:rsidR="009A4D2D">
        <w:rPr>
          <w:color w:val="000000" w:themeColor="text1"/>
          <w:szCs w:val="24"/>
        </w:rPr>
        <w:fldChar w:fldCharType="begin" w:fldLock="1"/>
      </w:r>
      <w:r w:rsidR="004A0635">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Europe","type":"article-journal","volume":"349"},"uris":["http://www.mendeley.com/documents/?uuid=f6889fcb-209f-4436-baf2-9ae3768f2d65"]}],"mendeley":{"formattedCitation":"(The Eurowinter Group, 1997)","plainTextFormattedCitation":"(The Eurowinter Group, 1997)","previouslyFormattedCitation":"(The Eurowinter Group, 1997)"},"properties":{"noteIndex":0},"schema":"https://github.com/citation-style-language/schema/raw/master/csl-citation.json"}</w:instrText>
      </w:r>
      <w:r w:rsidR="009A4D2D">
        <w:rPr>
          <w:color w:val="000000" w:themeColor="text1"/>
          <w:szCs w:val="24"/>
        </w:rPr>
        <w:fldChar w:fldCharType="separate"/>
      </w:r>
      <w:r w:rsidR="009A4D2D" w:rsidRPr="009A4D2D">
        <w:rPr>
          <w:noProof/>
          <w:color w:val="000000" w:themeColor="text1"/>
          <w:szCs w:val="24"/>
        </w:rPr>
        <w:t>(The Eurowinter Group, 1997)</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 xml:space="preserve">stronger and more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5276F5">
        <w:rPr>
          <w:rFonts w:cs="Calibri"/>
          <w:szCs w:val="24"/>
        </w:rPr>
        <w:t xml:space="preserve"> </w:t>
      </w:r>
      <w:r w:rsidR="00E65FE4">
        <w:rPr>
          <w:rFonts w:cs="Calibri"/>
          <w:szCs w:val="24"/>
        </w:rPr>
        <w:fldChar w:fldCharType="begin" w:fldLock="1"/>
      </w:r>
      <w:r w:rsidR="005A60EE">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Report","type":"book"},"uris":["http://www.mendeley.com/documents/?uuid=17cf5203-8818-4d61-96d9-3addeae2f64e"]}],"mendeley":{"formattedCitation":"(IPCC, 2014b)","plainTextFormattedCitation":"(IPCC, 2014b)","previouslyFormattedCitation":"(IPCC, 2014b)"},"properties":{"noteIndex":0},"schema":"https://github.com/citation-style-language/schema/raw/master/csl-citation.json"}</w:instrText>
      </w:r>
      <w:r w:rsidR="00E65FE4">
        <w:rPr>
          <w:rFonts w:cs="Calibri"/>
          <w:szCs w:val="24"/>
        </w:rPr>
        <w:fldChar w:fldCharType="separate"/>
      </w:r>
      <w:r w:rsidR="00E65FE4" w:rsidRPr="00E65FE4">
        <w:rPr>
          <w:rFonts w:cs="Calibri"/>
          <w:noProof/>
          <w:szCs w:val="24"/>
        </w:rPr>
        <w:t>(IPCC, 2014b)</w:t>
      </w:r>
      <w:r w:rsidR="00E65FE4">
        <w:rPr>
          <w:rFonts w:cs="Calibri"/>
          <w:szCs w:val="24"/>
        </w:rPr>
        <w:fldChar w:fldCharType="end"/>
      </w:r>
      <w:r w:rsidR="00F03415">
        <w:rPr>
          <w:color w:val="000000" w:themeColor="text1"/>
          <w:szCs w:val="24"/>
        </w:rPr>
        <w:t>.</w:t>
      </w:r>
    </w:p>
    <w:p w14:paraId="04243EFA" w14:textId="1764D526" w:rsidR="00126338" w:rsidRPr="002C083C" w:rsidRDefault="001C274A" w:rsidP="003F72AF">
      <w:pPr>
        <w:ind w:firstLine="720"/>
        <w:rPr>
          <w:color w:val="000000" w:themeColor="text1"/>
          <w:szCs w:val="24"/>
        </w:rPr>
      </w:pPr>
      <w:r>
        <w:rPr>
          <w:color w:val="000000" w:themeColor="text1"/>
          <w:szCs w:val="24"/>
        </w:rPr>
        <w:t xml:space="preserve">The effect of elevated temperature on </w:t>
      </w:r>
      <w:r w:rsidR="006E1AD9">
        <w:rPr>
          <w:color w:val="000000" w:themeColor="text1"/>
          <w:szCs w:val="24"/>
        </w:rPr>
        <w:t>humans is both physiological</w:t>
      </w:r>
      <w:r w:rsidR="00E36F88">
        <w:rPr>
          <w:color w:val="000000" w:themeColor="text1"/>
          <w:szCs w:val="24"/>
        </w:rPr>
        <w:t xml:space="preserve">, </w:t>
      </w:r>
      <w:r w:rsidR="006E1AD9">
        <w:rPr>
          <w:color w:val="000000" w:themeColor="text1"/>
          <w:szCs w:val="24"/>
        </w:rPr>
        <w:t>behavioural</w:t>
      </w:r>
      <w:r w:rsidR="00E36F88">
        <w:rPr>
          <w:color w:val="000000" w:themeColor="text1"/>
          <w:szCs w:val="24"/>
        </w:rPr>
        <w:t xml:space="preserve"> and cultural</w:t>
      </w:r>
      <w:r w:rsidR="007F30B3">
        <w:rPr>
          <w:color w:val="000000" w:themeColor="text1"/>
          <w:szCs w:val="24"/>
        </w:rPr>
        <w:t>.</w:t>
      </w:r>
      <w:r w:rsidR="00016E6B">
        <w:rPr>
          <w:color w:val="000000" w:themeColor="text1"/>
          <w:szCs w:val="24"/>
        </w:rPr>
        <w:t xml:space="preserve"> </w:t>
      </w:r>
      <w:r w:rsidR="007D4C58" w:rsidRPr="00A60C11">
        <w:rPr>
          <w:szCs w:val="24"/>
        </w:rPr>
        <w:t>When</w:t>
      </w:r>
      <w:r w:rsidR="008E7EAC">
        <w:rPr>
          <w:szCs w:val="24"/>
        </w:rPr>
        <w:t xml:space="preserve"> </w:t>
      </w:r>
      <w:r w:rsidR="00CC20C1">
        <w:rPr>
          <w:szCs w:val="24"/>
        </w:rPr>
        <w:t>elevated</w:t>
      </w:r>
      <w:r w:rsidR="0085767B">
        <w:rPr>
          <w:szCs w:val="24"/>
        </w:rPr>
        <w:t xml:space="preserve"> </w:t>
      </w:r>
      <w:r w:rsidR="007D4C58" w:rsidRPr="00A60C11">
        <w:rPr>
          <w:szCs w:val="24"/>
        </w:rPr>
        <w:t>temperatures</w:t>
      </w:r>
      <w:r w:rsidR="00CC20C1">
        <w:rPr>
          <w:szCs w:val="24"/>
        </w:rPr>
        <w:t xml:space="preserve"> occur</w:t>
      </w:r>
      <w:r w:rsidR="007D4C58" w:rsidRPr="00A60C11">
        <w:rPr>
          <w:szCs w:val="24"/>
        </w:rPr>
        <w:t>, the human body experiences heat stress</w:t>
      </w:r>
      <w:r w:rsidR="00911ADF">
        <w:rPr>
          <w:szCs w:val="24"/>
        </w:rPr>
        <w:t xml:space="preserve">. Healthy adults </w:t>
      </w:r>
      <w:r w:rsidR="00BA7812">
        <w:rPr>
          <w:szCs w:val="24"/>
        </w:rPr>
        <w:t>ha</w:t>
      </w:r>
      <w:r w:rsidR="00911ADF">
        <w:rPr>
          <w:szCs w:val="24"/>
        </w:rPr>
        <w:t>ve</w:t>
      </w:r>
      <w:r w:rsidR="00BA7812">
        <w:rPr>
          <w:szCs w:val="24"/>
        </w:rPr>
        <w:t xml:space="preserve"> </w:t>
      </w:r>
      <w:r w:rsidR="00911ADF">
        <w:rPr>
          <w:szCs w:val="24"/>
        </w:rPr>
        <w:t>efficient</w:t>
      </w:r>
      <w:r w:rsidR="00BA7812">
        <w:rPr>
          <w:szCs w:val="24"/>
        </w:rPr>
        <w:t xml:space="preserve"> corrective mechanisms to </w:t>
      </w:r>
      <w:r w:rsidR="00911ADF">
        <w:rPr>
          <w:szCs w:val="24"/>
        </w:rPr>
        <w:t>regulate body temperature</w:t>
      </w:r>
      <w:r w:rsidR="005A60EE">
        <w:rPr>
          <w:szCs w:val="24"/>
        </w:rPr>
        <w:t xml:space="preserve"> by vasodilation and </w:t>
      </w:r>
      <w:r w:rsidR="005A60EE">
        <w:rPr>
          <w:szCs w:val="24"/>
        </w:rPr>
        <w:lastRenderedPageBreak/>
        <w:t xml:space="preserve">perspiration </w:t>
      </w:r>
      <w:r w:rsidR="005A60EE">
        <w:rPr>
          <w:szCs w:val="24"/>
        </w:rPr>
        <w:fldChar w:fldCharType="begin" w:fldLock="1"/>
      </w:r>
      <w:r w:rsidR="00AB1419">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5A60EE">
        <w:rPr>
          <w:szCs w:val="24"/>
        </w:rPr>
        <w:fldChar w:fldCharType="separate"/>
      </w:r>
      <w:r w:rsidR="005A60EE" w:rsidRPr="005A60EE">
        <w:rPr>
          <w:noProof/>
          <w:szCs w:val="24"/>
        </w:rPr>
        <w:t>(Kovats &amp; Hajat, 2008)</w:t>
      </w:r>
      <w:r w:rsidR="005A60EE">
        <w:rPr>
          <w:szCs w:val="24"/>
        </w:rPr>
        <w:fldChar w:fldCharType="end"/>
      </w:r>
      <w:r w:rsidR="007D4C58" w:rsidRPr="00A60C11">
        <w:rPr>
          <w:szCs w:val="24"/>
        </w:rPr>
        <w:t xml:space="preserve">. </w:t>
      </w:r>
      <w:r w:rsidR="00C3100A" w:rsidRPr="00A60C11">
        <w:rPr>
          <w:szCs w:val="24"/>
        </w:rPr>
        <w:t xml:space="preserve">When heat stress becomes extreme, </w:t>
      </w:r>
      <w:r w:rsidR="00144A77">
        <w:rPr>
          <w:szCs w:val="24"/>
        </w:rPr>
        <w:t xml:space="preserve">this can result in </w:t>
      </w:r>
      <w:r w:rsidR="00C3100A" w:rsidRPr="00A60C11">
        <w:rPr>
          <w:szCs w:val="24"/>
        </w:rPr>
        <w:t xml:space="preserve">potentially deadly medical conditions </w:t>
      </w:r>
      <w:r w:rsidR="00A7267F">
        <w:rPr>
          <w:szCs w:val="24"/>
        </w:rPr>
        <w:t xml:space="preserve">such as heat stroke, heat exhaustion, heat syncope and heat cramps can </w:t>
      </w:r>
      <w:r w:rsidR="00C3100A" w:rsidRPr="00A60C11">
        <w:rPr>
          <w:szCs w:val="24"/>
        </w:rPr>
        <w:t>arise</w:t>
      </w:r>
      <w:r w:rsidR="00AB1419">
        <w:rPr>
          <w:szCs w:val="24"/>
        </w:rPr>
        <w:t xml:space="preserve"> </w:t>
      </w:r>
      <w:r w:rsidR="00AB1419">
        <w:rPr>
          <w:szCs w:val="24"/>
        </w:rPr>
        <w:fldChar w:fldCharType="begin" w:fldLock="1"/>
      </w:r>
      <w:r w:rsidR="002D3397">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disasters","id":"ITEM-1","issued":{"date-parts":[["1997"]]},"title":"Heat Waves and Hot Environments","type":"article-journal"},"uris":["http://www.mendeley.com/documents/?uuid=2426471c-f6c2-47fa-84a5-ff9983ed4241"]}],"mendeley":{"formattedCitation":"(Kilbourne, 1997)","plainTextFormattedCitation":"(Kilbourne, 1997)","previouslyFormattedCitation":"(Kilbourne, 1997)"},"properties":{"noteIndex":0},"schema":"https://github.com/citation-style-language/schema/raw/master/csl-citation.json"}</w:instrText>
      </w:r>
      <w:r w:rsidR="00AB1419">
        <w:rPr>
          <w:szCs w:val="24"/>
        </w:rPr>
        <w:fldChar w:fldCharType="separate"/>
      </w:r>
      <w:r w:rsidR="00AB1419" w:rsidRPr="00AB1419">
        <w:rPr>
          <w:noProof/>
          <w:szCs w:val="24"/>
        </w:rPr>
        <w:t>(Kilbourne, 1997)</w:t>
      </w:r>
      <w:r w:rsidR="00AB1419">
        <w:rPr>
          <w:szCs w:val="24"/>
        </w:rPr>
        <w:fldChar w:fldCharType="end"/>
      </w:r>
      <w:r w:rsidR="00C3100A" w:rsidRPr="00A60C11">
        <w:rPr>
          <w:szCs w:val="24"/>
        </w:rPr>
        <w:t xml:space="preserve">. </w:t>
      </w:r>
      <w:r w:rsidR="00B3438D">
        <w:rPr>
          <w:szCs w:val="24"/>
        </w:rPr>
        <w:t>In the most acute cases, h</w:t>
      </w:r>
      <w:r w:rsidR="00596569">
        <w:rPr>
          <w:szCs w:val="24"/>
        </w:rPr>
        <w:t xml:space="preserve">eat stress can lead to </w:t>
      </w:r>
      <w:r w:rsidR="00C3100A" w:rsidRPr="00A60C11">
        <w:rPr>
          <w:szCs w:val="24"/>
        </w:rPr>
        <w:t xml:space="preserve">multiple organ failure </w:t>
      </w:r>
      <w:r w:rsidR="005E4F41">
        <w:rPr>
          <w:szCs w:val="24"/>
        </w:rPr>
        <w:t>and</w:t>
      </w:r>
      <w:r w:rsidR="00B3438D">
        <w:rPr>
          <w:szCs w:val="24"/>
        </w:rPr>
        <w:t xml:space="preserve"> rapid death </w:t>
      </w:r>
      <w:r w:rsidR="00C3100A" w:rsidRPr="00A60C11">
        <w:rPr>
          <w:szCs w:val="24"/>
        </w:rPr>
        <w:fldChar w:fldCharType="begin" w:fldLock="1"/>
      </w:r>
      <w:r w:rsidR="00C3100A">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C3100A" w:rsidRPr="00A60C11">
        <w:rPr>
          <w:szCs w:val="24"/>
        </w:rPr>
        <w:fldChar w:fldCharType="separate"/>
      </w:r>
      <w:r w:rsidR="00C3100A" w:rsidRPr="006B7E8C">
        <w:rPr>
          <w:noProof/>
          <w:szCs w:val="24"/>
        </w:rPr>
        <w:t>(Kovats &amp; Hajat, 2008)</w:t>
      </w:r>
      <w:r w:rsidR="00C3100A" w:rsidRPr="00A60C11">
        <w:rPr>
          <w:szCs w:val="24"/>
        </w:rPr>
        <w:fldChar w:fldCharType="end"/>
      </w:r>
      <w:r w:rsidR="00C3100A">
        <w:rPr>
          <w:szCs w:val="24"/>
        </w:rPr>
        <w:t>.</w:t>
      </w:r>
      <w:r w:rsidR="00075402">
        <w:rPr>
          <w:szCs w:val="24"/>
        </w:rPr>
        <w:t xml:space="preserve"> </w:t>
      </w:r>
      <w:r w:rsidR="00095503">
        <w:rPr>
          <w:szCs w:val="24"/>
        </w:rPr>
        <w:t xml:space="preserve">Direct </w:t>
      </w:r>
      <w:r w:rsidR="006905D6">
        <w:rPr>
          <w:szCs w:val="24"/>
        </w:rPr>
        <w:t xml:space="preserve">causes of death from extreme heat stress </w:t>
      </w:r>
      <w:r w:rsidR="00FF4130">
        <w:rPr>
          <w:szCs w:val="24"/>
        </w:rPr>
        <w:t xml:space="preserve">only make up a small proportion of deaths </w:t>
      </w:r>
      <w:r w:rsidR="00033175">
        <w:rPr>
          <w:szCs w:val="24"/>
        </w:rPr>
        <w:t xml:space="preserve">attributable to elevated </w:t>
      </w:r>
      <w:r w:rsidR="000721B3">
        <w:rPr>
          <w:szCs w:val="24"/>
        </w:rPr>
        <w:t>temperatures</w:t>
      </w:r>
      <w:r w:rsidR="002D3397">
        <w:rPr>
          <w:szCs w:val="24"/>
        </w:rPr>
        <w:t xml:space="preserve"> </w:t>
      </w:r>
      <w:r w:rsidR="002D3397">
        <w:rPr>
          <w:szCs w:val="24"/>
        </w:rPr>
        <w:fldChar w:fldCharType="begin" w:fldLock="1"/>
      </w:r>
      <w:r w:rsidR="002D3397">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2015)"},"properties":{"noteIndex":0},"schema":"https://github.com/citation-style-language/schema/raw/master/csl-citation.json"}</w:instrText>
      </w:r>
      <w:r w:rsidR="002D3397">
        <w:rPr>
          <w:szCs w:val="24"/>
        </w:rPr>
        <w:fldChar w:fldCharType="separate"/>
      </w:r>
      <w:r w:rsidR="002D3397" w:rsidRPr="002D3397">
        <w:rPr>
          <w:noProof/>
          <w:szCs w:val="24"/>
        </w:rPr>
        <w:t>(Antonio Gasparrini et al., 2015)</w:t>
      </w:r>
      <w:r w:rsidR="002D3397">
        <w:rPr>
          <w:szCs w:val="24"/>
        </w:rPr>
        <w:fldChar w:fldCharType="end"/>
      </w:r>
      <w:r w:rsidR="000721B3">
        <w:rPr>
          <w:szCs w:val="24"/>
        </w:rPr>
        <w:t>.</w:t>
      </w:r>
      <w:r w:rsidR="00003680">
        <w:rPr>
          <w:szCs w:val="24"/>
        </w:rPr>
        <w:t xml:space="preserve"> The most </w:t>
      </w:r>
      <w:r w:rsidR="00701E61">
        <w:rPr>
          <w:szCs w:val="24"/>
        </w:rPr>
        <w:t>temperature-related deaths are instead attributable to</w:t>
      </w:r>
      <w:r w:rsidR="00DC6A68">
        <w:rPr>
          <w:szCs w:val="24"/>
        </w:rPr>
        <w:t xml:space="preserve"> </w:t>
      </w:r>
      <w:r w:rsidR="00C5316D">
        <w:rPr>
          <w:szCs w:val="24"/>
        </w:rPr>
        <w:t>m</w:t>
      </w:r>
      <w:r w:rsidR="00075402" w:rsidRPr="00075402">
        <w:rPr>
          <w:szCs w:val="24"/>
        </w:rPr>
        <w:t xml:space="preserve">ild </w:t>
      </w:r>
      <w:r w:rsidR="00C5316D">
        <w:rPr>
          <w:szCs w:val="24"/>
        </w:rPr>
        <w:t>deviations from acclimatised temperatures</w:t>
      </w:r>
      <w:r w:rsidR="007B0629">
        <w:rPr>
          <w:szCs w:val="24"/>
        </w:rPr>
        <w:t xml:space="preserve"> </w:t>
      </w:r>
      <w:r w:rsidR="00075402" w:rsidRPr="00075402">
        <w:rPr>
          <w:szCs w:val="24"/>
        </w:rPr>
        <w:fldChar w:fldCharType="begin" w:fldLock="1"/>
      </w:r>
      <w:r w:rsidR="00075402" w:rsidRPr="00075402">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075402" w:rsidRPr="00075402">
        <w:rPr>
          <w:szCs w:val="24"/>
        </w:rPr>
        <w:fldChar w:fldCharType="separate"/>
      </w:r>
      <w:r w:rsidR="00075402" w:rsidRPr="00075402">
        <w:rPr>
          <w:noProof/>
          <w:szCs w:val="24"/>
        </w:rPr>
        <w:t>(Basu, 2009; Antonio Gasparrini et al., 2015; Ye et al., 2012)</w:t>
      </w:r>
      <w:r w:rsidR="00075402" w:rsidRPr="00075402">
        <w:rPr>
          <w:szCs w:val="24"/>
        </w:rPr>
        <w:fldChar w:fldCharType="end"/>
      </w:r>
      <w:r w:rsidR="00075402" w:rsidRPr="00075402">
        <w:rPr>
          <w:szCs w:val="24"/>
        </w:rPr>
        <w:t xml:space="preserve">. </w:t>
      </w:r>
    </w:p>
    <w:p w14:paraId="7772D27D" w14:textId="34EA978C" w:rsidR="007F4729" w:rsidRPr="00294F37" w:rsidRDefault="00A71C62" w:rsidP="00294F37">
      <w:pPr>
        <w:ind w:firstLine="720"/>
        <w:rPr>
          <w:color w:val="000000" w:themeColor="text1"/>
          <w:szCs w:val="24"/>
        </w:rPr>
      </w:pPr>
      <w:r w:rsidRPr="00A60C11">
        <w:rPr>
          <w:color w:val="000000" w:themeColor="text1"/>
          <w:szCs w:val="24"/>
        </w:rPr>
        <w:t>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group and sex in the </w:t>
      </w:r>
      <w:r w:rsidR="00B453B1">
        <w:rPr>
          <w:color w:val="000000" w:themeColor="text1"/>
          <w:szCs w:val="24"/>
        </w:rPr>
        <w:t>United States</w:t>
      </w:r>
      <w:r w:rsidRPr="00A60C11">
        <w:rPr>
          <w:color w:val="000000" w:themeColor="text1"/>
          <w:szCs w:val="24"/>
        </w:rPr>
        <w:t>. As such, it is important to build an analysis distinguishing by these features of a population.</w:t>
      </w:r>
      <w:r w:rsidR="00CA74E1">
        <w:rPr>
          <w:color w:val="000000" w:themeColor="text1"/>
          <w:szCs w:val="24"/>
        </w:rPr>
        <w:t xml:space="preserve"> </w:t>
      </w:r>
      <w:r w:rsidR="00294F37"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w:t>
      </w:r>
      <w:r w:rsidR="00294F37">
        <w:rPr>
          <w:szCs w:val="24"/>
        </w:rPr>
        <w:t>United States</w:t>
      </w:r>
      <w:r w:rsidR="00294F37" w:rsidRPr="00A60C11">
        <w:rPr>
          <w:szCs w:val="24"/>
        </w:rPr>
        <w:t xml:space="preserve"> in different cities have looked at similar stratification of a population. These previous studies have also mostly examined single or multi-day episodes. As such, a large part of the gap in the research here is to understand how vulnerability will vary between age groups and sexes for a population by cause of death.</w:t>
      </w:r>
    </w:p>
    <w:p w14:paraId="0B020F82" w14:textId="6E66C624" w:rsidR="007F4729" w:rsidRPr="00A60C11" w:rsidRDefault="007F4729" w:rsidP="007F4729">
      <w:pPr>
        <w:rPr>
          <w:szCs w:val="24"/>
        </w:rPr>
      </w:pPr>
      <w:r w:rsidRPr="00A60C11">
        <w:rPr>
          <w:szCs w:val="24"/>
        </w:rPr>
        <w:lastRenderedPageBreak/>
        <w:tab/>
        <w:t>Cardiorespiratory deaths are the most studied group of deaths in relation to elevated temperature. Studies show clear links between cardiorespiratory deaths and temperature in the United Kingdom</w:t>
      </w:r>
      <w:r>
        <w:rPr>
          <w:szCs w:val="24"/>
        </w:rPr>
        <w:t xml:space="preserve"> </w:t>
      </w:r>
      <w:r w:rsidRPr="00A60C11">
        <w:rPr>
          <w:szCs w:val="24"/>
        </w:rPr>
        <w:fldChar w:fldCharType="begin" w:fldLock="1"/>
      </w:r>
      <w:r>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Pr="00A60C11">
        <w:rPr>
          <w:szCs w:val="24"/>
        </w:rPr>
        <w:fldChar w:fldCharType="separate"/>
      </w:r>
      <w:r w:rsidRPr="00273CDD">
        <w:rPr>
          <w:noProof/>
          <w:szCs w:val="24"/>
        </w:rPr>
        <w:t>(Bennett et al., 2014)</w:t>
      </w:r>
      <w:r w:rsidRPr="00A60C11">
        <w:rPr>
          <w:szCs w:val="24"/>
        </w:rPr>
        <w:fldChar w:fldCharType="end"/>
      </w:r>
      <w:r>
        <w:rPr>
          <w:szCs w:val="24"/>
        </w:rPr>
        <w:t>,</w:t>
      </w:r>
      <w:r w:rsidRPr="00A60C11">
        <w:rPr>
          <w:szCs w:val="24"/>
        </w:rPr>
        <w:t xml:space="preserve"> in parts of the </w:t>
      </w:r>
      <w:r w:rsidR="00ED4D9C">
        <w:rPr>
          <w:szCs w:val="24"/>
        </w:rPr>
        <w:t>United States</w:t>
      </w:r>
      <w:r w:rsidRPr="00A60C11">
        <w:rPr>
          <w:szCs w:val="24"/>
        </w:rPr>
        <w:t>, and in other countries. The link between cancer mortality and temperature is extremely limited</w:t>
      </w:r>
      <w:r>
        <w:rPr>
          <w:szCs w:val="24"/>
        </w:rPr>
        <w:t xml:space="preserve"> </w:t>
      </w:r>
      <w:r w:rsidRPr="00A60C11">
        <w:rPr>
          <w:szCs w:val="24"/>
        </w:rPr>
        <w:fldChar w:fldCharType="begin" w:fldLock="1"/>
      </w:r>
      <w:r w:rsidR="00892E9A">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Pr="00A60C11">
        <w:rPr>
          <w:szCs w:val="24"/>
        </w:rPr>
        <w:fldChar w:fldCharType="separate"/>
      </w:r>
      <w:r w:rsidRPr="006B7E8C">
        <w:rPr>
          <w:noProof/>
          <w:szCs w:val="24"/>
        </w:rPr>
        <w:t>(Newell &amp; Waggoner, 1970)</w:t>
      </w:r>
      <w:r w:rsidRPr="00A60C11">
        <w:rPr>
          <w:szCs w:val="24"/>
        </w:rPr>
        <w:fldChar w:fldCharType="end"/>
      </w:r>
      <w:r>
        <w:rPr>
          <w:szCs w:val="24"/>
        </w:rPr>
        <w:t>.</w:t>
      </w:r>
      <w:r w:rsidRPr="00A60C11">
        <w:rPr>
          <w:szCs w:val="24"/>
        </w:rPr>
        <w:t xml:space="preserve"> There has been up to now no systematic evaluation of the impact of temperature on injuries, though there have been limited studies on certain conditions, such as intentional self-harm</w:t>
      </w:r>
      <w:r>
        <w:rPr>
          <w:szCs w:val="24"/>
        </w:rPr>
        <w:t xml:space="preserve"> </w:t>
      </w:r>
      <w:r w:rsidRPr="00A60C11">
        <w:rPr>
          <w:szCs w:val="24"/>
        </w:rPr>
        <w:fldChar w:fldCharType="begin" w:fldLock="1"/>
      </w:r>
      <w:r>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Pr="00A60C11">
        <w:rPr>
          <w:szCs w:val="24"/>
        </w:rPr>
        <w:fldChar w:fldCharType="separate"/>
      </w:r>
      <w:r w:rsidRPr="006B7E8C">
        <w:rPr>
          <w:noProof/>
          <w:szCs w:val="24"/>
        </w:rPr>
        <w:t>(Burke et al., 2018)</w:t>
      </w:r>
      <w:r w:rsidRPr="00A60C11">
        <w:rPr>
          <w:szCs w:val="24"/>
        </w:rPr>
        <w:fldChar w:fldCharType="end"/>
      </w:r>
      <w:r>
        <w:rPr>
          <w:szCs w:val="24"/>
        </w:rPr>
        <w:t>,</w:t>
      </w:r>
      <w:r w:rsidRPr="00A60C11">
        <w:rPr>
          <w:szCs w:val="24"/>
        </w:rPr>
        <w:t xml:space="preserve"> and mortality arising from conflict. Other broad causes of death are of disparate pathways, which have no known consistent pathway.</w:t>
      </w:r>
    </w:p>
    <w:p w14:paraId="691998B5" w14:textId="77777777" w:rsidR="007F4729" w:rsidRPr="00A60C11" w:rsidRDefault="007F4729" w:rsidP="007F4729">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16045796" w14:textId="77777777" w:rsidR="007F4729" w:rsidRDefault="007F4729" w:rsidP="007F4729">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 impact of extreme heat on mortality from natural causes has also attracted interest</w:t>
      </w:r>
      <w:r>
        <w:rPr>
          <w:color w:val="000000" w:themeColor="text1"/>
          <w:szCs w:val="24"/>
        </w:rPr>
        <w:t xml:space="preserve"> </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w:t>
      </w:r>
      <w:r w:rsidRPr="00A60C11">
        <w:rPr>
          <w:color w:val="000000" w:themeColor="text1"/>
          <w:szCs w:val="24"/>
        </w:rPr>
        <w:lastRenderedPageBreak/>
        <w:t>behavioural and psychological pathways, is less well-researched and often neglected in analysis.</w:t>
      </w:r>
    </w:p>
    <w:p w14:paraId="14A771D9" w14:textId="342CD9EF" w:rsidR="007F4729" w:rsidRPr="004C7DC5" w:rsidRDefault="007F4729" w:rsidP="004C7DC5">
      <w:pPr>
        <w:rPr>
          <w:szCs w:val="24"/>
        </w:rPr>
      </w:pPr>
      <w:r>
        <w:rPr>
          <w:szCs w:val="24"/>
        </w:rPr>
        <w:tab/>
      </w:r>
      <w:r w:rsidRPr="00A60C11">
        <w:rPr>
          <w:szCs w:val="24"/>
        </w:rPr>
        <w:t>Other studies have looked at how other environmental measures as covariates may act as confounders to the relationship between mortality and temperature. There is however 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43CC08C9" w14:textId="1251D292" w:rsidR="00016E6B" w:rsidRDefault="00DD457C" w:rsidP="00E03E8F">
      <w:pPr>
        <w:ind w:firstLine="720"/>
      </w:pPr>
      <w:r>
        <w:rPr>
          <w:szCs w:val="24"/>
        </w:rPr>
        <w:t>The relationship between deviations of temperature from</w:t>
      </w:r>
    </w:p>
    <w:p w14:paraId="300FDE1A" w14:textId="77777777" w:rsidR="00016E6B" w:rsidRPr="004163C4" w:rsidRDefault="00016E6B" w:rsidP="00016E6B">
      <w:pPr>
        <w:spacing w:after="0"/>
        <w:ind w:firstLine="720"/>
        <w:rPr>
          <w:szCs w:val="24"/>
        </w:rPr>
      </w:pPr>
      <w:r>
        <w:rPr>
          <w:color w:val="000000" w:themeColor="text1"/>
          <w:szCs w:val="24"/>
        </w:rPr>
        <w:t xml:space="preserve">A large body of modern scientific work focuses on the association of daily mortality and morbidity with periods of extreme heat lasting up to a few days. Armstrong summarises various methodologies of fitting temperature-mortality relationships with linear, polynomial and cubic spline curves with </w:t>
      </w:r>
      <w:r>
        <w:rPr>
          <w:szCs w:val="24"/>
        </w:rPr>
        <w:t xml:space="preserve">have been several methodologies developed to quantify the association.  [[[Case crossover, conditional Poisson models, more Ben Armstrong models, look at J Bennett’s Nature CC paper]]] Gasparrini and Armstrong have also produced research which questions the added effect of a heat wave in comparison to a series of individual elevated temperature days </w:t>
      </w:r>
      <w:r>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Pr>
          <w:szCs w:val="24"/>
        </w:rPr>
        <w:fldChar w:fldCharType="separate"/>
      </w:r>
      <w:r w:rsidRPr="00892E9A">
        <w:rPr>
          <w:noProof/>
          <w:szCs w:val="24"/>
        </w:rPr>
        <w:t>(A Gasparrini &amp; Armstrong, 2011)</w:t>
      </w:r>
      <w:r>
        <w:rPr>
          <w:szCs w:val="24"/>
        </w:rPr>
        <w:fldChar w:fldCharType="end"/>
      </w:r>
      <w:r>
        <w:rPr>
          <w:szCs w:val="24"/>
        </w:rPr>
        <w:t>.</w:t>
      </w:r>
    </w:p>
    <w:p w14:paraId="2D304690" w14:textId="77777777" w:rsidR="00016E6B" w:rsidRPr="00E03E8F" w:rsidRDefault="00016E6B" w:rsidP="00E03E8F">
      <w:pPr>
        <w:ind w:firstLine="720"/>
        <w:rPr>
          <w:strike/>
          <w:color w:val="000000" w:themeColor="text1"/>
          <w:szCs w:val="24"/>
        </w:rPr>
      </w:pPr>
    </w:p>
    <w:p w14:paraId="3A44758C" w14:textId="0BDC9047" w:rsidR="00863F15" w:rsidRDefault="00BA5A74" w:rsidP="00863F15">
      <w:pPr>
        <w:pStyle w:val="Heading2"/>
      </w:pPr>
      <w:bookmarkStart w:id="5" w:name="_Toc7079050"/>
      <w:bookmarkStart w:id="6" w:name="_Toc8293428"/>
      <w:r>
        <w:t xml:space="preserve">Modelling </w:t>
      </w:r>
      <w:r w:rsidR="00BB36BA">
        <w:t>methodology</w:t>
      </w:r>
      <w:bookmarkEnd w:id="5"/>
      <w:bookmarkEnd w:id="6"/>
    </w:p>
    <w:p w14:paraId="24663658" w14:textId="77777777" w:rsidR="000B6A17" w:rsidRDefault="000B6A17" w:rsidP="00F21E10">
      <w:pPr>
        <w:rPr>
          <w:color w:val="000000" w:themeColor="text1"/>
          <w:szCs w:val="24"/>
        </w:rPr>
      </w:pPr>
      <w:bookmarkStart w:id="7" w:name="_GoBack"/>
      <w:bookmarkEnd w:id="7"/>
    </w:p>
    <w:p w14:paraId="13F54120" w14:textId="526C6B89" w:rsidR="00F21E10" w:rsidRPr="00A60C11" w:rsidRDefault="00F21E10" w:rsidP="00F21E10">
      <w:pPr>
        <w:rPr>
          <w:color w:val="000000" w:themeColor="text1"/>
          <w:szCs w:val="24"/>
        </w:rPr>
      </w:pPr>
      <w:r>
        <w:rPr>
          <w:color w:val="000000" w:themeColor="text1"/>
          <w:szCs w:val="24"/>
        </w:rPr>
        <w:lastRenderedPageBreak/>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lastRenderedPageBreak/>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11E97CD2" w14:textId="0CEB61E9"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w:t>
      </w:r>
      <w:r w:rsidR="00101AAE" w:rsidRPr="001E6D66">
        <w:rPr>
          <w:color w:val="000000" w:themeColor="text1"/>
          <w:szCs w:val="24"/>
          <w:lang w:val="en-US"/>
        </w:rPr>
        <w:lastRenderedPageBreak/>
        <w:t>medical and public health research. In the 1990s, BUGS, developed in part by Nickie Best at Imperial Colle</w:t>
      </w:r>
      <w:r w:rsidR="000A0BD8">
        <w:rPr>
          <w:color w:val="000000" w:themeColor="text1"/>
          <w:szCs w:val="24"/>
          <w:lang w:val="en-US"/>
        </w:rPr>
        <w:t>g</w:t>
      </w:r>
      <w:r w:rsidR="00101AAE" w:rsidRPr="001E6D66">
        <w:rPr>
          <w:color w:val="000000" w:themeColor="text1"/>
          <w:szCs w:val="24"/>
          <w:lang w:val="en-US"/>
        </w:rPr>
        <w:t>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3FAD43C" w14:textId="77777777" w:rsidR="00A80221" w:rsidRDefault="00A80221" w:rsidP="00A80221">
      <w:pPr>
        <w:pStyle w:val="Heading2"/>
      </w:pPr>
      <w:bookmarkStart w:id="8" w:name="_Toc8293427"/>
      <w:r>
        <w:t>T</w:t>
      </w:r>
      <w:r w:rsidRPr="00306A2A">
        <w:t>emperature</w:t>
      </w:r>
      <w:r>
        <w:t xml:space="preserve"> and climate change</w:t>
      </w:r>
      <w:bookmarkEnd w:id="8"/>
      <w:r>
        <w:t xml:space="preserve"> </w:t>
      </w:r>
    </w:p>
    <w:p w14:paraId="18ACB50D" w14:textId="77777777" w:rsidR="00A80221" w:rsidRPr="00E03E8F" w:rsidRDefault="00A80221" w:rsidP="00A80221">
      <w:pPr>
        <w:spacing w:after="0"/>
        <w:jc w:val="left"/>
        <w:rPr>
          <w:rFonts w:eastAsia="Times New Roman" w:cs="Times New Roman"/>
          <w:szCs w:val="24"/>
          <w:lang w:eastAsia="en-US"/>
        </w:rPr>
      </w:pPr>
      <w:r>
        <w:rPr>
          <w:rFonts w:eastAsia="Times New Roman" w:cs="Times New Roman"/>
          <w:szCs w:val="24"/>
          <w:lang w:eastAsia="en-US"/>
        </w:rPr>
        <w:t>Refer to ‘</w:t>
      </w:r>
      <w:r w:rsidRPr="00A57D9B">
        <w:rPr>
          <w:rFonts w:eastAsia="Times New Roman" w:cs="Times New Roman"/>
          <w:szCs w:val="24"/>
          <w:lang w:eastAsia="en-US"/>
        </w:rPr>
        <w:t>Rising Temperatures, Human Health, and the Role of Adaptation</w:t>
      </w:r>
      <w:r>
        <w:rPr>
          <w:rFonts w:eastAsia="Times New Roman" w:cs="Times New Roman"/>
          <w:szCs w:val="24"/>
          <w:lang w:eastAsia="en-US"/>
        </w:rPr>
        <w:t>’</w:t>
      </w:r>
    </w:p>
    <w:p w14:paraId="34AA707E" w14:textId="77777777" w:rsidR="00A80221" w:rsidRPr="002A08CC" w:rsidRDefault="00A80221" w:rsidP="00A80221">
      <w:pPr>
        <w:rPr>
          <w:szCs w:val="24"/>
        </w:rPr>
      </w:pPr>
      <w:r w:rsidRPr="002A08CC">
        <w:tab/>
      </w:r>
      <w:r w:rsidRPr="002A08CC">
        <w:rPr>
          <w:szCs w:val="24"/>
        </w:rPr>
        <w:t xml:space="preserve">Temperature data is also essential to an assessment of the impact of anomalous temperature. Tree rings and ice cores can give an accurate indirect reading of the temperature of the earth thousands and hundreds of thousands of years back. [ref] Direct records, however, began more recently. In the UK, direct temperature records began in the middle of the 1800s and continue uninterrupted to the present day. [ref] Temperature records in the United States go back to 1895 in some areas </w:t>
      </w:r>
      <w:r w:rsidRPr="002A08CC">
        <w:rPr>
          <w:szCs w:val="24"/>
        </w:rPr>
        <w:fldChar w:fldCharType="begin" w:fldLock="1"/>
      </w:r>
      <w:r w:rsidRPr="002A08CC">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Pr="002A08CC">
        <w:rPr>
          <w:szCs w:val="24"/>
        </w:rPr>
        <w:fldChar w:fldCharType="separate"/>
      </w:r>
      <w:r w:rsidRPr="002A08CC">
        <w:rPr>
          <w:noProof/>
          <w:szCs w:val="24"/>
        </w:rPr>
        <w:t>(Vose et al., 2014)</w:t>
      </w:r>
      <w:r w:rsidRPr="002A08CC">
        <w:rPr>
          <w:szCs w:val="24"/>
        </w:rPr>
        <w:fldChar w:fldCharType="end"/>
      </w:r>
      <w:r w:rsidRPr="002A08CC">
        <w:rPr>
          <w:szCs w:val="24"/>
        </w:rPr>
        <w:t xml:space="preserve">. Land-based weather stations in the United States are widespread </w:t>
      </w:r>
      <w:r w:rsidRPr="002A08CC">
        <w:rPr>
          <w:szCs w:val="24"/>
        </w:rPr>
        <w:fldChar w:fldCharType="begin" w:fldLock="1"/>
      </w:r>
      <w:r w:rsidRPr="002A08CC">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Pr="002A08CC">
        <w:rPr>
          <w:szCs w:val="24"/>
        </w:rPr>
        <w:fldChar w:fldCharType="separate"/>
      </w:r>
      <w:r w:rsidRPr="002A08CC">
        <w:rPr>
          <w:noProof/>
          <w:szCs w:val="24"/>
        </w:rPr>
        <w:t>(NOAA, 2014)</w:t>
      </w:r>
      <w:r w:rsidRPr="002A08CC">
        <w:rPr>
          <w:szCs w:val="24"/>
        </w:rPr>
        <w:fldChar w:fldCharType="end"/>
      </w:r>
      <w:r w:rsidRPr="002A08CC">
        <w:rPr>
          <w:szCs w:val="24"/>
        </w:rPr>
        <w:t xml:space="preserve">. However, functionality of weather stations is unreliable without pause throughout time, and coverage is at times sparse outside of major metropolitan areas. As such, for national a climate risk assessment, including beyond areas with good weather station coverage, requires an augmented method. ERA-Interim, which combines predictions from a physical model with ground-based and satellite measurements, provides worldwide uninterrupted coverage of an exhaustive list climate variables </w:t>
      </w:r>
      <w:r w:rsidRPr="002A08CC">
        <w:rPr>
          <w:szCs w:val="24"/>
        </w:rPr>
        <w:fldChar w:fldCharType="begin" w:fldLock="1"/>
      </w:r>
      <w:r w:rsidRPr="002A08CC">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2A08CC">
        <w:rPr>
          <w:szCs w:val="24"/>
        </w:rPr>
        <w:fldChar w:fldCharType="separate"/>
      </w:r>
      <w:r w:rsidRPr="002A08CC">
        <w:rPr>
          <w:noProof/>
          <w:szCs w:val="24"/>
        </w:rPr>
        <w:t>(Dee et al., 2011)</w:t>
      </w:r>
      <w:r w:rsidRPr="002A08CC">
        <w:rPr>
          <w:szCs w:val="24"/>
        </w:rPr>
        <w:fldChar w:fldCharType="end"/>
      </w:r>
      <w:r w:rsidRPr="002A08CC">
        <w:rPr>
          <w:szCs w:val="24"/>
        </w:rPr>
        <w:t>.</w:t>
      </w:r>
    </w:p>
    <w:p w14:paraId="09AA512B" w14:textId="77777777" w:rsidR="00A80221" w:rsidRPr="00A60C11" w:rsidRDefault="00A80221" w:rsidP="00A80221">
      <w:pPr>
        <w:ind w:firstLine="720"/>
        <w:rPr>
          <w:szCs w:val="24"/>
        </w:rPr>
      </w:pPr>
      <w:r w:rsidRPr="00A60C11">
        <w:rPr>
          <w:szCs w:val="24"/>
        </w:rPr>
        <w:t xml:space="preserve">A heat wave, or an extended period of elevated temperatures, has no standardized definition. The World Meteorological Organization (WMO) guidance defines a heat wave as ‘a marked unusual hot weather (max, min and daily average) over a region persisting at least </w:t>
      </w:r>
      <w:r w:rsidRPr="00A60C11">
        <w:rPr>
          <w:szCs w:val="24"/>
        </w:rPr>
        <w:lastRenderedPageBreak/>
        <w:t>two consecutive days during the hot period of the year based on local climatological conditions, with thermal conditions recorded above given thresholds’</w:t>
      </w:r>
      <w:r>
        <w:rPr>
          <w:szCs w:val="24"/>
        </w:rPr>
        <w:t xml:space="preserve"> </w:t>
      </w:r>
      <w:r w:rsidRPr="00A60C11">
        <w:rPr>
          <w:szCs w:val="24"/>
        </w:rPr>
        <w:fldChar w:fldCharType="begin" w:fldLock="1"/>
      </w:r>
      <w:r>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Pr="00A60C11">
        <w:rPr>
          <w:szCs w:val="24"/>
        </w:rPr>
        <w:fldChar w:fldCharType="separate"/>
      </w:r>
      <w:r w:rsidRPr="006B7E8C">
        <w:rPr>
          <w:noProof/>
          <w:szCs w:val="24"/>
        </w:rPr>
        <w:t>(WMO, 2016)</w:t>
      </w:r>
      <w:r w:rsidRPr="00A60C11">
        <w:rPr>
          <w:szCs w:val="24"/>
        </w:rPr>
        <w:fldChar w:fldCharType="end"/>
      </w:r>
      <w:r>
        <w:rPr>
          <w:szCs w:val="24"/>
        </w:rPr>
        <w:t>.</w:t>
      </w:r>
      <w:r w:rsidRPr="00A60C11">
        <w:rPr>
          <w:szCs w:val="24"/>
        </w:rPr>
        <w:t xml:space="preserve"> Some other definitions, for example, will define a heat wave by a set of days over an absolute threshold, rather than a relative (e.g., percentile-based) threshold. Some research and guidance </w:t>
      </w:r>
      <w:proofErr w:type="gramStart"/>
      <w:r w:rsidRPr="00A60C11">
        <w:rPr>
          <w:szCs w:val="24"/>
        </w:rPr>
        <w:t>recommends</w:t>
      </w:r>
      <w:proofErr w:type="gramEnd"/>
      <w:r w:rsidRPr="00A60C11">
        <w:rPr>
          <w:szCs w:val="24"/>
        </w:rPr>
        <w:t xml:space="preserve"> that heat waves can compound the deadly effect of heat stress by the fact that the elevated temperatures are over consecutive days. [ref]</w:t>
      </w:r>
    </w:p>
    <w:p w14:paraId="65F8855B" w14:textId="77777777" w:rsidR="00A80221" w:rsidRPr="00A60C11" w:rsidRDefault="00A80221" w:rsidP="00A80221">
      <w:pPr>
        <w:rPr>
          <w:szCs w:val="24"/>
        </w:rPr>
      </w:pPr>
      <w:r>
        <w:rPr>
          <w:szCs w:val="24"/>
        </w:rPr>
        <w:tab/>
      </w:r>
      <w:r w:rsidRPr="00A60C11">
        <w:rPr>
          <w:szCs w:val="24"/>
        </w:rPr>
        <w:t>However, studies have shown a lack of consistency over the value of examining heat waves as a modifier to the deadly effect of heat stress, finding, for example, that the total risk of consecutive days of elevated temperature is very similar to summarizing the independent effects of individual days’ temperatures</w:t>
      </w:r>
      <w:r>
        <w:rPr>
          <w:szCs w:val="24"/>
        </w:rPr>
        <w:t xml:space="preserve"> </w:t>
      </w:r>
      <w:r w:rsidRPr="00A60C11">
        <w:rPr>
          <w:szCs w:val="24"/>
        </w:rPr>
        <w:fldChar w:fldCharType="begin" w:fldLock="1"/>
      </w:r>
      <w:r>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Pr="00A60C11">
        <w:rPr>
          <w:szCs w:val="24"/>
        </w:rPr>
        <w:fldChar w:fldCharType="separate"/>
      </w:r>
      <w:r w:rsidRPr="006B7E8C">
        <w:rPr>
          <w:noProof/>
          <w:szCs w:val="24"/>
        </w:rPr>
        <w:t>(A Gasparrini &amp; Armstrong, 2011)</w:t>
      </w:r>
      <w:r w:rsidRPr="00A60C11">
        <w:rPr>
          <w:szCs w:val="24"/>
        </w:rPr>
        <w:fldChar w:fldCharType="end"/>
      </w:r>
      <w:r>
        <w:rPr>
          <w:szCs w:val="24"/>
        </w:rPr>
        <w:t>.</w:t>
      </w:r>
      <w:r w:rsidRPr="00A60C11">
        <w:rPr>
          <w:szCs w:val="24"/>
        </w:rPr>
        <w:t xml:space="preserve"> </w:t>
      </w:r>
    </w:p>
    <w:p w14:paraId="0A20F0BE" w14:textId="77777777" w:rsidR="00A80221" w:rsidRPr="00A60C11" w:rsidRDefault="00A80221" w:rsidP="00A80221">
      <w:pPr>
        <w:rPr>
          <w:szCs w:val="24"/>
        </w:rPr>
      </w:pPr>
      <w:r w:rsidRPr="00A60C11">
        <w:rPr>
          <w:szCs w:val="24"/>
        </w:rPr>
        <w:tab/>
        <w:t>Furthermore, previous work has examined single or multi-day episodes. [ref] Less work has looked at how deviations in temperature over a longer period, such as a month, result in outcomes for mortality. [ref]</w:t>
      </w:r>
    </w:p>
    <w:p w14:paraId="2CC06617" w14:textId="77777777" w:rsidR="00A80221" w:rsidRPr="00A60C11" w:rsidRDefault="00A80221" w:rsidP="00A80221">
      <w:pPr>
        <w:rPr>
          <w:color w:val="000000" w:themeColor="text1"/>
          <w:szCs w:val="24"/>
        </w:rPr>
      </w:pPr>
      <w:r w:rsidRPr="00A60C11">
        <w:rPr>
          <w:szCs w:val="24"/>
        </w:rPr>
        <w:tab/>
      </w:r>
      <w:r w:rsidRPr="00A60C11">
        <w:rPr>
          <w:color w:val="000000" w:themeColor="text1"/>
          <w:szCs w:val="24"/>
        </w:rPr>
        <w:t>Climate change, however, will fundamentally modify weather compared to long-term experiences, and hence change seasonal weather patterns, which can disrupt long-term adaptation. To overcome this gap requires data on temperature and health in a large number of places over a long period of time, and methodology that uses these data to understand how deviations from long-term norm weather may impact population health.</w:t>
      </w:r>
    </w:p>
    <w:p w14:paraId="6C195B9E" w14:textId="77777777" w:rsidR="00A80221" w:rsidRDefault="00A80221" w:rsidP="00A80221">
      <w:bookmarkStart w:id="9" w:name="_Toc7079045"/>
      <w:r>
        <w:t>Temperature trends in the United States</w:t>
      </w:r>
      <w:bookmarkEnd w:id="9"/>
    </w:p>
    <w:p w14:paraId="45FAC855" w14:textId="77777777" w:rsidR="00E76643" w:rsidRPr="00522FCC" w:rsidRDefault="00E76643" w:rsidP="00E76643">
      <w:pPr>
        <w:pStyle w:val="Heading2"/>
      </w:pPr>
      <w:bookmarkStart w:id="10" w:name="_Toc7079055"/>
      <w:bookmarkStart w:id="11" w:name="_Toc8293429"/>
      <w:r>
        <w:t>From research to action: The Global Heat Health Information Network</w:t>
      </w:r>
      <w:bookmarkEnd w:id="10"/>
      <w:bookmarkEnd w:id="11"/>
    </w:p>
    <w:p w14:paraId="40E4355A" w14:textId="77777777" w:rsidR="00E76643" w:rsidRPr="001E6D66" w:rsidRDefault="00E76643" w:rsidP="00E76643">
      <w:pPr>
        <w:rPr>
          <w:szCs w:val="24"/>
        </w:rPr>
      </w:pPr>
      <w:r>
        <w:rPr>
          <w:szCs w:val="24"/>
        </w:rPr>
        <w:tab/>
      </w:r>
      <w:r w:rsidRPr="001E6D66">
        <w:rPr>
          <w:szCs w:val="24"/>
        </w:rPr>
        <w:t xml:space="preserve">The scientific community have long recognised the importance of implementing the knowledge gained from their research into shaping policy. This is especially urgent in the </w:t>
      </w:r>
      <w:r w:rsidRPr="001E6D66">
        <w:rPr>
          <w:szCs w:val="24"/>
        </w:rPr>
        <w:lastRenderedPageBreak/>
        <w:t xml:space="preserve">context of climate change and the potential for heat to cause changes in health outcomes globally. Heat health is the state of a human’s health during periods of heat stress.   </w:t>
      </w:r>
    </w:p>
    <w:p w14:paraId="0DDF9AAF" w14:textId="77777777" w:rsidR="00E76643" w:rsidRPr="001E6D66" w:rsidRDefault="00E76643" w:rsidP="00E76643">
      <w:pPr>
        <w:rPr>
          <w:szCs w:val="24"/>
        </w:rPr>
      </w:pPr>
      <w:r w:rsidRPr="001E6D66">
        <w:rPr>
          <w:szCs w:val="24"/>
        </w:rPr>
        <w:tab/>
        <w:t>There are many good examples of building heat resilience, especially in the summer months. One excellent example is the Ahmedabad heat health action plan, active in Ahmedabad, India, where the measures invoked included [[[some special but easy techniques]]]</w:t>
      </w:r>
    </w:p>
    <w:p w14:paraId="563DEF02" w14:textId="77777777" w:rsidR="00E76643" w:rsidRDefault="00E76643" w:rsidP="00E76643">
      <w:pPr>
        <w:rPr>
          <w:szCs w:val="24"/>
        </w:rPr>
      </w:pPr>
      <w:r w:rsidRPr="001E6D66">
        <w:rPr>
          <w:szCs w:val="24"/>
        </w:rPr>
        <w:tab/>
        <w:t>In the summer of 2017, I spent three months interning at the World Meteorological Organization (WMO), working with Joy Shumake-Guillemot. There, I was a founding member of the Global Heat Health Information Network (GHHIN)</w:t>
      </w:r>
    </w:p>
    <w:p w14:paraId="0475408A" w14:textId="77777777" w:rsidR="00A80221" w:rsidRPr="001E6D66" w:rsidRDefault="00A80221" w:rsidP="56D10C38">
      <w:pPr>
        <w:rPr>
          <w:szCs w:val="24"/>
        </w:rPr>
      </w:pPr>
    </w:p>
    <w:p w14:paraId="342E0FA9" w14:textId="1E4C1521" w:rsidR="00C817A6" w:rsidRPr="001174F6" w:rsidRDefault="007C719B" w:rsidP="56D10C38">
      <w:pPr>
        <w:pStyle w:val="Heading2"/>
        <w:rPr>
          <w:szCs w:val="24"/>
        </w:rPr>
      </w:pPr>
      <w:bookmarkStart w:id="12" w:name="_Toc7079056"/>
      <w:bookmarkStart w:id="13" w:name="_Toc8293430"/>
      <w:r w:rsidRPr="56D10C38">
        <w:t>Summary</w:t>
      </w:r>
      <w:bookmarkEnd w:id="12"/>
      <w:bookmarkEnd w:id="13"/>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14" w:name="_Toc8293431"/>
      <w:r w:rsidR="00522FCC">
        <w:lastRenderedPageBreak/>
        <w:t>Works cited</w:t>
      </w:r>
      <w:bookmarkEnd w:id="14"/>
    </w:p>
    <w:p w14:paraId="067934A0" w14:textId="11118D1B" w:rsidR="002D3397" w:rsidRPr="002D3397" w:rsidRDefault="00A55581" w:rsidP="002D3397">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2D3397" w:rsidRPr="002D3397">
        <w:rPr>
          <w:rFonts w:cs="Times New Roman"/>
          <w:noProof/>
          <w:lang w:val="en-US"/>
        </w:rPr>
        <w:t xml:space="preserve">Anderson, B. G., &amp; Bell, M. L. (2009). Weather-related mortality: how heat, cold, and heat waves affect mortality in the United States. </w:t>
      </w:r>
      <w:r w:rsidR="002D3397" w:rsidRPr="002D3397">
        <w:rPr>
          <w:rFonts w:cs="Times New Roman"/>
          <w:i/>
          <w:iCs/>
          <w:noProof/>
          <w:lang w:val="en-US"/>
        </w:rPr>
        <w:t>Epidemiology (Cambridge, Mass.)</w:t>
      </w:r>
      <w:r w:rsidR="002D3397" w:rsidRPr="002D3397">
        <w:rPr>
          <w:rFonts w:cs="Times New Roman"/>
          <w:noProof/>
          <w:lang w:val="en-US"/>
        </w:rPr>
        <w:t xml:space="preserve">, </w:t>
      </w:r>
      <w:r w:rsidR="002D3397" w:rsidRPr="002D3397">
        <w:rPr>
          <w:rFonts w:cs="Times New Roman"/>
          <w:i/>
          <w:iCs/>
          <w:noProof/>
          <w:lang w:val="en-US"/>
        </w:rPr>
        <w:t>20</w:t>
      </w:r>
      <w:r w:rsidR="002D3397" w:rsidRPr="002D3397">
        <w:rPr>
          <w:rFonts w:cs="Times New Roman"/>
          <w:noProof/>
          <w:lang w:val="en-US"/>
        </w:rPr>
        <w:t>(2), 205. https://doi.org/10.1097/EDE.0b013e318190ee08</w:t>
      </w:r>
    </w:p>
    <w:p w14:paraId="72E4938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Basu, R. (2009). High ambient temperature and mortality: A review of epidemiologic studies from 2001 to 2008. </w:t>
      </w:r>
      <w:r w:rsidRPr="002D3397">
        <w:rPr>
          <w:rFonts w:cs="Times New Roman"/>
          <w:i/>
          <w:iCs/>
          <w:noProof/>
          <w:lang w:val="en-US"/>
        </w:rPr>
        <w:t>Environmental Health: A Global Access Science Source</w:t>
      </w:r>
      <w:r w:rsidRPr="002D3397">
        <w:rPr>
          <w:rFonts w:cs="Times New Roman"/>
          <w:noProof/>
          <w:lang w:val="en-US"/>
        </w:rPr>
        <w:t xml:space="preserve">, </w:t>
      </w:r>
      <w:r w:rsidRPr="002D3397">
        <w:rPr>
          <w:rFonts w:cs="Times New Roman"/>
          <w:i/>
          <w:iCs/>
          <w:noProof/>
          <w:lang w:val="en-US"/>
        </w:rPr>
        <w:t>8</w:t>
      </w:r>
      <w:r w:rsidRPr="002D3397">
        <w:rPr>
          <w:rFonts w:cs="Times New Roman"/>
          <w:noProof/>
          <w:lang w:val="en-US"/>
        </w:rPr>
        <w:t>(1), 40. https://doi.org/10.1186/1476-069X-8-40</w:t>
      </w:r>
    </w:p>
    <w:p w14:paraId="45FD4F41"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Bennett, J. E., Blangiardo, M., Fecht, D., Elliott, P., &amp; Ezzati, M. (2014). Vulnerability to the mortality effects of warm temperature in the districts of England and Wales. </w:t>
      </w:r>
      <w:r w:rsidRPr="002D3397">
        <w:rPr>
          <w:rFonts w:cs="Times New Roman"/>
          <w:i/>
          <w:iCs/>
          <w:noProof/>
          <w:lang w:val="en-US"/>
        </w:rPr>
        <w:t>Nature Climate Change</w:t>
      </w:r>
      <w:r w:rsidRPr="002D3397">
        <w:rPr>
          <w:rFonts w:cs="Times New Roman"/>
          <w:noProof/>
          <w:lang w:val="en-US"/>
        </w:rPr>
        <w:t xml:space="preserve">, </w:t>
      </w:r>
      <w:r w:rsidRPr="002D3397">
        <w:rPr>
          <w:rFonts w:cs="Times New Roman"/>
          <w:i/>
          <w:iCs/>
          <w:noProof/>
          <w:lang w:val="en-US"/>
        </w:rPr>
        <w:t>4</w:t>
      </w:r>
      <w:r w:rsidRPr="002D3397">
        <w:rPr>
          <w:rFonts w:cs="Times New Roman"/>
          <w:noProof/>
          <w:lang w:val="en-US"/>
        </w:rPr>
        <w:t>(4), 269–273. https://doi.org/10.1038/nclimate2123</w:t>
      </w:r>
    </w:p>
    <w:p w14:paraId="21D651F3"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Borden, K. A., &amp; Cutter, S. L. (2008). Spatial patterns of natural hazards mortality in the United States. </w:t>
      </w:r>
      <w:r w:rsidRPr="002D3397">
        <w:rPr>
          <w:rFonts w:cs="Times New Roman"/>
          <w:i/>
          <w:iCs/>
          <w:noProof/>
          <w:lang w:val="en-US"/>
        </w:rPr>
        <w:t>International Journal of Health Geographics</w:t>
      </w:r>
      <w:r w:rsidRPr="002D3397">
        <w:rPr>
          <w:rFonts w:cs="Times New Roman"/>
          <w:noProof/>
          <w:lang w:val="en-US"/>
        </w:rPr>
        <w:t>. https://doi.org/10.1186/1476-072X-7-64</w:t>
      </w:r>
    </w:p>
    <w:p w14:paraId="361288E1"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Brooke Anderson, G., &amp; Bell, M. L. (2011). Heat waves in the United States: Mortality risk during heat waves and effect modification by heat wave characteristics in 43 U.S. communities. </w:t>
      </w:r>
      <w:r w:rsidRPr="002D3397">
        <w:rPr>
          <w:rFonts w:cs="Times New Roman"/>
          <w:i/>
          <w:iCs/>
          <w:noProof/>
          <w:lang w:val="en-US"/>
        </w:rPr>
        <w:t>Environmental Health Perspectives</w:t>
      </w:r>
      <w:r w:rsidRPr="002D3397">
        <w:rPr>
          <w:rFonts w:cs="Times New Roman"/>
          <w:noProof/>
          <w:lang w:val="en-US"/>
        </w:rPr>
        <w:t>. https://doi.org/10.1289/ehp.1002313</w:t>
      </w:r>
    </w:p>
    <w:p w14:paraId="001A0306"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Brown, G., Fearn, V., &amp; Wells, C. (2010). Exploratory analysis of seasonal mortality in England and Wales, 1998 to 2007. </w:t>
      </w:r>
      <w:r w:rsidRPr="002D3397">
        <w:rPr>
          <w:rFonts w:cs="Times New Roman"/>
          <w:i/>
          <w:iCs/>
          <w:noProof/>
          <w:lang w:val="en-US"/>
        </w:rPr>
        <w:t>Health Statistics Quarterly</w:t>
      </w:r>
      <w:r w:rsidRPr="002D3397">
        <w:rPr>
          <w:rFonts w:cs="Times New Roman"/>
          <w:noProof/>
          <w:lang w:val="en-US"/>
        </w:rPr>
        <w:t>. https://doi.org/10.1057/hsq.2010.21</w:t>
      </w:r>
    </w:p>
    <w:p w14:paraId="00F2A426"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Burke, M., González, F., Baylis, P., Heft-Neal, S., Baysan, C., Basu, S., &amp; Hsiang, S. (2018). Higher temperatures increase suicide rates in the United States and Mexico. </w:t>
      </w:r>
      <w:r w:rsidRPr="002D3397">
        <w:rPr>
          <w:rFonts w:cs="Times New Roman"/>
          <w:i/>
          <w:iCs/>
          <w:noProof/>
          <w:lang w:val="en-US"/>
        </w:rPr>
        <w:t>Nature Climate Change</w:t>
      </w:r>
      <w:r w:rsidRPr="002D3397">
        <w:rPr>
          <w:rFonts w:cs="Times New Roman"/>
          <w:noProof/>
          <w:lang w:val="en-US"/>
        </w:rPr>
        <w:t>. https://doi.org/10.1038/s41558-018-0222-x</w:t>
      </w:r>
    </w:p>
    <w:p w14:paraId="778FE44D"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Carmona, R., Díaz, J., Mirón, I. J., Ortiz, C., Luna, M. Y., &amp; Linares, C. (2016). Mortality attributable to extreme temperatures in Spain: A comparative analysis by city. </w:t>
      </w:r>
      <w:r w:rsidRPr="002D3397">
        <w:rPr>
          <w:rFonts w:cs="Times New Roman"/>
          <w:i/>
          <w:iCs/>
          <w:noProof/>
          <w:lang w:val="en-US"/>
        </w:rPr>
        <w:t>Environment International</w:t>
      </w:r>
      <w:r w:rsidRPr="002D3397">
        <w:rPr>
          <w:rFonts w:cs="Times New Roman"/>
          <w:noProof/>
          <w:lang w:val="en-US"/>
        </w:rPr>
        <w:t>. https://doi.org/10.1016/j.envint.2016.02.018</w:t>
      </w:r>
    </w:p>
    <w:p w14:paraId="66364369"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Dee, D. P., Uppala, S. M., Simmons, A. J., Berrisford, P., Poli, P., Kobayashi, S., … Vitart, F. (2011). The ERA-Interim reanalysis: configuration and performance of the data assimilation system. </w:t>
      </w:r>
      <w:r w:rsidRPr="002D3397">
        <w:rPr>
          <w:rFonts w:cs="Times New Roman"/>
          <w:i/>
          <w:iCs/>
          <w:noProof/>
          <w:lang w:val="en-US"/>
        </w:rPr>
        <w:t>Quarterly Journal of the Royal Meteorological Society</w:t>
      </w:r>
      <w:r w:rsidRPr="002D3397">
        <w:rPr>
          <w:rFonts w:cs="Times New Roman"/>
          <w:noProof/>
          <w:lang w:val="en-US"/>
        </w:rPr>
        <w:t xml:space="preserve">, </w:t>
      </w:r>
      <w:r w:rsidRPr="002D3397">
        <w:rPr>
          <w:rFonts w:cs="Times New Roman"/>
          <w:i/>
          <w:iCs/>
          <w:noProof/>
          <w:lang w:val="en-US"/>
        </w:rPr>
        <w:t>137</w:t>
      </w:r>
      <w:r w:rsidRPr="002D3397">
        <w:rPr>
          <w:rFonts w:cs="Times New Roman"/>
          <w:noProof/>
          <w:lang w:val="en-US"/>
        </w:rPr>
        <w:t>(656), 553–597. https://doi.org/10.1002/qj.828</w:t>
      </w:r>
    </w:p>
    <w:p w14:paraId="4AC505D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Department of Homeland Security. (2019). Extreme heat. Retrieved May 8, 2019, from https://www.ready.gov/heat</w:t>
      </w:r>
    </w:p>
    <w:p w14:paraId="037EA649"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Feinstein, C. A. (2002). Seasonality of deaths in the US by age and cause. </w:t>
      </w:r>
      <w:r w:rsidRPr="002D3397">
        <w:rPr>
          <w:rFonts w:cs="Times New Roman"/>
          <w:i/>
          <w:iCs/>
          <w:noProof/>
          <w:lang w:val="en-US"/>
        </w:rPr>
        <w:t>Demographic Research</w:t>
      </w:r>
      <w:r w:rsidRPr="002D3397">
        <w:rPr>
          <w:rFonts w:cs="Times New Roman"/>
          <w:noProof/>
          <w:lang w:val="en-US"/>
        </w:rPr>
        <w:t xml:space="preserve">, </w:t>
      </w:r>
      <w:r w:rsidRPr="002D3397">
        <w:rPr>
          <w:rFonts w:cs="Times New Roman"/>
          <w:i/>
          <w:iCs/>
          <w:noProof/>
          <w:lang w:val="en-US"/>
        </w:rPr>
        <w:t>6</w:t>
      </w:r>
      <w:r w:rsidRPr="002D3397">
        <w:rPr>
          <w:rFonts w:cs="Times New Roman"/>
          <w:noProof/>
          <w:lang w:val="en-US"/>
        </w:rPr>
        <w:t>, 469–486. https://doi.org/10.4054/DemRes.2002.6.17</w:t>
      </w:r>
    </w:p>
    <w:p w14:paraId="2CBDFE6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Garcia-Herrera, R., Díaz, J., Trigo, R. M., Luterbacher, J., &amp; Fischer, E. M. (2010). A review </w:t>
      </w:r>
      <w:r w:rsidRPr="002D3397">
        <w:rPr>
          <w:rFonts w:cs="Times New Roman"/>
          <w:noProof/>
          <w:lang w:val="en-US"/>
        </w:rPr>
        <w:lastRenderedPageBreak/>
        <w:t xml:space="preserve">of the european summer heat wave of 2003. </w:t>
      </w:r>
      <w:r w:rsidRPr="002D3397">
        <w:rPr>
          <w:rFonts w:cs="Times New Roman"/>
          <w:i/>
          <w:iCs/>
          <w:noProof/>
          <w:lang w:val="en-US"/>
        </w:rPr>
        <w:t>Critical Reviews in Environmental Science and Technology</w:t>
      </w:r>
      <w:r w:rsidRPr="002D3397">
        <w:rPr>
          <w:rFonts w:cs="Times New Roman"/>
          <w:noProof/>
          <w:lang w:val="en-US"/>
        </w:rPr>
        <w:t>. https://doi.org/10.1080/10643380802238137</w:t>
      </w:r>
    </w:p>
    <w:p w14:paraId="0FD6BFD8"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Gasparrini, A., &amp; Armstrong, B. (2011). The impact of heat waves on mortality. </w:t>
      </w:r>
      <w:r w:rsidRPr="002D3397">
        <w:rPr>
          <w:rFonts w:cs="Times New Roman"/>
          <w:i/>
          <w:iCs/>
          <w:noProof/>
          <w:lang w:val="en-US"/>
        </w:rPr>
        <w:t>Epidemiol</w:t>
      </w:r>
      <w:r w:rsidRPr="002D3397">
        <w:rPr>
          <w:rFonts w:cs="Times New Roman"/>
          <w:noProof/>
          <w:lang w:val="en-US"/>
        </w:rPr>
        <w:t>. https://doi.org/10.1097/EDE.0b013e3181fdcd99</w:t>
      </w:r>
    </w:p>
    <w:p w14:paraId="3C8A7AF0"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2D3397">
        <w:rPr>
          <w:rFonts w:cs="Times New Roman"/>
          <w:i/>
          <w:iCs/>
          <w:noProof/>
          <w:lang w:val="en-US"/>
        </w:rPr>
        <w:t>The Lancet</w:t>
      </w:r>
      <w:r w:rsidRPr="002D3397">
        <w:rPr>
          <w:rFonts w:cs="Times New Roman"/>
          <w:noProof/>
          <w:lang w:val="en-US"/>
        </w:rPr>
        <w:t xml:space="preserve">, </w:t>
      </w:r>
      <w:r w:rsidRPr="002D3397">
        <w:rPr>
          <w:rFonts w:cs="Times New Roman"/>
          <w:i/>
          <w:iCs/>
          <w:noProof/>
          <w:lang w:val="en-US"/>
        </w:rPr>
        <w:t>386</w:t>
      </w:r>
      <w:r w:rsidRPr="002D3397">
        <w:rPr>
          <w:rFonts w:cs="Times New Roman"/>
          <w:noProof/>
          <w:lang w:val="en-US"/>
        </w:rPr>
        <w:t>(9991), 369–375. https://doi.org/10.1016/S0140-6736(14)62114-0</w:t>
      </w:r>
    </w:p>
    <w:p w14:paraId="279B2F3E"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Gemmell, I., McLoone, P., Boddy, F. A., Dickinson, G. J., &amp; Watt, G. C. M. (2000). Seasonal variation in mortality in Scotland. </w:t>
      </w:r>
      <w:r w:rsidRPr="002D3397">
        <w:rPr>
          <w:rFonts w:cs="Times New Roman"/>
          <w:i/>
          <w:iCs/>
          <w:noProof/>
          <w:lang w:val="en-US"/>
        </w:rPr>
        <w:t>International Journal of Epidemiology</w:t>
      </w:r>
      <w:r w:rsidRPr="002D3397">
        <w:rPr>
          <w:rFonts w:cs="Times New Roman"/>
          <w:noProof/>
          <w:lang w:val="en-US"/>
        </w:rPr>
        <w:t>. https://doi.org/10.1093/ije/29.2.274</w:t>
      </w:r>
    </w:p>
    <w:p w14:paraId="07702023"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Great Britain. (1876). Weekly return of births and deaths in London and in other great towns. </w:t>
      </w:r>
      <w:r w:rsidRPr="002D3397">
        <w:rPr>
          <w:rFonts w:cs="Times New Roman"/>
          <w:i/>
          <w:iCs/>
          <w:noProof/>
          <w:lang w:val="en-US"/>
        </w:rPr>
        <w:t>General Register Office</w:t>
      </w:r>
      <w:r w:rsidRPr="002D3397">
        <w:rPr>
          <w:rFonts w:cs="Times New Roman"/>
          <w:noProof/>
          <w:lang w:val="en-US"/>
        </w:rPr>
        <w:t>.</w:t>
      </w:r>
    </w:p>
    <w:p w14:paraId="738DA48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Green, M. S., Harari, G., &amp; Kristal-Boneh, E. (2007). Excess winter mortality from ischaemic heart disease and stroke during colder and warmer years in Israel: An evaluation and review of the role of environmental temperature. </w:t>
      </w:r>
      <w:r w:rsidRPr="002D3397">
        <w:rPr>
          <w:rFonts w:cs="Times New Roman"/>
          <w:i/>
          <w:iCs/>
          <w:noProof/>
          <w:lang w:val="en-US"/>
        </w:rPr>
        <w:t>The European Journal of Public Health</w:t>
      </w:r>
      <w:r w:rsidRPr="002D3397">
        <w:rPr>
          <w:rFonts w:cs="Times New Roman"/>
          <w:noProof/>
          <w:lang w:val="en-US"/>
        </w:rPr>
        <w:t>. https://doi.org/10.1093/eurpub/4.1.3</w:t>
      </w:r>
    </w:p>
    <w:p w14:paraId="1BEE73CA"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Grenfell, B. T., Bjørnstad, O. N., &amp; Kappey, J. (2001). Travelling waves and spatial hierarchies in measles epidemics. </w:t>
      </w:r>
      <w:r w:rsidRPr="002D3397">
        <w:rPr>
          <w:rFonts w:cs="Times New Roman"/>
          <w:i/>
          <w:iCs/>
          <w:noProof/>
          <w:lang w:val="en-US"/>
        </w:rPr>
        <w:t>Nature</w:t>
      </w:r>
      <w:r w:rsidRPr="002D3397">
        <w:rPr>
          <w:rFonts w:cs="Times New Roman"/>
          <w:noProof/>
          <w:lang w:val="en-US"/>
        </w:rPr>
        <w:t xml:space="preserve">, </w:t>
      </w:r>
      <w:r w:rsidRPr="002D3397">
        <w:rPr>
          <w:rFonts w:cs="Times New Roman"/>
          <w:i/>
          <w:iCs/>
          <w:noProof/>
          <w:lang w:val="en-US"/>
        </w:rPr>
        <w:t>414</w:t>
      </w:r>
      <w:r w:rsidRPr="002D3397">
        <w:rPr>
          <w:rFonts w:cs="Times New Roman"/>
          <w:noProof/>
          <w:lang w:val="en-US"/>
        </w:rPr>
        <w:t>(6865), 716–723. https://doi.org/10.1038/414716a</w:t>
      </w:r>
    </w:p>
    <w:p w14:paraId="25DCD9A3"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2D3397">
        <w:rPr>
          <w:rFonts w:cs="Times New Roman"/>
          <w:i/>
          <w:iCs/>
          <w:noProof/>
          <w:lang w:val="en-US"/>
        </w:rPr>
        <w:t>Journal of the Statistical Society of London</w:t>
      </w:r>
      <w:r w:rsidRPr="002D3397">
        <w:rPr>
          <w:rFonts w:cs="Times New Roman"/>
          <w:noProof/>
          <w:lang w:val="en-US"/>
        </w:rPr>
        <w:t>. https://doi.org/10.2307/2338211</w:t>
      </w:r>
    </w:p>
    <w:p w14:paraId="2496001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Guy, W. A. (1881). On temperature and its relation to mortality: An illustration of the application of the numerical method to the discovery of truth. </w:t>
      </w:r>
      <w:r w:rsidRPr="002D3397">
        <w:rPr>
          <w:rFonts w:cs="Times New Roman"/>
          <w:i/>
          <w:iCs/>
          <w:noProof/>
          <w:lang w:val="en-US"/>
        </w:rPr>
        <w:t>Journal of the Statistical Society of London</w:t>
      </w:r>
      <w:r w:rsidRPr="002D3397">
        <w:rPr>
          <w:rFonts w:cs="Times New Roman"/>
          <w:noProof/>
          <w:lang w:val="en-US"/>
        </w:rPr>
        <w:t>. https://doi.org/10.2307/2339225</w:t>
      </w:r>
    </w:p>
    <w:p w14:paraId="298EE6F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Hajat, S., &amp; Gasparrini, A. (2016). The excess winter deaths measure: Why its use is misleading for public health understanding of cold-related health impacts. </w:t>
      </w:r>
      <w:r w:rsidRPr="002D3397">
        <w:rPr>
          <w:rFonts w:cs="Times New Roman"/>
          <w:i/>
          <w:iCs/>
          <w:noProof/>
          <w:lang w:val="en-US"/>
        </w:rPr>
        <w:t>Epidemiology</w:t>
      </w:r>
      <w:r w:rsidRPr="002D3397">
        <w:rPr>
          <w:rFonts w:cs="Times New Roman"/>
          <w:noProof/>
          <w:lang w:val="en-US"/>
        </w:rPr>
        <w:t>. https://doi.org/10.1097/EDE.0000000000000479</w:t>
      </w:r>
    </w:p>
    <w:p w14:paraId="6A40A0A5"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Hajat, S., Kovats, R. S., &amp; Lachowycz, K. (2007). Heat-related and cold-related deaths in England and Wales: Who is at risk? </w:t>
      </w:r>
      <w:r w:rsidRPr="002D3397">
        <w:rPr>
          <w:rFonts w:cs="Times New Roman"/>
          <w:i/>
          <w:iCs/>
          <w:noProof/>
          <w:lang w:val="en-US"/>
        </w:rPr>
        <w:t>Occupational and Environmental Medicine</w:t>
      </w:r>
      <w:r w:rsidRPr="002D3397">
        <w:rPr>
          <w:rFonts w:cs="Times New Roman"/>
          <w:noProof/>
          <w:lang w:val="en-US"/>
        </w:rPr>
        <w:t>. https://doi.org/10.1136/oem.2006.029017</w:t>
      </w:r>
    </w:p>
    <w:p w14:paraId="4C5FDC3E"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Healy, J. D. (2003). Excess winter mortality in Europe: A cross country analysis identifying key risk factors. </w:t>
      </w:r>
      <w:r w:rsidRPr="002D3397">
        <w:rPr>
          <w:rFonts w:cs="Times New Roman"/>
          <w:i/>
          <w:iCs/>
          <w:noProof/>
          <w:lang w:val="en-US"/>
        </w:rPr>
        <w:t>Journal of Epidemiology and Community Health</w:t>
      </w:r>
      <w:r w:rsidRPr="002D3397">
        <w:rPr>
          <w:rFonts w:cs="Times New Roman"/>
          <w:noProof/>
          <w:lang w:val="en-US"/>
        </w:rPr>
        <w:t xml:space="preserve">, </w:t>
      </w:r>
      <w:r w:rsidRPr="002D3397">
        <w:rPr>
          <w:rFonts w:cs="Times New Roman"/>
          <w:i/>
          <w:iCs/>
          <w:noProof/>
          <w:lang w:val="en-US"/>
        </w:rPr>
        <w:t>57</w:t>
      </w:r>
      <w:r w:rsidRPr="002D3397">
        <w:rPr>
          <w:rFonts w:cs="Times New Roman"/>
          <w:noProof/>
          <w:lang w:val="en-US"/>
        </w:rPr>
        <w:t>(10), 784–789. https://doi.org/10.1136/jech.57.10.784</w:t>
      </w:r>
    </w:p>
    <w:p w14:paraId="14910B7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lastRenderedPageBreak/>
        <w:t xml:space="preserve">IPCC. (2014a). </w:t>
      </w:r>
      <w:r w:rsidRPr="002D3397">
        <w:rPr>
          <w:rFonts w:cs="Times New Roman"/>
          <w:i/>
          <w:iCs/>
          <w:noProof/>
          <w:lang w:val="en-US"/>
        </w:rPr>
        <w:t>Climate Change 2014 – Impacts, Adaptation and Vulnerability: Part B: Regional Aspects: Working Group II Contribution to the IPCC Fifth Assessment Report.</w:t>
      </w:r>
      <w:r w:rsidRPr="002D3397">
        <w:rPr>
          <w:rFonts w:cs="Times New Roman"/>
          <w:noProof/>
          <w:lang w:val="en-US"/>
        </w:rPr>
        <w:t xml:space="preserve"> Cambridge University Press. https://doi.org/doi:10.1017/CBO9781107415386</w:t>
      </w:r>
    </w:p>
    <w:p w14:paraId="1B72B9DE"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IPCC. (2014b). </w:t>
      </w:r>
      <w:r w:rsidRPr="002D3397">
        <w:rPr>
          <w:rFonts w:cs="Times New Roman"/>
          <w:i/>
          <w:iCs/>
          <w:noProof/>
          <w:lang w:val="en-US"/>
        </w:rPr>
        <w:t>Climate Change 2014 Synthesis Report</w:t>
      </w:r>
      <w:r w:rsidRPr="002D3397">
        <w:rPr>
          <w:rFonts w:cs="Times New Roman"/>
          <w:noProof/>
          <w:lang w:val="en-US"/>
        </w:rPr>
        <w:t xml:space="preserve">. </w:t>
      </w:r>
      <w:r w:rsidRPr="002D3397">
        <w:rPr>
          <w:rFonts w:cs="Times New Roman"/>
          <w:i/>
          <w:iCs/>
          <w:noProof/>
          <w:lang w:val="en-US"/>
        </w:rPr>
        <w:t>IPCC Fifth Assessment Report</w:t>
      </w:r>
      <w:r w:rsidRPr="002D3397">
        <w:rPr>
          <w:rFonts w:cs="Times New Roman"/>
          <w:noProof/>
          <w:lang w:val="en-US"/>
        </w:rPr>
        <w:t>.</w:t>
      </w:r>
    </w:p>
    <w:p w14:paraId="1B512C01"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Kaiser, R., Le Tertre, A., Schwartz, J., Gotway, C. A., Daley, W. R., &amp; Rubin, C. H. (2007). The effect of the 1995 heat wave in Chicago on all-cause and cause-specific mortality. </w:t>
      </w:r>
      <w:r w:rsidRPr="002D3397">
        <w:rPr>
          <w:rFonts w:cs="Times New Roman"/>
          <w:i/>
          <w:iCs/>
          <w:noProof/>
          <w:lang w:val="en-US"/>
        </w:rPr>
        <w:t>American Journal of Public Health</w:t>
      </w:r>
      <w:r w:rsidRPr="002D3397">
        <w:rPr>
          <w:rFonts w:cs="Times New Roman"/>
          <w:noProof/>
          <w:lang w:val="en-US"/>
        </w:rPr>
        <w:t>. https://doi.org/10.2105/AJPH.2006.100081</w:t>
      </w:r>
    </w:p>
    <w:p w14:paraId="1411D83D"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Kalkstein, A. J. (2013). Regional Similarities in Seasonal Mortality across the United States: An Examination of 28 Metropolitan Statistical Areas. </w:t>
      </w:r>
      <w:r w:rsidRPr="002D3397">
        <w:rPr>
          <w:rFonts w:cs="Times New Roman"/>
          <w:i/>
          <w:iCs/>
          <w:noProof/>
          <w:lang w:val="en-US"/>
        </w:rPr>
        <w:t>PLoS ONE</w:t>
      </w:r>
      <w:r w:rsidRPr="002D3397">
        <w:rPr>
          <w:rFonts w:cs="Times New Roman"/>
          <w:noProof/>
          <w:lang w:val="en-US"/>
        </w:rPr>
        <w:t xml:space="preserve">, </w:t>
      </w:r>
      <w:r w:rsidRPr="002D3397">
        <w:rPr>
          <w:rFonts w:cs="Times New Roman"/>
          <w:i/>
          <w:iCs/>
          <w:noProof/>
          <w:lang w:val="en-US"/>
        </w:rPr>
        <w:t>8</w:t>
      </w:r>
      <w:r w:rsidRPr="002D3397">
        <w:rPr>
          <w:rFonts w:cs="Times New Roman"/>
          <w:noProof/>
          <w:lang w:val="en-US"/>
        </w:rPr>
        <w:t>(5). https://doi.org/10.1371/journal.pone.0063971</w:t>
      </w:r>
    </w:p>
    <w:p w14:paraId="0BA166A4"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Kilbourne, E. M. (1997). Heat Waves and Hot Environments. </w:t>
      </w:r>
      <w:r w:rsidRPr="002D3397">
        <w:rPr>
          <w:rFonts w:cs="Times New Roman"/>
          <w:i/>
          <w:iCs/>
          <w:noProof/>
          <w:lang w:val="en-US"/>
        </w:rPr>
        <w:t>The Public Health Consequence of Disasters</w:t>
      </w:r>
      <w:r w:rsidRPr="002D3397">
        <w:rPr>
          <w:rFonts w:cs="Times New Roman"/>
          <w:noProof/>
          <w:lang w:val="en-US"/>
        </w:rPr>
        <w:t>.</w:t>
      </w:r>
    </w:p>
    <w:p w14:paraId="49EB6A2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Kinney, P. L., Schwartz, J., Pascal, M., Petkova, E., Tertre, A. Le, Medina, S., &amp; Vautard, R. (2015). Winter season mortality: Will climate warming bring benefits? </w:t>
      </w:r>
      <w:r w:rsidRPr="002D3397">
        <w:rPr>
          <w:rFonts w:cs="Times New Roman"/>
          <w:i/>
          <w:iCs/>
          <w:noProof/>
          <w:lang w:val="en-US"/>
        </w:rPr>
        <w:t>Environmental Research Letters</w:t>
      </w:r>
      <w:r w:rsidRPr="002D3397">
        <w:rPr>
          <w:rFonts w:cs="Times New Roman"/>
          <w:noProof/>
          <w:lang w:val="en-US"/>
        </w:rPr>
        <w:t xml:space="preserve">, </w:t>
      </w:r>
      <w:r w:rsidRPr="002D3397">
        <w:rPr>
          <w:rFonts w:cs="Times New Roman"/>
          <w:i/>
          <w:iCs/>
          <w:noProof/>
          <w:lang w:val="en-US"/>
        </w:rPr>
        <w:t>10</w:t>
      </w:r>
      <w:r w:rsidRPr="002D3397">
        <w:rPr>
          <w:rFonts w:cs="Times New Roman"/>
          <w:noProof/>
          <w:lang w:val="en-US"/>
        </w:rPr>
        <w:t>(6). https://doi.org/10.1088/1748-9326/10/6/064016</w:t>
      </w:r>
    </w:p>
    <w:p w14:paraId="67556749"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Kovats, R. S., &amp; Hajat, S. (2008). Heat Stress and Public Health: A Critical Review. </w:t>
      </w:r>
      <w:r w:rsidRPr="002D3397">
        <w:rPr>
          <w:rFonts w:cs="Times New Roman"/>
          <w:i/>
          <w:iCs/>
          <w:noProof/>
          <w:lang w:val="en-US"/>
        </w:rPr>
        <w:t>Annual Review of Public Health</w:t>
      </w:r>
      <w:r w:rsidRPr="002D3397">
        <w:rPr>
          <w:rFonts w:cs="Times New Roman"/>
          <w:noProof/>
          <w:lang w:val="en-US"/>
        </w:rPr>
        <w:t>. https://doi.org/10.1146/annurev.publhealth.29.020907.090843</w:t>
      </w:r>
    </w:p>
    <w:p w14:paraId="52685008"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Laake, K., &amp; Sverre, J. M. (1996). Winter excess mortality: A comparison between Norway and England plus Wales. </w:t>
      </w:r>
      <w:r w:rsidRPr="002D3397">
        <w:rPr>
          <w:rFonts w:cs="Times New Roman"/>
          <w:i/>
          <w:iCs/>
          <w:noProof/>
          <w:lang w:val="en-US"/>
        </w:rPr>
        <w:t>Age and Ageing</w:t>
      </w:r>
      <w:r w:rsidRPr="002D3397">
        <w:rPr>
          <w:rFonts w:cs="Times New Roman"/>
          <w:noProof/>
          <w:lang w:val="en-US"/>
        </w:rPr>
        <w:t>. https://doi.org/10.1093/ageing/25.5.343</w:t>
      </w:r>
    </w:p>
    <w:p w14:paraId="06D32E0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Le Tertre, A., Lefranc, A. A., Eilstein, D., Declercq, C., Medina, S., Blanchard, M., … Ledrans, M. (2006). Impact of the 2003 Heatwave on All-Cause Mortality in 9 French Cities. </w:t>
      </w:r>
      <w:r w:rsidRPr="002D3397">
        <w:rPr>
          <w:rFonts w:cs="Times New Roman"/>
          <w:i/>
          <w:iCs/>
          <w:noProof/>
          <w:lang w:val="en-US"/>
        </w:rPr>
        <w:t>Epidemiology</w:t>
      </w:r>
      <w:r w:rsidRPr="002D3397">
        <w:rPr>
          <w:rFonts w:cs="Times New Roman"/>
          <w:noProof/>
          <w:lang w:val="en-US"/>
        </w:rPr>
        <w:t xml:space="preserve">, </w:t>
      </w:r>
      <w:r w:rsidRPr="002D3397">
        <w:rPr>
          <w:rFonts w:cs="Times New Roman"/>
          <w:i/>
          <w:iCs/>
          <w:noProof/>
          <w:lang w:val="en-US"/>
        </w:rPr>
        <w:t>17</w:t>
      </w:r>
      <w:r w:rsidRPr="002D3397">
        <w:rPr>
          <w:rFonts w:cs="Times New Roman"/>
          <w:noProof/>
          <w:lang w:val="en-US"/>
        </w:rPr>
        <w:t>(1), 75–79. https://doi.org/10.1097/01.ede.0000187650.36636.1f</w:t>
      </w:r>
    </w:p>
    <w:p w14:paraId="6E9A9F2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2D3397">
        <w:rPr>
          <w:rFonts w:cs="Times New Roman"/>
          <w:i/>
          <w:iCs/>
          <w:noProof/>
          <w:lang w:val="en-US"/>
        </w:rPr>
        <w:t>Scientific Reports</w:t>
      </w:r>
      <w:r w:rsidRPr="002D3397">
        <w:rPr>
          <w:rFonts w:cs="Times New Roman"/>
          <w:noProof/>
          <w:lang w:val="en-US"/>
        </w:rPr>
        <w:t>. https://doi.org/10.1038/srep28161</w:t>
      </w:r>
    </w:p>
    <w:p w14:paraId="3CD9AE95"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Lowe, R., Ballester, J., Creswick, J., Robine, J. M., Herrmann, F. R., &amp; Rodó, X. (2015). Evaluating the performance of a climate-driven mortality model during heat waves and cold spells in Europe. </w:t>
      </w:r>
      <w:r w:rsidRPr="002D3397">
        <w:rPr>
          <w:rFonts w:cs="Times New Roman"/>
          <w:i/>
          <w:iCs/>
          <w:noProof/>
          <w:lang w:val="en-US"/>
        </w:rPr>
        <w:t>International Journal of Environmental Research and Public Health</w:t>
      </w:r>
      <w:r w:rsidRPr="002D3397">
        <w:rPr>
          <w:rFonts w:cs="Times New Roman"/>
          <w:noProof/>
          <w:lang w:val="en-US"/>
        </w:rPr>
        <w:t>. https://doi.org/10.3390/ijerph120201279</w:t>
      </w:r>
    </w:p>
    <w:p w14:paraId="060B622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Luterbacher, J., Dietrich, D., Xoplaki, E., Grosjean, M., &amp; Wanner, H. (2004). European Seasonal and Annual Temperature Variability, Trends, and Extremes since 1500. </w:t>
      </w:r>
      <w:r w:rsidRPr="002D3397">
        <w:rPr>
          <w:rFonts w:cs="Times New Roman"/>
          <w:i/>
          <w:iCs/>
          <w:noProof/>
          <w:lang w:val="en-US"/>
        </w:rPr>
        <w:t>Science</w:t>
      </w:r>
      <w:r w:rsidRPr="002D3397">
        <w:rPr>
          <w:rFonts w:cs="Times New Roman"/>
          <w:noProof/>
          <w:lang w:val="en-US"/>
        </w:rPr>
        <w:t>. https://doi.org/10.1126/science.1093877</w:t>
      </w:r>
    </w:p>
    <w:p w14:paraId="7DC1F5DE"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Ma, J., Ward, E. M., Siegel, R. L., &amp; Jemal, A. (2015). Temporal trends in mortality in the </w:t>
      </w:r>
      <w:r w:rsidRPr="002D3397">
        <w:rPr>
          <w:rFonts w:cs="Times New Roman"/>
          <w:noProof/>
          <w:lang w:val="en-US"/>
        </w:rPr>
        <w:lastRenderedPageBreak/>
        <w:t xml:space="preserve">United States, 1969-2013. </w:t>
      </w:r>
      <w:r w:rsidRPr="002D3397">
        <w:rPr>
          <w:rFonts w:cs="Times New Roman"/>
          <w:i/>
          <w:iCs/>
          <w:noProof/>
          <w:lang w:val="en-US"/>
        </w:rPr>
        <w:t>JAMA - Journal of the American Medical Association</w:t>
      </w:r>
      <w:r w:rsidRPr="002D3397">
        <w:rPr>
          <w:rFonts w:cs="Times New Roman"/>
          <w:noProof/>
          <w:lang w:val="en-US"/>
        </w:rPr>
        <w:t>. https://doi.org/10.1001/jama.2015.12319</w:t>
      </w:r>
    </w:p>
    <w:p w14:paraId="15023538"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Mackenbach, J. P., Kunst, A. E., &amp; Looman, C. W. N. (1992). Seasonal variation in mortality in The Netherlands. </w:t>
      </w:r>
      <w:r w:rsidRPr="002D3397">
        <w:rPr>
          <w:rFonts w:cs="Times New Roman"/>
          <w:i/>
          <w:iCs/>
          <w:noProof/>
          <w:lang w:val="en-US"/>
        </w:rPr>
        <w:t>Journal of Epidemiology and Community Health</w:t>
      </w:r>
      <w:r w:rsidRPr="002D3397">
        <w:rPr>
          <w:rFonts w:cs="Times New Roman"/>
          <w:noProof/>
          <w:lang w:val="en-US"/>
        </w:rPr>
        <w:t xml:space="preserve">, </w:t>
      </w:r>
      <w:r w:rsidRPr="002D3397">
        <w:rPr>
          <w:rFonts w:cs="Times New Roman"/>
          <w:i/>
          <w:iCs/>
          <w:noProof/>
          <w:lang w:val="en-US"/>
        </w:rPr>
        <w:t>46</w:t>
      </w:r>
      <w:r w:rsidRPr="002D3397">
        <w:rPr>
          <w:rFonts w:cs="Times New Roman"/>
          <w:noProof/>
          <w:lang w:val="en-US"/>
        </w:rPr>
        <w:t>(3), 261–265. https://doi.org/10.1136/jech.46.3.261</w:t>
      </w:r>
    </w:p>
    <w:p w14:paraId="10C06AA8"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Marti-Soler, H., Gonseth, S., Gubelmann, C., Stringhini, S., Bovet, P., Chen, P. C., … Marques-Vidal, P. (2014). Seasonal variation of overall and cardiovascular mortality: A study in 19 countries from different geographic locations. </w:t>
      </w:r>
      <w:r w:rsidRPr="002D3397">
        <w:rPr>
          <w:rFonts w:cs="Times New Roman"/>
          <w:i/>
          <w:iCs/>
          <w:noProof/>
          <w:lang w:val="en-US"/>
        </w:rPr>
        <w:t>PLoS ONE</w:t>
      </w:r>
      <w:r w:rsidRPr="002D3397">
        <w:rPr>
          <w:rFonts w:cs="Times New Roman"/>
          <w:noProof/>
          <w:lang w:val="en-US"/>
        </w:rPr>
        <w:t>. https://doi.org/10.1371/journal.pone.0113500</w:t>
      </w:r>
    </w:p>
    <w:p w14:paraId="40C8632E"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Miller, G. (1962). “Airs, waters, and places” in history. </w:t>
      </w:r>
      <w:r w:rsidRPr="002D3397">
        <w:rPr>
          <w:rFonts w:cs="Times New Roman"/>
          <w:i/>
          <w:iCs/>
          <w:noProof/>
          <w:lang w:val="en-US"/>
        </w:rPr>
        <w:t>Journal of the History of Medicine and Allied Sciences</w:t>
      </w:r>
      <w:r w:rsidRPr="002D3397">
        <w:rPr>
          <w:rFonts w:cs="Times New Roman"/>
          <w:noProof/>
          <w:lang w:val="en-US"/>
        </w:rPr>
        <w:t>. https://doi.org/10.1093/jhmas/XVII.1.129</w:t>
      </w:r>
    </w:p>
    <w:p w14:paraId="6291C5B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Moy, C. M., Seltzer, G. O., Rodbell, D. T., &amp; Anderson, D. M. (2002). Variability of El Niño/Southern Oscillation activity at millennial timescales during the Holocene epoch. </w:t>
      </w:r>
      <w:r w:rsidRPr="002D3397">
        <w:rPr>
          <w:rFonts w:cs="Times New Roman"/>
          <w:i/>
          <w:iCs/>
          <w:noProof/>
          <w:lang w:val="en-US"/>
        </w:rPr>
        <w:t>Nature</w:t>
      </w:r>
      <w:r w:rsidRPr="002D3397">
        <w:rPr>
          <w:rFonts w:cs="Times New Roman"/>
          <w:noProof/>
          <w:lang w:val="en-US"/>
        </w:rPr>
        <w:t xml:space="preserve">, </w:t>
      </w:r>
      <w:r w:rsidRPr="002D3397">
        <w:rPr>
          <w:rFonts w:cs="Times New Roman"/>
          <w:i/>
          <w:iCs/>
          <w:noProof/>
          <w:lang w:val="en-US"/>
        </w:rPr>
        <w:t>420</w:t>
      </w:r>
      <w:r w:rsidRPr="002D3397">
        <w:rPr>
          <w:rFonts w:cs="Times New Roman"/>
          <w:noProof/>
          <w:lang w:val="en-US"/>
        </w:rPr>
        <w:t>(6912), 162–165. https://doi.org/10.1038/nature01194</w:t>
      </w:r>
    </w:p>
    <w:p w14:paraId="0D5B97F7"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2D3397">
        <w:rPr>
          <w:rFonts w:cs="Times New Roman"/>
          <w:i/>
          <w:iCs/>
          <w:noProof/>
          <w:lang w:val="en-US"/>
        </w:rPr>
        <w:t>PLoS Medicine</w:t>
      </w:r>
      <w:r w:rsidRPr="002D3397">
        <w:rPr>
          <w:rFonts w:cs="Times New Roman"/>
          <w:noProof/>
          <w:lang w:val="en-US"/>
        </w:rPr>
        <w:t>. https://doi.org/10.1371/journal.pmed.0030260</w:t>
      </w:r>
    </w:p>
    <w:p w14:paraId="0DE189F8"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Nakaji, S., Parodi, S., Fontana, V., Umeda, T., Suzuki, K., Sakamoto, J., … Sugawara, K. (2004). Seasonal changes in mortality rates from main causes of death in Japan. </w:t>
      </w:r>
      <w:r w:rsidRPr="002D3397">
        <w:rPr>
          <w:rFonts w:cs="Times New Roman"/>
          <w:i/>
          <w:iCs/>
          <w:noProof/>
          <w:lang w:val="en-US"/>
        </w:rPr>
        <w:t>European Journal of Epidemiology</w:t>
      </w:r>
      <w:r w:rsidRPr="002D3397">
        <w:rPr>
          <w:rFonts w:cs="Times New Roman"/>
          <w:noProof/>
          <w:lang w:val="en-US"/>
        </w:rPr>
        <w:t>. https://doi.org/10.1007/s10654-004-4695-8</w:t>
      </w:r>
    </w:p>
    <w:p w14:paraId="20769B27"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Newell, G. R., &amp; Waggoner, D. E. (1970). Cancer mortality and environmental temperature in the United States. </w:t>
      </w:r>
      <w:r w:rsidRPr="002D3397">
        <w:rPr>
          <w:rFonts w:cs="Times New Roman"/>
          <w:i/>
          <w:iCs/>
          <w:noProof/>
          <w:lang w:val="en-US"/>
        </w:rPr>
        <w:t>The Lancet</w:t>
      </w:r>
      <w:r w:rsidRPr="002D3397">
        <w:rPr>
          <w:rFonts w:cs="Times New Roman"/>
          <w:noProof/>
          <w:lang w:val="en-US"/>
        </w:rPr>
        <w:t>. https://doi.org/10.1016/S0140-6736(70)90988-8</w:t>
      </w:r>
    </w:p>
    <w:p w14:paraId="012AF985"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NOAA. (2014). NOAA Weather Stations. Retrieved January 8, 2019, from https://www.arcgis.com/home/webmap/viewer.html?webmap=fa40207019de41bc9a37ea1f5235ae0c</w:t>
      </w:r>
    </w:p>
    <w:p w14:paraId="68B30854"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37537461"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Pfister, C., Brázdil, R., Glaser, R., Barriendos, M., Camuffo, D., Deutsch, M., … Rodrigo, F. S. (1999). Documentary evidence on climate in sixteenth-century Europe. </w:t>
      </w:r>
      <w:r w:rsidRPr="002D3397">
        <w:rPr>
          <w:rFonts w:cs="Times New Roman"/>
          <w:i/>
          <w:iCs/>
          <w:noProof/>
          <w:lang w:val="en-US"/>
        </w:rPr>
        <w:t>Climatic Change</w:t>
      </w:r>
      <w:r w:rsidRPr="002D3397">
        <w:rPr>
          <w:rFonts w:cs="Times New Roman"/>
          <w:noProof/>
          <w:lang w:val="en-US"/>
        </w:rPr>
        <w:t>. https://doi.org/10.1023/A:1005540707792</w:t>
      </w:r>
    </w:p>
    <w:p w14:paraId="17A487D4"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Rau, R. (2004). Seasonality in human mortality. A demographic approach. </w:t>
      </w:r>
      <w:r w:rsidRPr="002D3397">
        <w:rPr>
          <w:rFonts w:cs="Times New Roman"/>
          <w:i/>
          <w:iCs/>
          <w:noProof/>
          <w:lang w:val="en-US"/>
        </w:rPr>
        <w:t>Wirtschafts- Und Sozialwissenschaftlichen Fakultät</w:t>
      </w:r>
      <w:r w:rsidRPr="002D3397">
        <w:rPr>
          <w:rFonts w:cs="Times New Roman"/>
          <w:noProof/>
          <w:lang w:val="en-US"/>
        </w:rPr>
        <w:t xml:space="preserve">, </w:t>
      </w:r>
      <w:r w:rsidRPr="002D3397">
        <w:rPr>
          <w:rFonts w:cs="Times New Roman"/>
          <w:i/>
          <w:iCs/>
          <w:noProof/>
          <w:lang w:val="en-US"/>
        </w:rPr>
        <w:t>PhD</w:t>
      </w:r>
      <w:r w:rsidRPr="002D3397">
        <w:rPr>
          <w:rFonts w:cs="Times New Roman"/>
          <w:noProof/>
          <w:lang w:val="en-US"/>
        </w:rPr>
        <w:t>, 361. https://doi.org/10.1007/978-3-540-44902-7</w:t>
      </w:r>
    </w:p>
    <w:p w14:paraId="1DFB9AA6"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lastRenderedPageBreak/>
        <w:t xml:space="preserve">Rau, R., Bohk-Ewald, C., Muszyńska, M. M., &amp; Vaupel, J. W. (2018). </w:t>
      </w:r>
      <w:r w:rsidRPr="002D3397">
        <w:rPr>
          <w:rFonts w:cs="Times New Roman"/>
          <w:i/>
          <w:iCs/>
          <w:noProof/>
          <w:lang w:val="en-US"/>
        </w:rPr>
        <w:t>Visualizing Mortality Dynamics in the Lexis Diagram</w:t>
      </w:r>
      <w:r w:rsidRPr="002D3397">
        <w:rPr>
          <w:rFonts w:cs="Times New Roman"/>
          <w:noProof/>
          <w:lang w:val="en-US"/>
        </w:rPr>
        <w:t>. https://doi.org/10.1007/978-3-319-64820-0</w:t>
      </w:r>
    </w:p>
    <w:p w14:paraId="5868827B"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Reichert, T. A., Simonsen, L., Sharma, A., Pardo, S. A., Fedson, D. S., &amp; Miller, M. A. (2004). Influenza and the winter increase in mortality in the United States, 1959-1999. </w:t>
      </w:r>
      <w:r w:rsidRPr="002D3397">
        <w:rPr>
          <w:rFonts w:cs="Times New Roman"/>
          <w:i/>
          <w:iCs/>
          <w:noProof/>
          <w:lang w:val="en-US"/>
        </w:rPr>
        <w:t>American Journal of Epidemiology</w:t>
      </w:r>
      <w:r w:rsidRPr="002D3397">
        <w:rPr>
          <w:rFonts w:cs="Times New Roman"/>
          <w:noProof/>
          <w:lang w:val="en-US"/>
        </w:rPr>
        <w:t>. https://doi.org/10.1093/aje/kwh227</w:t>
      </w:r>
    </w:p>
    <w:p w14:paraId="3C62A105"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Rogot, E., Fabsitz, R., &amp; Feinleib, M. (1976). Daily variation In USA mortality. </w:t>
      </w:r>
      <w:r w:rsidRPr="002D3397">
        <w:rPr>
          <w:rFonts w:cs="Times New Roman"/>
          <w:i/>
          <w:iCs/>
          <w:noProof/>
          <w:lang w:val="en-US"/>
        </w:rPr>
        <w:t>American Journal of Epidemiology</w:t>
      </w:r>
      <w:r w:rsidRPr="002D3397">
        <w:rPr>
          <w:rFonts w:cs="Times New Roman"/>
          <w:noProof/>
          <w:lang w:val="en-US"/>
        </w:rPr>
        <w:t>. https://doi.org/10.1093/oxfordjournals.aje.a112218</w:t>
      </w:r>
    </w:p>
    <w:p w14:paraId="2EC80BB8"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Rosenwaike, I. (1966). Seasonal Variation of Deaths in the United States, 1951–1960. </w:t>
      </w:r>
      <w:r w:rsidRPr="002D3397">
        <w:rPr>
          <w:rFonts w:cs="Times New Roman"/>
          <w:i/>
          <w:iCs/>
          <w:noProof/>
          <w:lang w:val="en-US"/>
        </w:rPr>
        <w:t>Journal of the American Statistical Association</w:t>
      </w:r>
      <w:r w:rsidRPr="002D3397">
        <w:rPr>
          <w:rFonts w:cs="Times New Roman"/>
          <w:noProof/>
          <w:lang w:val="en-US"/>
        </w:rPr>
        <w:t xml:space="preserve">, </w:t>
      </w:r>
      <w:r w:rsidRPr="002D3397">
        <w:rPr>
          <w:rFonts w:cs="Times New Roman"/>
          <w:i/>
          <w:iCs/>
          <w:noProof/>
          <w:lang w:val="en-US"/>
        </w:rPr>
        <w:t>61</w:t>
      </w:r>
      <w:r w:rsidRPr="002D3397">
        <w:rPr>
          <w:rFonts w:cs="Times New Roman"/>
          <w:noProof/>
          <w:lang w:val="en-US"/>
        </w:rPr>
        <w:t>(315), 706–719. https://doi.org/10.1080/01621459.1966.10480899</w:t>
      </w:r>
    </w:p>
    <w:p w14:paraId="4B764F96"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Rue, H., Martino, S., &amp; Chopin, N. (2009). Approximate Bayesian inference for latent Gaussian models by using integrated nested Laplace approximations. </w:t>
      </w:r>
      <w:r w:rsidRPr="002D3397">
        <w:rPr>
          <w:rFonts w:cs="Times New Roman"/>
          <w:i/>
          <w:iCs/>
          <w:noProof/>
          <w:lang w:val="en-US"/>
        </w:rPr>
        <w:t>Journal of the Royal Statistical Society. Series B: Statistical Methodology</w:t>
      </w:r>
      <w:r w:rsidRPr="002D3397">
        <w:rPr>
          <w:rFonts w:cs="Times New Roman"/>
          <w:noProof/>
          <w:lang w:val="en-US"/>
        </w:rPr>
        <w:t>. https://doi.org/10.1111/j.1467-9868.2008.00700.x</w:t>
      </w:r>
    </w:p>
    <w:p w14:paraId="14D7FABF"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Semenza, J. C., Rubin, C. H., Falter, K. H., Selanikio, J. D., Flanders, W. D., Howe, H. L., &amp; Wilhelm, J. L. (1996). Heat-Related Deaths during the July 1995 Heat Wave in Chicago. </w:t>
      </w:r>
      <w:r w:rsidRPr="002D3397">
        <w:rPr>
          <w:rFonts w:cs="Times New Roman"/>
          <w:i/>
          <w:iCs/>
          <w:noProof/>
          <w:lang w:val="en-US"/>
        </w:rPr>
        <w:t>New England Journal of Medicine</w:t>
      </w:r>
      <w:r w:rsidRPr="002D3397">
        <w:rPr>
          <w:rFonts w:cs="Times New Roman"/>
          <w:noProof/>
          <w:lang w:val="en-US"/>
        </w:rPr>
        <w:t>. https://doi.org/10.1056/NEJM199607113350203</w:t>
      </w:r>
    </w:p>
    <w:p w14:paraId="3CBB2F47"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Shaw, B. D. (2006). Seasons of death: aspects of mortality in Imperial Rome. </w:t>
      </w:r>
      <w:r w:rsidRPr="002D3397">
        <w:rPr>
          <w:rFonts w:cs="Times New Roman"/>
          <w:i/>
          <w:iCs/>
          <w:noProof/>
          <w:lang w:val="en-US"/>
        </w:rPr>
        <w:t>The Journal of Roman Studies</w:t>
      </w:r>
      <w:r w:rsidRPr="002D3397">
        <w:rPr>
          <w:rFonts w:cs="Times New Roman"/>
          <w:noProof/>
          <w:lang w:val="en-US"/>
        </w:rPr>
        <w:t>. https://doi.org/10.2307/300425</w:t>
      </w:r>
    </w:p>
    <w:p w14:paraId="741191FA"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Song, X., Wang, S., Hu, Y., Yue, M., Zhang, T., Liu, Y., … Shang, K. (2017). Impact of ambient temperature on morbidity and mortality: An overview of reviews. </w:t>
      </w:r>
      <w:r w:rsidRPr="002D3397">
        <w:rPr>
          <w:rFonts w:cs="Times New Roman"/>
          <w:i/>
          <w:iCs/>
          <w:noProof/>
          <w:lang w:val="en-US"/>
        </w:rPr>
        <w:t>Science of The Total Environment</w:t>
      </w:r>
      <w:r w:rsidRPr="002D3397">
        <w:rPr>
          <w:rFonts w:cs="Times New Roman"/>
          <w:noProof/>
          <w:lang w:val="en-US"/>
        </w:rPr>
        <w:t xml:space="preserve">, </w:t>
      </w:r>
      <w:r w:rsidRPr="002D3397">
        <w:rPr>
          <w:rFonts w:cs="Times New Roman"/>
          <w:i/>
          <w:iCs/>
          <w:noProof/>
          <w:lang w:val="en-US"/>
        </w:rPr>
        <w:t>586</w:t>
      </w:r>
      <w:r w:rsidRPr="002D3397">
        <w:rPr>
          <w:rFonts w:cs="Times New Roman"/>
          <w:noProof/>
          <w:lang w:val="en-US"/>
        </w:rPr>
        <w:t>, 241–254. Retrieved from internal-pdf://121.226.169.224/1-s2.0-S0048969717302292-main.pdf</w:t>
      </w:r>
    </w:p>
    <w:p w14:paraId="611A2632"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The Eurowinter Group. (1997). Cold exposure and winter mortality from ischaemic heart disease, cerebrovascular disease, respiratory disease, and all causes in warm and cold regions of Europe. </w:t>
      </w:r>
      <w:r w:rsidRPr="002D3397">
        <w:rPr>
          <w:rFonts w:cs="Times New Roman"/>
          <w:i/>
          <w:iCs/>
          <w:noProof/>
          <w:lang w:val="en-US"/>
        </w:rPr>
        <w:t>Lancet</w:t>
      </w:r>
      <w:r w:rsidRPr="002D3397">
        <w:rPr>
          <w:rFonts w:cs="Times New Roman"/>
          <w:noProof/>
          <w:lang w:val="en-US"/>
        </w:rPr>
        <w:t xml:space="preserve">, </w:t>
      </w:r>
      <w:r w:rsidRPr="002D3397">
        <w:rPr>
          <w:rFonts w:cs="Times New Roman"/>
          <w:i/>
          <w:iCs/>
          <w:noProof/>
          <w:lang w:val="en-US"/>
        </w:rPr>
        <w:t>349</w:t>
      </w:r>
      <w:r w:rsidRPr="002D3397">
        <w:rPr>
          <w:rFonts w:cs="Times New Roman"/>
          <w:noProof/>
          <w:lang w:val="en-US"/>
        </w:rPr>
        <w:t>, 1341–46. https://doi.org/S0140673696123382 [pii]</w:t>
      </w:r>
    </w:p>
    <w:p w14:paraId="4338281A"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Trudeau, R. (1997). Monthly and daily patterns of death. </w:t>
      </w:r>
      <w:r w:rsidRPr="002D3397">
        <w:rPr>
          <w:rFonts w:cs="Times New Roman"/>
          <w:i/>
          <w:iCs/>
          <w:noProof/>
          <w:lang w:val="en-US"/>
        </w:rPr>
        <w:t>Statistics Canada</w:t>
      </w:r>
      <w:r w:rsidRPr="002D3397">
        <w:rPr>
          <w:rFonts w:cs="Times New Roman"/>
          <w:noProof/>
          <w:lang w:val="en-US"/>
        </w:rPr>
        <w:t xml:space="preserve">, </w:t>
      </w:r>
      <w:r w:rsidRPr="002D3397">
        <w:rPr>
          <w:rFonts w:cs="Times New Roman"/>
          <w:i/>
          <w:iCs/>
          <w:noProof/>
          <w:lang w:val="en-US"/>
        </w:rPr>
        <w:t>9</w:t>
      </w:r>
      <w:r w:rsidRPr="002D3397">
        <w:rPr>
          <w:rFonts w:cs="Times New Roman"/>
          <w:noProof/>
          <w:lang w:val="en-US"/>
        </w:rPr>
        <w:t>(1).</w:t>
      </w:r>
    </w:p>
    <w:p w14:paraId="5C67426A"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UNISDR. (2015). Sendai Framework for Disaster Risk Reduction 2015 - 2030. </w:t>
      </w:r>
      <w:r w:rsidRPr="002D3397">
        <w:rPr>
          <w:rFonts w:cs="Times New Roman"/>
          <w:i/>
          <w:iCs/>
          <w:noProof/>
          <w:lang w:val="en-US"/>
        </w:rPr>
        <w:t>Third World Conference on Disaster Risk Reduction, Sendai, Japan, 14-18 March 2015.</w:t>
      </w:r>
      <w:r w:rsidRPr="002D3397">
        <w:rPr>
          <w:rFonts w:cs="Times New Roman"/>
          <w:noProof/>
          <w:lang w:val="en-US"/>
        </w:rPr>
        <w:t>, (March), 1–25. https://doi.org/A/CONF.224/CRP.1</w:t>
      </w:r>
    </w:p>
    <w:p w14:paraId="006BB59A"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Vose, R. S., Applequist, S., Squires, M., Durre, I., Menne, C. J., Williams, C. N., … Arndt, D. (2014). Improved historical temperature and precipitation time series for U.S. climate divisions. </w:t>
      </w:r>
      <w:r w:rsidRPr="002D3397">
        <w:rPr>
          <w:rFonts w:cs="Times New Roman"/>
          <w:i/>
          <w:iCs/>
          <w:noProof/>
          <w:lang w:val="en-US"/>
        </w:rPr>
        <w:t>Journal of Applied Meteorology and Climatology</w:t>
      </w:r>
      <w:r w:rsidRPr="002D3397">
        <w:rPr>
          <w:rFonts w:cs="Times New Roman"/>
          <w:noProof/>
          <w:lang w:val="en-US"/>
        </w:rPr>
        <w:t>. https://doi.org/10.1175/JAMC-D-13-0248.1</w:t>
      </w:r>
    </w:p>
    <w:p w14:paraId="3F22874C"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lastRenderedPageBreak/>
        <w:t xml:space="preserve">WHO. (2016). </w:t>
      </w:r>
      <w:r w:rsidRPr="002D3397">
        <w:rPr>
          <w:rFonts w:cs="Times New Roman"/>
          <w:i/>
          <w:iCs/>
          <w:noProof/>
          <w:lang w:val="en-US"/>
        </w:rPr>
        <w:t>World Health Statistics 2016 Monitoring Health for the SDGs</w:t>
      </w:r>
      <w:r w:rsidRPr="002D3397">
        <w:rPr>
          <w:rFonts w:cs="Times New Roman"/>
          <w:noProof/>
          <w:lang w:val="en-US"/>
        </w:rPr>
        <w:t xml:space="preserve">. </w:t>
      </w:r>
      <w:r w:rsidRPr="002D3397">
        <w:rPr>
          <w:rFonts w:cs="Times New Roman"/>
          <w:i/>
          <w:iCs/>
          <w:noProof/>
          <w:lang w:val="en-US"/>
        </w:rPr>
        <w:t>WHO Library Cataloguing-in-Publication Data World</w:t>
      </w:r>
      <w:r w:rsidRPr="002D3397">
        <w:rPr>
          <w:rFonts w:cs="Times New Roman"/>
          <w:noProof/>
          <w:lang w:val="en-US"/>
        </w:rPr>
        <w:t>.</w:t>
      </w:r>
    </w:p>
    <w:p w14:paraId="2AAD4AD9"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WHO. (2018a). WHO Methods and Data Sources for Country-Level Cause of Death 2000-2016, (March), 1–51. https://doi.org/ISBN 9789241564854</w:t>
      </w:r>
    </w:p>
    <w:p w14:paraId="551D3CC6"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WHO. (2018b). WHO methods and data sources for life tables 1990-2016. Retrieved from http://www.who.int/healthinfo/statistics/LT_method.pdf</w:t>
      </w:r>
    </w:p>
    <w:p w14:paraId="5DB15EE1"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WMO. (2016). Guidelines on the Defintion and Monitoring of Extreme Weather and Climate Events. </w:t>
      </w:r>
      <w:r w:rsidRPr="002D3397">
        <w:rPr>
          <w:rFonts w:cs="Times New Roman"/>
          <w:i/>
          <w:iCs/>
          <w:noProof/>
          <w:lang w:val="en-US"/>
        </w:rPr>
        <w:t>Task Team on the Definition of Extreme Weather and Climate Events</w:t>
      </w:r>
      <w:r w:rsidRPr="002D3397">
        <w:rPr>
          <w:rFonts w:cs="Times New Roman"/>
          <w:noProof/>
          <w:lang w:val="en-US"/>
        </w:rPr>
        <w:t>, (December 2015), 62. https://doi.org/http://dx.doi.org/10.1016/j.corsci.2014.12.017</w:t>
      </w:r>
    </w:p>
    <w:p w14:paraId="7891CD9A" w14:textId="77777777" w:rsidR="002D3397" w:rsidRPr="002D3397" w:rsidRDefault="002D3397" w:rsidP="002D3397">
      <w:pPr>
        <w:widowControl w:val="0"/>
        <w:autoSpaceDE w:val="0"/>
        <w:autoSpaceDN w:val="0"/>
        <w:adjustRightInd w:val="0"/>
        <w:spacing w:line="240" w:lineRule="auto"/>
        <w:ind w:left="480" w:hanging="480"/>
        <w:rPr>
          <w:rFonts w:cs="Times New Roman"/>
          <w:noProof/>
          <w:lang w:val="en-US"/>
        </w:rPr>
      </w:pPr>
      <w:r w:rsidRPr="002D3397">
        <w:rPr>
          <w:rFonts w:cs="Times New Roman"/>
          <w:noProof/>
          <w:lang w:val="en-US"/>
        </w:rPr>
        <w:t xml:space="preserve">Ye, X., Wolff, R., Yu, W., Vaneckova, P., Pan, X., &amp; Tong, S. (2012). Ambient temperature and morbidity: a review of epidemiological evidence. </w:t>
      </w:r>
      <w:r w:rsidRPr="002D3397">
        <w:rPr>
          <w:rFonts w:cs="Times New Roman"/>
          <w:i/>
          <w:iCs/>
          <w:noProof/>
          <w:lang w:val="en-US"/>
        </w:rPr>
        <w:t>Environmental Health Perspectives</w:t>
      </w:r>
      <w:r w:rsidRPr="002D3397">
        <w:rPr>
          <w:rFonts w:cs="Times New Roman"/>
          <w:noProof/>
          <w:lang w:val="en-US"/>
        </w:rPr>
        <w:t xml:space="preserve">, </w:t>
      </w:r>
      <w:r w:rsidRPr="002D3397">
        <w:rPr>
          <w:rFonts w:cs="Times New Roman"/>
          <w:i/>
          <w:iCs/>
          <w:noProof/>
          <w:lang w:val="en-US"/>
        </w:rPr>
        <w:t>120</w:t>
      </w:r>
      <w:r w:rsidRPr="002D3397">
        <w:rPr>
          <w:rFonts w:cs="Times New Roman"/>
          <w:noProof/>
          <w:lang w:val="en-US"/>
        </w:rPr>
        <w:t>(1), 19–28. https://doi.org/10.1289/ehp.1003198</w:t>
      </w:r>
    </w:p>
    <w:p w14:paraId="0C89946B" w14:textId="77777777" w:rsidR="002D3397" w:rsidRPr="002D3397" w:rsidRDefault="002D3397" w:rsidP="002D3397">
      <w:pPr>
        <w:widowControl w:val="0"/>
        <w:autoSpaceDE w:val="0"/>
        <w:autoSpaceDN w:val="0"/>
        <w:adjustRightInd w:val="0"/>
        <w:spacing w:line="240" w:lineRule="auto"/>
        <w:ind w:left="480" w:hanging="480"/>
        <w:rPr>
          <w:rFonts w:cs="Times New Roman"/>
          <w:noProof/>
        </w:rPr>
      </w:pPr>
      <w:r w:rsidRPr="002D3397">
        <w:rPr>
          <w:rFonts w:cs="Times New Roman"/>
          <w:noProof/>
          <w:lang w:val="en-US"/>
        </w:rPr>
        <w:t xml:space="preserve">Zanobetti, A., O’Neill, M. S., Gronlund, C. J., &amp; Schwartz, J. D. (2012). Summer temperature variability and long-term survival among elderly people with chronic disease. </w:t>
      </w:r>
      <w:r w:rsidRPr="002D3397">
        <w:rPr>
          <w:rFonts w:cs="Times New Roman"/>
          <w:i/>
          <w:iCs/>
          <w:noProof/>
          <w:lang w:val="en-US"/>
        </w:rPr>
        <w:t>Proceedings of the National Academy of Sciences</w:t>
      </w:r>
      <w:r w:rsidRPr="002D3397">
        <w:rPr>
          <w:rFonts w:cs="Times New Roman"/>
          <w:noProof/>
          <w:lang w:val="en-US"/>
        </w:rPr>
        <w:t>. https://doi.org/10.1073/pnas.1113070109</w:t>
      </w:r>
    </w:p>
    <w:p w14:paraId="14D0E6E5" w14:textId="2D1AFEAC" w:rsidR="009011C5" w:rsidRPr="00636C9B" w:rsidRDefault="00A55581" w:rsidP="002D3397">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B204F1" w14:textId="77777777" w:rsidR="00ED060E" w:rsidRDefault="00ED060E">
      <w:pPr>
        <w:spacing w:after="0" w:line="240" w:lineRule="auto"/>
      </w:pPr>
      <w:r>
        <w:separator/>
      </w:r>
    </w:p>
  </w:endnote>
  <w:endnote w:type="continuationSeparator" w:id="0">
    <w:p w14:paraId="70B870EF" w14:textId="77777777" w:rsidR="00ED060E" w:rsidRDefault="00ED06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DB01BA" w:rsidRDefault="00DB01BA"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DB01BA" w:rsidRDefault="00DB01B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DB01BA" w:rsidRDefault="00DB01BA"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1F1A9C" w14:textId="77777777" w:rsidR="00ED060E" w:rsidRDefault="00ED060E">
      <w:pPr>
        <w:spacing w:after="0" w:line="240" w:lineRule="auto"/>
      </w:pPr>
      <w:r>
        <w:separator/>
      </w:r>
    </w:p>
  </w:footnote>
  <w:footnote w:type="continuationSeparator" w:id="0">
    <w:p w14:paraId="2FC0FBD9" w14:textId="77777777" w:rsidR="00ED060E" w:rsidRDefault="00ED06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7"/>
  </w:num>
  <w:num w:numId="2">
    <w:abstractNumId w:val="16"/>
  </w:num>
  <w:num w:numId="3">
    <w:abstractNumId w:val="13"/>
  </w:num>
  <w:num w:numId="4">
    <w:abstractNumId w:val="15"/>
  </w:num>
  <w:num w:numId="5">
    <w:abstractNumId w:val="3"/>
  </w:num>
  <w:num w:numId="6">
    <w:abstractNumId w:val="4"/>
  </w:num>
  <w:num w:numId="7">
    <w:abstractNumId w:val="2"/>
  </w:num>
  <w:num w:numId="8">
    <w:abstractNumId w:val="10"/>
  </w:num>
  <w:num w:numId="9">
    <w:abstractNumId w:val="14"/>
  </w:num>
  <w:num w:numId="10">
    <w:abstractNumId w:val="9"/>
  </w:num>
  <w:num w:numId="11">
    <w:abstractNumId w:val="11"/>
  </w:num>
  <w:num w:numId="12">
    <w:abstractNumId w:val="8"/>
  </w:num>
  <w:num w:numId="13">
    <w:abstractNumId w:val="6"/>
  </w:num>
  <w:num w:numId="14">
    <w:abstractNumId w:val="5"/>
  </w:num>
  <w:num w:numId="15">
    <w:abstractNumId w:val="12"/>
  </w:num>
  <w:num w:numId="16">
    <w:abstractNumId w:val="12"/>
  </w:num>
  <w:num w:numId="17">
    <w:abstractNumId w:val="12"/>
  </w:num>
  <w:num w:numId="18">
    <w:abstractNumId w:val="12"/>
  </w:num>
  <w:num w:numId="19">
    <w:abstractNumId w:val="12"/>
  </w:num>
  <w:num w:numId="20">
    <w:abstractNumId w:val="0"/>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680"/>
    <w:rsid w:val="00003799"/>
    <w:rsid w:val="00003A27"/>
    <w:rsid w:val="00003D82"/>
    <w:rsid w:val="0000416A"/>
    <w:rsid w:val="0000446B"/>
    <w:rsid w:val="00004888"/>
    <w:rsid w:val="00004B84"/>
    <w:rsid w:val="00004B85"/>
    <w:rsid w:val="00004F5B"/>
    <w:rsid w:val="00005365"/>
    <w:rsid w:val="00005639"/>
    <w:rsid w:val="000060C8"/>
    <w:rsid w:val="00006214"/>
    <w:rsid w:val="00010646"/>
    <w:rsid w:val="000112A5"/>
    <w:rsid w:val="00011D62"/>
    <w:rsid w:val="000125C5"/>
    <w:rsid w:val="00012A43"/>
    <w:rsid w:val="00012A91"/>
    <w:rsid w:val="00012E7D"/>
    <w:rsid w:val="00012EF7"/>
    <w:rsid w:val="00012FB9"/>
    <w:rsid w:val="0001322E"/>
    <w:rsid w:val="00013477"/>
    <w:rsid w:val="000135F4"/>
    <w:rsid w:val="00013786"/>
    <w:rsid w:val="0001432A"/>
    <w:rsid w:val="0001468B"/>
    <w:rsid w:val="000149E6"/>
    <w:rsid w:val="00015AFF"/>
    <w:rsid w:val="00016713"/>
    <w:rsid w:val="00016E6B"/>
    <w:rsid w:val="0001712A"/>
    <w:rsid w:val="000177DB"/>
    <w:rsid w:val="00017B34"/>
    <w:rsid w:val="00020C6F"/>
    <w:rsid w:val="000210D1"/>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C36"/>
    <w:rsid w:val="00031324"/>
    <w:rsid w:val="00031D95"/>
    <w:rsid w:val="00033124"/>
    <w:rsid w:val="0003317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175B"/>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951"/>
    <w:rsid w:val="00071F79"/>
    <w:rsid w:val="000721B3"/>
    <w:rsid w:val="00072C38"/>
    <w:rsid w:val="00072CAE"/>
    <w:rsid w:val="000732FB"/>
    <w:rsid w:val="00073ADC"/>
    <w:rsid w:val="00073B07"/>
    <w:rsid w:val="00073C2A"/>
    <w:rsid w:val="00073F1B"/>
    <w:rsid w:val="000752A7"/>
    <w:rsid w:val="00075402"/>
    <w:rsid w:val="00075501"/>
    <w:rsid w:val="0007648C"/>
    <w:rsid w:val="000765BB"/>
    <w:rsid w:val="00077792"/>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612A"/>
    <w:rsid w:val="0008617C"/>
    <w:rsid w:val="00086317"/>
    <w:rsid w:val="000866E8"/>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503"/>
    <w:rsid w:val="00095915"/>
    <w:rsid w:val="00095F25"/>
    <w:rsid w:val="000962A3"/>
    <w:rsid w:val="00097348"/>
    <w:rsid w:val="00097EE3"/>
    <w:rsid w:val="000A084D"/>
    <w:rsid w:val="000A0A5E"/>
    <w:rsid w:val="000A0BD8"/>
    <w:rsid w:val="000A1061"/>
    <w:rsid w:val="000A1507"/>
    <w:rsid w:val="000A199A"/>
    <w:rsid w:val="000A1F07"/>
    <w:rsid w:val="000A2462"/>
    <w:rsid w:val="000A25B1"/>
    <w:rsid w:val="000A2637"/>
    <w:rsid w:val="000A38D2"/>
    <w:rsid w:val="000A476B"/>
    <w:rsid w:val="000A4BC4"/>
    <w:rsid w:val="000A5ABC"/>
    <w:rsid w:val="000A6108"/>
    <w:rsid w:val="000A6BC8"/>
    <w:rsid w:val="000A6C26"/>
    <w:rsid w:val="000A709C"/>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7055"/>
    <w:rsid w:val="000B72F7"/>
    <w:rsid w:val="000B7625"/>
    <w:rsid w:val="000B7A12"/>
    <w:rsid w:val="000B7F6A"/>
    <w:rsid w:val="000C030E"/>
    <w:rsid w:val="000C07D3"/>
    <w:rsid w:val="000C0A3E"/>
    <w:rsid w:val="000C1EC3"/>
    <w:rsid w:val="000C3434"/>
    <w:rsid w:val="000C36FE"/>
    <w:rsid w:val="000C3F6D"/>
    <w:rsid w:val="000C564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B12"/>
    <w:rsid w:val="000E1DDA"/>
    <w:rsid w:val="000E2FBB"/>
    <w:rsid w:val="000E4433"/>
    <w:rsid w:val="000E4726"/>
    <w:rsid w:val="000E48D7"/>
    <w:rsid w:val="000E49E0"/>
    <w:rsid w:val="000E60FC"/>
    <w:rsid w:val="000E6236"/>
    <w:rsid w:val="000E665B"/>
    <w:rsid w:val="000F0627"/>
    <w:rsid w:val="000F0913"/>
    <w:rsid w:val="000F09F9"/>
    <w:rsid w:val="000F0C79"/>
    <w:rsid w:val="000F1035"/>
    <w:rsid w:val="000F1DF7"/>
    <w:rsid w:val="000F3189"/>
    <w:rsid w:val="000F386F"/>
    <w:rsid w:val="000F3D7A"/>
    <w:rsid w:val="000F44C0"/>
    <w:rsid w:val="000F4625"/>
    <w:rsid w:val="000F4B39"/>
    <w:rsid w:val="000F503A"/>
    <w:rsid w:val="000F57B9"/>
    <w:rsid w:val="000F58BA"/>
    <w:rsid w:val="000F5DC3"/>
    <w:rsid w:val="000F6677"/>
    <w:rsid w:val="000F7914"/>
    <w:rsid w:val="00100327"/>
    <w:rsid w:val="00100FF8"/>
    <w:rsid w:val="00101AAE"/>
    <w:rsid w:val="00101D5D"/>
    <w:rsid w:val="00102040"/>
    <w:rsid w:val="00102468"/>
    <w:rsid w:val="00102B74"/>
    <w:rsid w:val="00102C9E"/>
    <w:rsid w:val="00102EE5"/>
    <w:rsid w:val="00103979"/>
    <w:rsid w:val="00104231"/>
    <w:rsid w:val="0010440D"/>
    <w:rsid w:val="00105420"/>
    <w:rsid w:val="00105569"/>
    <w:rsid w:val="00105731"/>
    <w:rsid w:val="0010581C"/>
    <w:rsid w:val="001063E9"/>
    <w:rsid w:val="001066F3"/>
    <w:rsid w:val="0010673A"/>
    <w:rsid w:val="001067A9"/>
    <w:rsid w:val="00107C70"/>
    <w:rsid w:val="00110568"/>
    <w:rsid w:val="00111694"/>
    <w:rsid w:val="00112077"/>
    <w:rsid w:val="00112085"/>
    <w:rsid w:val="001121F5"/>
    <w:rsid w:val="00112CB4"/>
    <w:rsid w:val="00112F7C"/>
    <w:rsid w:val="00113023"/>
    <w:rsid w:val="00113FD5"/>
    <w:rsid w:val="00114168"/>
    <w:rsid w:val="00114B42"/>
    <w:rsid w:val="00115F35"/>
    <w:rsid w:val="0011649A"/>
    <w:rsid w:val="001167CB"/>
    <w:rsid w:val="001171AC"/>
    <w:rsid w:val="001174F6"/>
    <w:rsid w:val="001209A6"/>
    <w:rsid w:val="00120C95"/>
    <w:rsid w:val="00120F44"/>
    <w:rsid w:val="00122769"/>
    <w:rsid w:val="00123742"/>
    <w:rsid w:val="00123D04"/>
    <w:rsid w:val="001242F1"/>
    <w:rsid w:val="00124496"/>
    <w:rsid w:val="0012466F"/>
    <w:rsid w:val="00124AAF"/>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29B3"/>
    <w:rsid w:val="00143121"/>
    <w:rsid w:val="00143E18"/>
    <w:rsid w:val="00144387"/>
    <w:rsid w:val="00144A7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9E1"/>
    <w:rsid w:val="00165B58"/>
    <w:rsid w:val="00166430"/>
    <w:rsid w:val="0016666B"/>
    <w:rsid w:val="001668BC"/>
    <w:rsid w:val="00166F4A"/>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0C6D"/>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0861"/>
    <w:rsid w:val="001910F8"/>
    <w:rsid w:val="0019142A"/>
    <w:rsid w:val="001915BA"/>
    <w:rsid w:val="001918BF"/>
    <w:rsid w:val="001921F1"/>
    <w:rsid w:val="00192959"/>
    <w:rsid w:val="00194696"/>
    <w:rsid w:val="00194A92"/>
    <w:rsid w:val="00195693"/>
    <w:rsid w:val="001956B1"/>
    <w:rsid w:val="0019611E"/>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067"/>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4A"/>
    <w:rsid w:val="001C27D1"/>
    <w:rsid w:val="001C2D6F"/>
    <w:rsid w:val="001C38C2"/>
    <w:rsid w:val="001C3E28"/>
    <w:rsid w:val="001C4796"/>
    <w:rsid w:val="001C540F"/>
    <w:rsid w:val="001C608C"/>
    <w:rsid w:val="001C613C"/>
    <w:rsid w:val="001C61A2"/>
    <w:rsid w:val="001C658C"/>
    <w:rsid w:val="001D01A6"/>
    <w:rsid w:val="001D03D9"/>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1767"/>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7E4"/>
    <w:rsid w:val="00205A33"/>
    <w:rsid w:val="00205AEF"/>
    <w:rsid w:val="00206A3E"/>
    <w:rsid w:val="00206EE5"/>
    <w:rsid w:val="00207B14"/>
    <w:rsid w:val="00207F3E"/>
    <w:rsid w:val="00210564"/>
    <w:rsid w:val="002106A0"/>
    <w:rsid w:val="00211D61"/>
    <w:rsid w:val="00212141"/>
    <w:rsid w:val="002126B3"/>
    <w:rsid w:val="0021306D"/>
    <w:rsid w:val="002136E5"/>
    <w:rsid w:val="00215290"/>
    <w:rsid w:val="00216466"/>
    <w:rsid w:val="002166AE"/>
    <w:rsid w:val="00216745"/>
    <w:rsid w:val="00217120"/>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0CC9"/>
    <w:rsid w:val="0023102E"/>
    <w:rsid w:val="00231803"/>
    <w:rsid w:val="002322ED"/>
    <w:rsid w:val="00232690"/>
    <w:rsid w:val="00232F40"/>
    <w:rsid w:val="00233082"/>
    <w:rsid w:val="00233194"/>
    <w:rsid w:val="0023343A"/>
    <w:rsid w:val="002339FB"/>
    <w:rsid w:val="00233C77"/>
    <w:rsid w:val="00234E19"/>
    <w:rsid w:val="00235035"/>
    <w:rsid w:val="002351FA"/>
    <w:rsid w:val="002356DB"/>
    <w:rsid w:val="00235CE2"/>
    <w:rsid w:val="00236869"/>
    <w:rsid w:val="00236F2F"/>
    <w:rsid w:val="00237B6F"/>
    <w:rsid w:val="00237CA3"/>
    <w:rsid w:val="00237CD0"/>
    <w:rsid w:val="002406B4"/>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08"/>
    <w:rsid w:val="00250C33"/>
    <w:rsid w:val="00250D8A"/>
    <w:rsid w:val="00252185"/>
    <w:rsid w:val="002522D1"/>
    <w:rsid w:val="00252896"/>
    <w:rsid w:val="00252CB9"/>
    <w:rsid w:val="0025351B"/>
    <w:rsid w:val="00254130"/>
    <w:rsid w:val="002541F6"/>
    <w:rsid w:val="002545CA"/>
    <w:rsid w:val="002545FD"/>
    <w:rsid w:val="00254AB4"/>
    <w:rsid w:val="00254B2A"/>
    <w:rsid w:val="00255125"/>
    <w:rsid w:val="002554A9"/>
    <w:rsid w:val="002554C0"/>
    <w:rsid w:val="002558CB"/>
    <w:rsid w:val="0025677F"/>
    <w:rsid w:val="0025682D"/>
    <w:rsid w:val="00256DC3"/>
    <w:rsid w:val="00257B8E"/>
    <w:rsid w:val="0026020D"/>
    <w:rsid w:val="0026033D"/>
    <w:rsid w:val="0026048D"/>
    <w:rsid w:val="00260B02"/>
    <w:rsid w:val="00261076"/>
    <w:rsid w:val="002611BE"/>
    <w:rsid w:val="00261320"/>
    <w:rsid w:val="00261E04"/>
    <w:rsid w:val="0026224F"/>
    <w:rsid w:val="00262BC5"/>
    <w:rsid w:val="002633F6"/>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032"/>
    <w:rsid w:val="00274FC3"/>
    <w:rsid w:val="002754D2"/>
    <w:rsid w:val="00276CF3"/>
    <w:rsid w:val="00277143"/>
    <w:rsid w:val="002773C7"/>
    <w:rsid w:val="00277E2F"/>
    <w:rsid w:val="00280E5B"/>
    <w:rsid w:val="0028102F"/>
    <w:rsid w:val="00281454"/>
    <w:rsid w:val="00282769"/>
    <w:rsid w:val="002833DC"/>
    <w:rsid w:val="00283C48"/>
    <w:rsid w:val="00283E06"/>
    <w:rsid w:val="00283E6C"/>
    <w:rsid w:val="00283F75"/>
    <w:rsid w:val="0028476C"/>
    <w:rsid w:val="00284C2E"/>
    <w:rsid w:val="00284DC4"/>
    <w:rsid w:val="00284EE0"/>
    <w:rsid w:val="0028518E"/>
    <w:rsid w:val="002855D6"/>
    <w:rsid w:val="00285791"/>
    <w:rsid w:val="00286225"/>
    <w:rsid w:val="00287229"/>
    <w:rsid w:val="00287584"/>
    <w:rsid w:val="00290E98"/>
    <w:rsid w:val="002912D9"/>
    <w:rsid w:val="00292A75"/>
    <w:rsid w:val="0029420D"/>
    <w:rsid w:val="00294C1D"/>
    <w:rsid w:val="00294F37"/>
    <w:rsid w:val="002953F0"/>
    <w:rsid w:val="00295451"/>
    <w:rsid w:val="002964A1"/>
    <w:rsid w:val="00296A5E"/>
    <w:rsid w:val="00296B1D"/>
    <w:rsid w:val="002970B8"/>
    <w:rsid w:val="00297C0C"/>
    <w:rsid w:val="002A08C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3E8"/>
    <w:rsid w:val="002A7720"/>
    <w:rsid w:val="002A772A"/>
    <w:rsid w:val="002B09EE"/>
    <w:rsid w:val="002B13F7"/>
    <w:rsid w:val="002B1B6F"/>
    <w:rsid w:val="002B2162"/>
    <w:rsid w:val="002B2E37"/>
    <w:rsid w:val="002B3A4F"/>
    <w:rsid w:val="002B3EDB"/>
    <w:rsid w:val="002B40EE"/>
    <w:rsid w:val="002B42BF"/>
    <w:rsid w:val="002B4504"/>
    <w:rsid w:val="002B5115"/>
    <w:rsid w:val="002B5412"/>
    <w:rsid w:val="002B5DCD"/>
    <w:rsid w:val="002B5DDD"/>
    <w:rsid w:val="002B626A"/>
    <w:rsid w:val="002B6BF0"/>
    <w:rsid w:val="002B7879"/>
    <w:rsid w:val="002B7F08"/>
    <w:rsid w:val="002C083C"/>
    <w:rsid w:val="002C0846"/>
    <w:rsid w:val="002C1B3A"/>
    <w:rsid w:val="002C1DFB"/>
    <w:rsid w:val="002C2244"/>
    <w:rsid w:val="002C2541"/>
    <w:rsid w:val="002C2D96"/>
    <w:rsid w:val="002C3C82"/>
    <w:rsid w:val="002C4371"/>
    <w:rsid w:val="002C45C7"/>
    <w:rsid w:val="002C4C73"/>
    <w:rsid w:val="002C5216"/>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4543"/>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65A"/>
    <w:rsid w:val="002F5785"/>
    <w:rsid w:val="002F58A3"/>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6A2A"/>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17E1B"/>
    <w:rsid w:val="00320071"/>
    <w:rsid w:val="00321373"/>
    <w:rsid w:val="00321590"/>
    <w:rsid w:val="00321DA9"/>
    <w:rsid w:val="00321FF7"/>
    <w:rsid w:val="0032273D"/>
    <w:rsid w:val="00322794"/>
    <w:rsid w:val="00322B2B"/>
    <w:rsid w:val="003231BD"/>
    <w:rsid w:val="003239BA"/>
    <w:rsid w:val="003257E0"/>
    <w:rsid w:val="003257F8"/>
    <w:rsid w:val="003259BF"/>
    <w:rsid w:val="00325C23"/>
    <w:rsid w:val="0032795E"/>
    <w:rsid w:val="00327C97"/>
    <w:rsid w:val="00330130"/>
    <w:rsid w:val="003301C2"/>
    <w:rsid w:val="003306B1"/>
    <w:rsid w:val="00330FBE"/>
    <w:rsid w:val="00331274"/>
    <w:rsid w:val="00332383"/>
    <w:rsid w:val="0033298B"/>
    <w:rsid w:val="0033375D"/>
    <w:rsid w:val="003340AF"/>
    <w:rsid w:val="00334A02"/>
    <w:rsid w:val="00334A3C"/>
    <w:rsid w:val="00334CAF"/>
    <w:rsid w:val="00334F2A"/>
    <w:rsid w:val="00335B57"/>
    <w:rsid w:val="00336B3C"/>
    <w:rsid w:val="00336CBD"/>
    <w:rsid w:val="00337ABD"/>
    <w:rsid w:val="00337BF7"/>
    <w:rsid w:val="0034334E"/>
    <w:rsid w:val="00343EBC"/>
    <w:rsid w:val="00345A02"/>
    <w:rsid w:val="003462A6"/>
    <w:rsid w:val="0034640E"/>
    <w:rsid w:val="003464A7"/>
    <w:rsid w:val="003467F3"/>
    <w:rsid w:val="0034749E"/>
    <w:rsid w:val="00347A19"/>
    <w:rsid w:val="00347B7D"/>
    <w:rsid w:val="00347C53"/>
    <w:rsid w:val="00347D81"/>
    <w:rsid w:val="003504DB"/>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362"/>
    <w:rsid w:val="00363A45"/>
    <w:rsid w:val="00364E5E"/>
    <w:rsid w:val="0036553B"/>
    <w:rsid w:val="00365F79"/>
    <w:rsid w:val="003665D8"/>
    <w:rsid w:val="0036664E"/>
    <w:rsid w:val="00367067"/>
    <w:rsid w:val="0036742A"/>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648"/>
    <w:rsid w:val="00392C44"/>
    <w:rsid w:val="00392CC0"/>
    <w:rsid w:val="0039358E"/>
    <w:rsid w:val="003939B4"/>
    <w:rsid w:val="00393C87"/>
    <w:rsid w:val="00394D30"/>
    <w:rsid w:val="00395BA5"/>
    <w:rsid w:val="00395CB4"/>
    <w:rsid w:val="00396351"/>
    <w:rsid w:val="0039751B"/>
    <w:rsid w:val="0039796B"/>
    <w:rsid w:val="00397BAF"/>
    <w:rsid w:val="003A006B"/>
    <w:rsid w:val="003A02EB"/>
    <w:rsid w:val="003A239F"/>
    <w:rsid w:val="003A36B7"/>
    <w:rsid w:val="003A3A3F"/>
    <w:rsid w:val="003A3D1B"/>
    <w:rsid w:val="003A3DF2"/>
    <w:rsid w:val="003A4583"/>
    <w:rsid w:val="003A470E"/>
    <w:rsid w:val="003A50CF"/>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C97"/>
    <w:rsid w:val="003C4E90"/>
    <w:rsid w:val="003C4FE4"/>
    <w:rsid w:val="003C52FC"/>
    <w:rsid w:val="003C565B"/>
    <w:rsid w:val="003C5B03"/>
    <w:rsid w:val="003C6C93"/>
    <w:rsid w:val="003C7830"/>
    <w:rsid w:val="003C7C3F"/>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F197D"/>
    <w:rsid w:val="003F1A11"/>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5A48"/>
    <w:rsid w:val="0040623A"/>
    <w:rsid w:val="004063A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50F8"/>
    <w:rsid w:val="00415957"/>
    <w:rsid w:val="004163C4"/>
    <w:rsid w:val="004163E8"/>
    <w:rsid w:val="00416A32"/>
    <w:rsid w:val="00416AF3"/>
    <w:rsid w:val="00416B2F"/>
    <w:rsid w:val="0041730C"/>
    <w:rsid w:val="00417CF6"/>
    <w:rsid w:val="00420EA0"/>
    <w:rsid w:val="00421888"/>
    <w:rsid w:val="00422A12"/>
    <w:rsid w:val="00422D34"/>
    <w:rsid w:val="00423243"/>
    <w:rsid w:val="0042400B"/>
    <w:rsid w:val="00424D01"/>
    <w:rsid w:val="00425658"/>
    <w:rsid w:val="00425D77"/>
    <w:rsid w:val="00426492"/>
    <w:rsid w:val="004264D7"/>
    <w:rsid w:val="00426BE3"/>
    <w:rsid w:val="00427E7B"/>
    <w:rsid w:val="00427EA4"/>
    <w:rsid w:val="00430B68"/>
    <w:rsid w:val="004312AF"/>
    <w:rsid w:val="004313A3"/>
    <w:rsid w:val="004314DF"/>
    <w:rsid w:val="00431761"/>
    <w:rsid w:val="00431E3F"/>
    <w:rsid w:val="00431E5E"/>
    <w:rsid w:val="004337CB"/>
    <w:rsid w:val="00433EDB"/>
    <w:rsid w:val="00434C0F"/>
    <w:rsid w:val="00434F33"/>
    <w:rsid w:val="0043541D"/>
    <w:rsid w:val="00435FBB"/>
    <w:rsid w:val="0043664C"/>
    <w:rsid w:val="004366E7"/>
    <w:rsid w:val="00436EFD"/>
    <w:rsid w:val="00437A1A"/>
    <w:rsid w:val="00440177"/>
    <w:rsid w:val="0044079D"/>
    <w:rsid w:val="00441DFA"/>
    <w:rsid w:val="004428B5"/>
    <w:rsid w:val="00442AF2"/>
    <w:rsid w:val="00443903"/>
    <w:rsid w:val="00443AA8"/>
    <w:rsid w:val="00444D1A"/>
    <w:rsid w:val="00445372"/>
    <w:rsid w:val="004453B7"/>
    <w:rsid w:val="004455F1"/>
    <w:rsid w:val="004455F6"/>
    <w:rsid w:val="004468EB"/>
    <w:rsid w:val="00446A46"/>
    <w:rsid w:val="00446D7F"/>
    <w:rsid w:val="00447BDD"/>
    <w:rsid w:val="004508FE"/>
    <w:rsid w:val="00450FA1"/>
    <w:rsid w:val="00451021"/>
    <w:rsid w:val="004515F7"/>
    <w:rsid w:val="00452755"/>
    <w:rsid w:val="00452C20"/>
    <w:rsid w:val="00452DCF"/>
    <w:rsid w:val="004531AC"/>
    <w:rsid w:val="00453854"/>
    <w:rsid w:val="00453A14"/>
    <w:rsid w:val="00453A9A"/>
    <w:rsid w:val="004556E7"/>
    <w:rsid w:val="0045595C"/>
    <w:rsid w:val="00455A7D"/>
    <w:rsid w:val="00455EC1"/>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4579"/>
    <w:rsid w:val="004752C7"/>
    <w:rsid w:val="00475442"/>
    <w:rsid w:val="00475B09"/>
    <w:rsid w:val="00475FD8"/>
    <w:rsid w:val="00476A7F"/>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9A1"/>
    <w:rsid w:val="004A01F7"/>
    <w:rsid w:val="004A04FD"/>
    <w:rsid w:val="004A0635"/>
    <w:rsid w:val="004A11D9"/>
    <w:rsid w:val="004A1BC7"/>
    <w:rsid w:val="004A2303"/>
    <w:rsid w:val="004A2551"/>
    <w:rsid w:val="004A2E0F"/>
    <w:rsid w:val="004A3366"/>
    <w:rsid w:val="004A35D9"/>
    <w:rsid w:val="004A3EC4"/>
    <w:rsid w:val="004A4077"/>
    <w:rsid w:val="004A48F3"/>
    <w:rsid w:val="004A5074"/>
    <w:rsid w:val="004A5369"/>
    <w:rsid w:val="004A5A2E"/>
    <w:rsid w:val="004A5D5B"/>
    <w:rsid w:val="004A5D7D"/>
    <w:rsid w:val="004A5FF9"/>
    <w:rsid w:val="004B031E"/>
    <w:rsid w:val="004B0A34"/>
    <w:rsid w:val="004B16A0"/>
    <w:rsid w:val="004B2216"/>
    <w:rsid w:val="004B2C0D"/>
    <w:rsid w:val="004B2D82"/>
    <w:rsid w:val="004B349C"/>
    <w:rsid w:val="004B3563"/>
    <w:rsid w:val="004B428D"/>
    <w:rsid w:val="004B46E5"/>
    <w:rsid w:val="004B4C65"/>
    <w:rsid w:val="004B5345"/>
    <w:rsid w:val="004B5A13"/>
    <w:rsid w:val="004B5D18"/>
    <w:rsid w:val="004B6281"/>
    <w:rsid w:val="004B66E9"/>
    <w:rsid w:val="004B6C03"/>
    <w:rsid w:val="004B711E"/>
    <w:rsid w:val="004B7BC9"/>
    <w:rsid w:val="004C0459"/>
    <w:rsid w:val="004C0E63"/>
    <w:rsid w:val="004C2047"/>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40"/>
    <w:rsid w:val="004D68DE"/>
    <w:rsid w:val="004D6D31"/>
    <w:rsid w:val="004D6DF0"/>
    <w:rsid w:val="004D7526"/>
    <w:rsid w:val="004D76D5"/>
    <w:rsid w:val="004E2224"/>
    <w:rsid w:val="004E2671"/>
    <w:rsid w:val="004E2756"/>
    <w:rsid w:val="004E31A7"/>
    <w:rsid w:val="004E39EF"/>
    <w:rsid w:val="004E3C0D"/>
    <w:rsid w:val="004E46DC"/>
    <w:rsid w:val="004E531E"/>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600"/>
    <w:rsid w:val="004F688A"/>
    <w:rsid w:val="004F6928"/>
    <w:rsid w:val="004F6D6F"/>
    <w:rsid w:val="004F6D96"/>
    <w:rsid w:val="004F757A"/>
    <w:rsid w:val="004F7B5D"/>
    <w:rsid w:val="004F7F15"/>
    <w:rsid w:val="004F7FD8"/>
    <w:rsid w:val="0050154B"/>
    <w:rsid w:val="00501B0E"/>
    <w:rsid w:val="00501C21"/>
    <w:rsid w:val="00501DC4"/>
    <w:rsid w:val="00502274"/>
    <w:rsid w:val="005024A4"/>
    <w:rsid w:val="005024AE"/>
    <w:rsid w:val="005025D3"/>
    <w:rsid w:val="005028B3"/>
    <w:rsid w:val="00502DC7"/>
    <w:rsid w:val="00503D85"/>
    <w:rsid w:val="00503DE0"/>
    <w:rsid w:val="005050EC"/>
    <w:rsid w:val="00505130"/>
    <w:rsid w:val="00505972"/>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8DE"/>
    <w:rsid w:val="005259CD"/>
    <w:rsid w:val="00526044"/>
    <w:rsid w:val="00527229"/>
    <w:rsid w:val="005276F5"/>
    <w:rsid w:val="00530793"/>
    <w:rsid w:val="00530F84"/>
    <w:rsid w:val="0053140E"/>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5F3"/>
    <w:rsid w:val="00554728"/>
    <w:rsid w:val="00554C35"/>
    <w:rsid w:val="005553AF"/>
    <w:rsid w:val="0055543E"/>
    <w:rsid w:val="005559FE"/>
    <w:rsid w:val="00555F8C"/>
    <w:rsid w:val="0055622E"/>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B9F"/>
    <w:rsid w:val="00566BC9"/>
    <w:rsid w:val="00567205"/>
    <w:rsid w:val="00567A03"/>
    <w:rsid w:val="00570D06"/>
    <w:rsid w:val="00571673"/>
    <w:rsid w:val="0057228F"/>
    <w:rsid w:val="005725BE"/>
    <w:rsid w:val="00572C2D"/>
    <w:rsid w:val="005738F2"/>
    <w:rsid w:val="00573AE9"/>
    <w:rsid w:val="00574F3C"/>
    <w:rsid w:val="00576F95"/>
    <w:rsid w:val="005776AE"/>
    <w:rsid w:val="00577AB6"/>
    <w:rsid w:val="00577C4A"/>
    <w:rsid w:val="00581388"/>
    <w:rsid w:val="0058211A"/>
    <w:rsid w:val="00582B8F"/>
    <w:rsid w:val="0058338A"/>
    <w:rsid w:val="00583476"/>
    <w:rsid w:val="00584286"/>
    <w:rsid w:val="0058439A"/>
    <w:rsid w:val="00584476"/>
    <w:rsid w:val="00584D18"/>
    <w:rsid w:val="00584EF8"/>
    <w:rsid w:val="00585001"/>
    <w:rsid w:val="005870DD"/>
    <w:rsid w:val="00587150"/>
    <w:rsid w:val="005879E8"/>
    <w:rsid w:val="00587B56"/>
    <w:rsid w:val="005916D9"/>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569"/>
    <w:rsid w:val="005968A9"/>
    <w:rsid w:val="005970AB"/>
    <w:rsid w:val="00597519"/>
    <w:rsid w:val="005975FE"/>
    <w:rsid w:val="005976AB"/>
    <w:rsid w:val="00597FC9"/>
    <w:rsid w:val="005A0FE5"/>
    <w:rsid w:val="005A2445"/>
    <w:rsid w:val="005A2455"/>
    <w:rsid w:val="005A2933"/>
    <w:rsid w:val="005A3530"/>
    <w:rsid w:val="005A3B20"/>
    <w:rsid w:val="005A3FD0"/>
    <w:rsid w:val="005A490F"/>
    <w:rsid w:val="005A5D77"/>
    <w:rsid w:val="005A602B"/>
    <w:rsid w:val="005A60EE"/>
    <w:rsid w:val="005A6D1A"/>
    <w:rsid w:val="005A7068"/>
    <w:rsid w:val="005A7329"/>
    <w:rsid w:val="005A7A30"/>
    <w:rsid w:val="005B00A0"/>
    <w:rsid w:val="005B0307"/>
    <w:rsid w:val="005B03DF"/>
    <w:rsid w:val="005B041B"/>
    <w:rsid w:val="005B0A2B"/>
    <w:rsid w:val="005B1CF9"/>
    <w:rsid w:val="005B25ED"/>
    <w:rsid w:val="005B2808"/>
    <w:rsid w:val="005B29CA"/>
    <w:rsid w:val="005B36C6"/>
    <w:rsid w:val="005B38BA"/>
    <w:rsid w:val="005B39FC"/>
    <w:rsid w:val="005B3C4B"/>
    <w:rsid w:val="005B40DC"/>
    <w:rsid w:val="005B4B00"/>
    <w:rsid w:val="005B4DFF"/>
    <w:rsid w:val="005B5156"/>
    <w:rsid w:val="005B5A84"/>
    <w:rsid w:val="005B69E7"/>
    <w:rsid w:val="005B71EA"/>
    <w:rsid w:val="005B744E"/>
    <w:rsid w:val="005B771B"/>
    <w:rsid w:val="005B7B1D"/>
    <w:rsid w:val="005C07C6"/>
    <w:rsid w:val="005C0F5B"/>
    <w:rsid w:val="005C2298"/>
    <w:rsid w:val="005C26CB"/>
    <w:rsid w:val="005C41BF"/>
    <w:rsid w:val="005C42A2"/>
    <w:rsid w:val="005C42CF"/>
    <w:rsid w:val="005C5137"/>
    <w:rsid w:val="005C543C"/>
    <w:rsid w:val="005C5FCB"/>
    <w:rsid w:val="005C6E29"/>
    <w:rsid w:val="005C776A"/>
    <w:rsid w:val="005C778F"/>
    <w:rsid w:val="005C7A53"/>
    <w:rsid w:val="005D0899"/>
    <w:rsid w:val="005D09D9"/>
    <w:rsid w:val="005D0E66"/>
    <w:rsid w:val="005D0FB3"/>
    <w:rsid w:val="005D1ECF"/>
    <w:rsid w:val="005D1ED5"/>
    <w:rsid w:val="005D1FD7"/>
    <w:rsid w:val="005D2340"/>
    <w:rsid w:val="005D23BE"/>
    <w:rsid w:val="005D2669"/>
    <w:rsid w:val="005D34D9"/>
    <w:rsid w:val="005D379A"/>
    <w:rsid w:val="005D3960"/>
    <w:rsid w:val="005D462E"/>
    <w:rsid w:val="005D4926"/>
    <w:rsid w:val="005D5BB7"/>
    <w:rsid w:val="005D6443"/>
    <w:rsid w:val="005D73D0"/>
    <w:rsid w:val="005D75D9"/>
    <w:rsid w:val="005D7922"/>
    <w:rsid w:val="005D7A85"/>
    <w:rsid w:val="005E051B"/>
    <w:rsid w:val="005E0DB0"/>
    <w:rsid w:val="005E0E67"/>
    <w:rsid w:val="005E1410"/>
    <w:rsid w:val="005E2481"/>
    <w:rsid w:val="005E2E4E"/>
    <w:rsid w:val="005E3005"/>
    <w:rsid w:val="005E329F"/>
    <w:rsid w:val="005E32A5"/>
    <w:rsid w:val="005E3707"/>
    <w:rsid w:val="005E39E4"/>
    <w:rsid w:val="005E4E2B"/>
    <w:rsid w:val="005E4F41"/>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68DD"/>
    <w:rsid w:val="005F7E2C"/>
    <w:rsid w:val="00600D04"/>
    <w:rsid w:val="0060104D"/>
    <w:rsid w:val="0060130A"/>
    <w:rsid w:val="006021A0"/>
    <w:rsid w:val="00602B35"/>
    <w:rsid w:val="00602B6B"/>
    <w:rsid w:val="00603B57"/>
    <w:rsid w:val="00603BCA"/>
    <w:rsid w:val="00603BD6"/>
    <w:rsid w:val="006040FA"/>
    <w:rsid w:val="00604782"/>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3B0A"/>
    <w:rsid w:val="00624C72"/>
    <w:rsid w:val="00625055"/>
    <w:rsid w:val="00625138"/>
    <w:rsid w:val="00625474"/>
    <w:rsid w:val="00625880"/>
    <w:rsid w:val="00625B27"/>
    <w:rsid w:val="00626906"/>
    <w:rsid w:val="00627DDC"/>
    <w:rsid w:val="00630617"/>
    <w:rsid w:val="006306EA"/>
    <w:rsid w:val="00630AD8"/>
    <w:rsid w:val="00630BA9"/>
    <w:rsid w:val="00631546"/>
    <w:rsid w:val="0063232C"/>
    <w:rsid w:val="00632709"/>
    <w:rsid w:val="0063378A"/>
    <w:rsid w:val="0063454B"/>
    <w:rsid w:val="0063545F"/>
    <w:rsid w:val="006356EB"/>
    <w:rsid w:val="00636C9B"/>
    <w:rsid w:val="00636ED8"/>
    <w:rsid w:val="00637323"/>
    <w:rsid w:val="0063760E"/>
    <w:rsid w:val="00637748"/>
    <w:rsid w:val="00637860"/>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B40"/>
    <w:rsid w:val="00651E45"/>
    <w:rsid w:val="00651FB2"/>
    <w:rsid w:val="00652AC7"/>
    <w:rsid w:val="006542C5"/>
    <w:rsid w:val="00654669"/>
    <w:rsid w:val="006546F0"/>
    <w:rsid w:val="00654895"/>
    <w:rsid w:val="00655358"/>
    <w:rsid w:val="006567DD"/>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194"/>
    <w:rsid w:val="00666376"/>
    <w:rsid w:val="00670CE3"/>
    <w:rsid w:val="00670E5A"/>
    <w:rsid w:val="00670EC7"/>
    <w:rsid w:val="00671218"/>
    <w:rsid w:val="006714E4"/>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572"/>
    <w:rsid w:val="006827E4"/>
    <w:rsid w:val="00682E67"/>
    <w:rsid w:val="00682EB0"/>
    <w:rsid w:val="006831FA"/>
    <w:rsid w:val="006838D1"/>
    <w:rsid w:val="00685383"/>
    <w:rsid w:val="006854A4"/>
    <w:rsid w:val="006864B0"/>
    <w:rsid w:val="00686509"/>
    <w:rsid w:val="0068682F"/>
    <w:rsid w:val="006876F2"/>
    <w:rsid w:val="00690396"/>
    <w:rsid w:val="006905D6"/>
    <w:rsid w:val="0069109D"/>
    <w:rsid w:val="00692653"/>
    <w:rsid w:val="00692768"/>
    <w:rsid w:val="006929D9"/>
    <w:rsid w:val="00692D95"/>
    <w:rsid w:val="00692E8C"/>
    <w:rsid w:val="006934E5"/>
    <w:rsid w:val="006941A5"/>
    <w:rsid w:val="00694955"/>
    <w:rsid w:val="00695322"/>
    <w:rsid w:val="006953BD"/>
    <w:rsid w:val="00696193"/>
    <w:rsid w:val="006965AD"/>
    <w:rsid w:val="00696668"/>
    <w:rsid w:val="00696DE6"/>
    <w:rsid w:val="0069733D"/>
    <w:rsid w:val="00697ADB"/>
    <w:rsid w:val="00697B34"/>
    <w:rsid w:val="00697BF5"/>
    <w:rsid w:val="006A059D"/>
    <w:rsid w:val="006A09FB"/>
    <w:rsid w:val="006A0A4C"/>
    <w:rsid w:val="006A0E09"/>
    <w:rsid w:val="006A1340"/>
    <w:rsid w:val="006A1F9B"/>
    <w:rsid w:val="006A2128"/>
    <w:rsid w:val="006A2185"/>
    <w:rsid w:val="006A291E"/>
    <w:rsid w:val="006A2979"/>
    <w:rsid w:val="006A39F6"/>
    <w:rsid w:val="006A4710"/>
    <w:rsid w:val="006A473F"/>
    <w:rsid w:val="006A539F"/>
    <w:rsid w:val="006A58EB"/>
    <w:rsid w:val="006A5B04"/>
    <w:rsid w:val="006A6828"/>
    <w:rsid w:val="006A6877"/>
    <w:rsid w:val="006A707A"/>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213B"/>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B32"/>
    <w:rsid w:val="006D5F1D"/>
    <w:rsid w:val="006D7A1E"/>
    <w:rsid w:val="006D7E94"/>
    <w:rsid w:val="006D7FA4"/>
    <w:rsid w:val="006E0233"/>
    <w:rsid w:val="006E0899"/>
    <w:rsid w:val="006E0C35"/>
    <w:rsid w:val="006E1126"/>
    <w:rsid w:val="006E17A8"/>
    <w:rsid w:val="006E1AD9"/>
    <w:rsid w:val="006E247C"/>
    <w:rsid w:val="006E27C6"/>
    <w:rsid w:val="006E2954"/>
    <w:rsid w:val="006E353B"/>
    <w:rsid w:val="006E3C8E"/>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B1D"/>
    <w:rsid w:val="006F7C26"/>
    <w:rsid w:val="006F7FD4"/>
    <w:rsid w:val="006F7FE8"/>
    <w:rsid w:val="00701412"/>
    <w:rsid w:val="0070154E"/>
    <w:rsid w:val="00701E61"/>
    <w:rsid w:val="00701FB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2F3"/>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8BE"/>
    <w:rsid w:val="00725E92"/>
    <w:rsid w:val="00726249"/>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EBF"/>
    <w:rsid w:val="00741F21"/>
    <w:rsid w:val="0074271E"/>
    <w:rsid w:val="00742CEC"/>
    <w:rsid w:val="00742FA3"/>
    <w:rsid w:val="007434BC"/>
    <w:rsid w:val="00744113"/>
    <w:rsid w:val="00744815"/>
    <w:rsid w:val="00744B09"/>
    <w:rsid w:val="00744CD4"/>
    <w:rsid w:val="00745C9B"/>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ABB"/>
    <w:rsid w:val="007636FD"/>
    <w:rsid w:val="0076378F"/>
    <w:rsid w:val="00763825"/>
    <w:rsid w:val="00764465"/>
    <w:rsid w:val="00764B5F"/>
    <w:rsid w:val="00764E00"/>
    <w:rsid w:val="007655FC"/>
    <w:rsid w:val="007657EB"/>
    <w:rsid w:val="00766F1A"/>
    <w:rsid w:val="00766F8A"/>
    <w:rsid w:val="00767C2B"/>
    <w:rsid w:val="00770A73"/>
    <w:rsid w:val="00770C10"/>
    <w:rsid w:val="0077162C"/>
    <w:rsid w:val="007717CF"/>
    <w:rsid w:val="00771920"/>
    <w:rsid w:val="007724C0"/>
    <w:rsid w:val="00772531"/>
    <w:rsid w:val="0077284C"/>
    <w:rsid w:val="00774847"/>
    <w:rsid w:val="00775537"/>
    <w:rsid w:val="00776444"/>
    <w:rsid w:val="007770F6"/>
    <w:rsid w:val="00777AB6"/>
    <w:rsid w:val="0078079D"/>
    <w:rsid w:val="0078091F"/>
    <w:rsid w:val="00780977"/>
    <w:rsid w:val="00780D35"/>
    <w:rsid w:val="0078103C"/>
    <w:rsid w:val="0078145E"/>
    <w:rsid w:val="007816AA"/>
    <w:rsid w:val="00782319"/>
    <w:rsid w:val="00782C8F"/>
    <w:rsid w:val="007836E6"/>
    <w:rsid w:val="007844EF"/>
    <w:rsid w:val="00784530"/>
    <w:rsid w:val="00784B82"/>
    <w:rsid w:val="00785362"/>
    <w:rsid w:val="00785965"/>
    <w:rsid w:val="00785C0E"/>
    <w:rsid w:val="00785C4C"/>
    <w:rsid w:val="007862FA"/>
    <w:rsid w:val="00786405"/>
    <w:rsid w:val="00786DFC"/>
    <w:rsid w:val="00787227"/>
    <w:rsid w:val="00787EAD"/>
    <w:rsid w:val="007902A9"/>
    <w:rsid w:val="00790576"/>
    <w:rsid w:val="00791079"/>
    <w:rsid w:val="00792201"/>
    <w:rsid w:val="00793224"/>
    <w:rsid w:val="00794FFD"/>
    <w:rsid w:val="00795C52"/>
    <w:rsid w:val="00795E96"/>
    <w:rsid w:val="00796152"/>
    <w:rsid w:val="00796BF1"/>
    <w:rsid w:val="00797CAA"/>
    <w:rsid w:val="00797D2E"/>
    <w:rsid w:val="007A02F0"/>
    <w:rsid w:val="007A0A10"/>
    <w:rsid w:val="007A1271"/>
    <w:rsid w:val="007A1826"/>
    <w:rsid w:val="007A27B0"/>
    <w:rsid w:val="007A322B"/>
    <w:rsid w:val="007A3650"/>
    <w:rsid w:val="007A403F"/>
    <w:rsid w:val="007A53AC"/>
    <w:rsid w:val="007A56FE"/>
    <w:rsid w:val="007A63EE"/>
    <w:rsid w:val="007A64A7"/>
    <w:rsid w:val="007B0103"/>
    <w:rsid w:val="007B0511"/>
    <w:rsid w:val="007B0629"/>
    <w:rsid w:val="007B0C32"/>
    <w:rsid w:val="007B210B"/>
    <w:rsid w:val="007B2A43"/>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F38"/>
    <w:rsid w:val="007C3591"/>
    <w:rsid w:val="007C39A5"/>
    <w:rsid w:val="007C3FB5"/>
    <w:rsid w:val="007C427C"/>
    <w:rsid w:val="007C5028"/>
    <w:rsid w:val="007C555C"/>
    <w:rsid w:val="007C5659"/>
    <w:rsid w:val="007C6648"/>
    <w:rsid w:val="007C719B"/>
    <w:rsid w:val="007D0628"/>
    <w:rsid w:val="007D0F4A"/>
    <w:rsid w:val="007D1469"/>
    <w:rsid w:val="007D17AC"/>
    <w:rsid w:val="007D3014"/>
    <w:rsid w:val="007D3C6D"/>
    <w:rsid w:val="007D3E45"/>
    <w:rsid w:val="007D4C58"/>
    <w:rsid w:val="007D5008"/>
    <w:rsid w:val="007D5A16"/>
    <w:rsid w:val="007D5C88"/>
    <w:rsid w:val="007D68F5"/>
    <w:rsid w:val="007D6D7F"/>
    <w:rsid w:val="007D6D92"/>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91A"/>
    <w:rsid w:val="007E4C5E"/>
    <w:rsid w:val="007E4DC1"/>
    <w:rsid w:val="007E5386"/>
    <w:rsid w:val="007E5780"/>
    <w:rsid w:val="007F13BB"/>
    <w:rsid w:val="007F16E4"/>
    <w:rsid w:val="007F1EBD"/>
    <w:rsid w:val="007F2E1E"/>
    <w:rsid w:val="007F2ED8"/>
    <w:rsid w:val="007F30B3"/>
    <w:rsid w:val="007F35DF"/>
    <w:rsid w:val="007F370C"/>
    <w:rsid w:val="007F3DC5"/>
    <w:rsid w:val="007F4729"/>
    <w:rsid w:val="007F4A31"/>
    <w:rsid w:val="007F56A0"/>
    <w:rsid w:val="007F6BBD"/>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56D1"/>
    <w:rsid w:val="0080590A"/>
    <w:rsid w:val="0080609A"/>
    <w:rsid w:val="008070E4"/>
    <w:rsid w:val="0080714F"/>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858"/>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0E"/>
    <w:rsid w:val="0084714F"/>
    <w:rsid w:val="008474C9"/>
    <w:rsid w:val="0085055E"/>
    <w:rsid w:val="00850FD2"/>
    <w:rsid w:val="00851625"/>
    <w:rsid w:val="00851793"/>
    <w:rsid w:val="008522E2"/>
    <w:rsid w:val="00852BB7"/>
    <w:rsid w:val="00852E16"/>
    <w:rsid w:val="008534EF"/>
    <w:rsid w:val="008537D1"/>
    <w:rsid w:val="008539F0"/>
    <w:rsid w:val="008540FF"/>
    <w:rsid w:val="008544FE"/>
    <w:rsid w:val="00854507"/>
    <w:rsid w:val="008546F2"/>
    <w:rsid w:val="00854D59"/>
    <w:rsid w:val="00855E08"/>
    <w:rsid w:val="008561CE"/>
    <w:rsid w:val="00856C0B"/>
    <w:rsid w:val="00856E68"/>
    <w:rsid w:val="00857306"/>
    <w:rsid w:val="0085767B"/>
    <w:rsid w:val="00860B2E"/>
    <w:rsid w:val="00860F96"/>
    <w:rsid w:val="00861EA9"/>
    <w:rsid w:val="008621C2"/>
    <w:rsid w:val="00862410"/>
    <w:rsid w:val="008625E9"/>
    <w:rsid w:val="008628CC"/>
    <w:rsid w:val="00862BAE"/>
    <w:rsid w:val="00863E1C"/>
    <w:rsid w:val="00863F15"/>
    <w:rsid w:val="00864403"/>
    <w:rsid w:val="00865A38"/>
    <w:rsid w:val="00866C0A"/>
    <w:rsid w:val="008702F8"/>
    <w:rsid w:val="008704EA"/>
    <w:rsid w:val="008708D3"/>
    <w:rsid w:val="00870905"/>
    <w:rsid w:val="00870F46"/>
    <w:rsid w:val="00871797"/>
    <w:rsid w:val="00871CFE"/>
    <w:rsid w:val="0087208E"/>
    <w:rsid w:val="008721C3"/>
    <w:rsid w:val="008733D9"/>
    <w:rsid w:val="00873794"/>
    <w:rsid w:val="0087452B"/>
    <w:rsid w:val="0087461D"/>
    <w:rsid w:val="00874745"/>
    <w:rsid w:val="008747D5"/>
    <w:rsid w:val="00874830"/>
    <w:rsid w:val="008757AF"/>
    <w:rsid w:val="008762B0"/>
    <w:rsid w:val="00876C58"/>
    <w:rsid w:val="00876D4D"/>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1E2"/>
    <w:rsid w:val="008918C1"/>
    <w:rsid w:val="00891E4E"/>
    <w:rsid w:val="00892B0F"/>
    <w:rsid w:val="00892E9A"/>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3AB"/>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0E99"/>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52"/>
    <w:rsid w:val="008D7FE8"/>
    <w:rsid w:val="008E075D"/>
    <w:rsid w:val="008E0D70"/>
    <w:rsid w:val="008E28FB"/>
    <w:rsid w:val="008E2EE3"/>
    <w:rsid w:val="008E306C"/>
    <w:rsid w:val="008E3720"/>
    <w:rsid w:val="008E4099"/>
    <w:rsid w:val="008E465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65F8"/>
    <w:rsid w:val="00927B47"/>
    <w:rsid w:val="00931744"/>
    <w:rsid w:val="009325CE"/>
    <w:rsid w:val="00932BD5"/>
    <w:rsid w:val="009336CA"/>
    <w:rsid w:val="00933B60"/>
    <w:rsid w:val="00933C2F"/>
    <w:rsid w:val="00935167"/>
    <w:rsid w:val="00935806"/>
    <w:rsid w:val="00935EF5"/>
    <w:rsid w:val="00937A3A"/>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5B64"/>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627"/>
    <w:rsid w:val="00961B3A"/>
    <w:rsid w:val="00961D07"/>
    <w:rsid w:val="009620BE"/>
    <w:rsid w:val="0096283C"/>
    <w:rsid w:val="00963C80"/>
    <w:rsid w:val="00963CCF"/>
    <w:rsid w:val="00964E09"/>
    <w:rsid w:val="0096536C"/>
    <w:rsid w:val="00965843"/>
    <w:rsid w:val="0096626C"/>
    <w:rsid w:val="00966723"/>
    <w:rsid w:val="00967325"/>
    <w:rsid w:val="00967C24"/>
    <w:rsid w:val="00970EF7"/>
    <w:rsid w:val="00970FA0"/>
    <w:rsid w:val="00971006"/>
    <w:rsid w:val="00971595"/>
    <w:rsid w:val="00971906"/>
    <w:rsid w:val="0097288C"/>
    <w:rsid w:val="00973147"/>
    <w:rsid w:val="009738D2"/>
    <w:rsid w:val="00974D98"/>
    <w:rsid w:val="00974DC6"/>
    <w:rsid w:val="0097561D"/>
    <w:rsid w:val="00975ED8"/>
    <w:rsid w:val="00976958"/>
    <w:rsid w:val="00976F0A"/>
    <w:rsid w:val="00977303"/>
    <w:rsid w:val="009777B8"/>
    <w:rsid w:val="0098094E"/>
    <w:rsid w:val="00980EBF"/>
    <w:rsid w:val="00980F74"/>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1F37"/>
    <w:rsid w:val="009932B5"/>
    <w:rsid w:val="00993B11"/>
    <w:rsid w:val="00993E8C"/>
    <w:rsid w:val="00993FB4"/>
    <w:rsid w:val="00995292"/>
    <w:rsid w:val="009952E8"/>
    <w:rsid w:val="00995C2A"/>
    <w:rsid w:val="00995DC6"/>
    <w:rsid w:val="00995E5A"/>
    <w:rsid w:val="00996432"/>
    <w:rsid w:val="009967B2"/>
    <w:rsid w:val="00996A7C"/>
    <w:rsid w:val="009972A7"/>
    <w:rsid w:val="0099753F"/>
    <w:rsid w:val="00997E51"/>
    <w:rsid w:val="00997FDB"/>
    <w:rsid w:val="009A08A6"/>
    <w:rsid w:val="009A096C"/>
    <w:rsid w:val="009A0CFD"/>
    <w:rsid w:val="009A1883"/>
    <w:rsid w:val="009A195E"/>
    <w:rsid w:val="009A1AC0"/>
    <w:rsid w:val="009A2664"/>
    <w:rsid w:val="009A36CE"/>
    <w:rsid w:val="009A421A"/>
    <w:rsid w:val="009A442F"/>
    <w:rsid w:val="009A4603"/>
    <w:rsid w:val="009A475F"/>
    <w:rsid w:val="009A4D2D"/>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A0F"/>
    <w:rsid w:val="009C2CAA"/>
    <w:rsid w:val="009C2FC1"/>
    <w:rsid w:val="009C376E"/>
    <w:rsid w:val="009C3975"/>
    <w:rsid w:val="009C3D92"/>
    <w:rsid w:val="009C478E"/>
    <w:rsid w:val="009C4D03"/>
    <w:rsid w:val="009C52A5"/>
    <w:rsid w:val="009C5391"/>
    <w:rsid w:val="009C5745"/>
    <w:rsid w:val="009C599D"/>
    <w:rsid w:val="009C69F0"/>
    <w:rsid w:val="009C7269"/>
    <w:rsid w:val="009D0078"/>
    <w:rsid w:val="009D0161"/>
    <w:rsid w:val="009D1AA9"/>
    <w:rsid w:val="009D27BF"/>
    <w:rsid w:val="009D2BAD"/>
    <w:rsid w:val="009D3641"/>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0DE6"/>
    <w:rsid w:val="00A01638"/>
    <w:rsid w:val="00A0222A"/>
    <w:rsid w:val="00A02BF6"/>
    <w:rsid w:val="00A0357C"/>
    <w:rsid w:val="00A03DE2"/>
    <w:rsid w:val="00A03F69"/>
    <w:rsid w:val="00A05CD2"/>
    <w:rsid w:val="00A05D49"/>
    <w:rsid w:val="00A07AE1"/>
    <w:rsid w:val="00A10491"/>
    <w:rsid w:val="00A106AC"/>
    <w:rsid w:val="00A10B0F"/>
    <w:rsid w:val="00A1135E"/>
    <w:rsid w:val="00A11634"/>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504D"/>
    <w:rsid w:val="00A2572A"/>
    <w:rsid w:val="00A25BFD"/>
    <w:rsid w:val="00A26BA2"/>
    <w:rsid w:val="00A27612"/>
    <w:rsid w:val="00A27A5F"/>
    <w:rsid w:val="00A3002C"/>
    <w:rsid w:val="00A30403"/>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9CF"/>
    <w:rsid w:val="00A45F99"/>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AB2"/>
    <w:rsid w:val="00A61B63"/>
    <w:rsid w:val="00A62F33"/>
    <w:rsid w:val="00A62F96"/>
    <w:rsid w:val="00A63205"/>
    <w:rsid w:val="00A63579"/>
    <w:rsid w:val="00A63EF1"/>
    <w:rsid w:val="00A64073"/>
    <w:rsid w:val="00A6523E"/>
    <w:rsid w:val="00A65AF2"/>
    <w:rsid w:val="00A67760"/>
    <w:rsid w:val="00A7153A"/>
    <w:rsid w:val="00A71797"/>
    <w:rsid w:val="00A718C6"/>
    <w:rsid w:val="00A71C62"/>
    <w:rsid w:val="00A7267F"/>
    <w:rsid w:val="00A73AD6"/>
    <w:rsid w:val="00A741D2"/>
    <w:rsid w:val="00A743A3"/>
    <w:rsid w:val="00A75713"/>
    <w:rsid w:val="00A75B54"/>
    <w:rsid w:val="00A75F06"/>
    <w:rsid w:val="00A75F9A"/>
    <w:rsid w:val="00A7691F"/>
    <w:rsid w:val="00A76F88"/>
    <w:rsid w:val="00A77BB3"/>
    <w:rsid w:val="00A77F87"/>
    <w:rsid w:val="00A80221"/>
    <w:rsid w:val="00A8089A"/>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EFB"/>
    <w:rsid w:val="00A905D5"/>
    <w:rsid w:val="00A91090"/>
    <w:rsid w:val="00A919E8"/>
    <w:rsid w:val="00A923AD"/>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40A4"/>
    <w:rsid w:val="00AC46FB"/>
    <w:rsid w:val="00AC4D0E"/>
    <w:rsid w:val="00AC4F42"/>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65"/>
    <w:rsid w:val="00AF0C14"/>
    <w:rsid w:val="00AF0F6F"/>
    <w:rsid w:val="00AF191B"/>
    <w:rsid w:val="00AF1977"/>
    <w:rsid w:val="00AF1A23"/>
    <w:rsid w:val="00AF22B0"/>
    <w:rsid w:val="00AF2371"/>
    <w:rsid w:val="00AF2479"/>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828"/>
    <w:rsid w:val="00B03D59"/>
    <w:rsid w:val="00B03E2D"/>
    <w:rsid w:val="00B050CA"/>
    <w:rsid w:val="00B0553D"/>
    <w:rsid w:val="00B05AE3"/>
    <w:rsid w:val="00B05B88"/>
    <w:rsid w:val="00B05DC7"/>
    <w:rsid w:val="00B065F3"/>
    <w:rsid w:val="00B066BB"/>
    <w:rsid w:val="00B0739C"/>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2279"/>
    <w:rsid w:val="00B22F7C"/>
    <w:rsid w:val="00B23634"/>
    <w:rsid w:val="00B24751"/>
    <w:rsid w:val="00B2488E"/>
    <w:rsid w:val="00B24BE3"/>
    <w:rsid w:val="00B25106"/>
    <w:rsid w:val="00B2527A"/>
    <w:rsid w:val="00B2547D"/>
    <w:rsid w:val="00B26B68"/>
    <w:rsid w:val="00B312AA"/>
    <w:rsid w:val="00B31621"/>
    <w:rsid w:val="00B3191E"/>
    <w:rsid w:val="00B31D70"/>
    <w:rsid w:val="00B328C3"/>
    <w:rsid w:val="00B3321D"/>
    <w:rsid w:val="00B33A07"/>
    <w:rsid w:val="00B33B27"/>
    <w:rsid w:val="00B33EFA"/>
    <w:rsid w:val="00B3438D"/>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2AD4"/>
    <w:rsid w:val="00B44D40"/>
    <w:rsid w:val="00B4508B"/>
    <w:rsid w:val="00B453B1"/>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A76"/>
    <w:rsid w:val="00B6015C"/>
    <w:rsid w:val="00B60ACD"/>
    <w:rsid w:val="00B61232"/>
    <w:rsid w:val="00B61943"/>
    <w:rsid w:val="00B629C2"/>
    <w:rsid w:val="00B62E74"/>
    <w:rsid w:val="00B6332B"/>
    <w:rsid w:val="00B637BD"/>
    <w:rsid w:val="00B637F4"/>
    <w:rsid w:val="00B647E8"/>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4C89"/>
    <w:rsid w:val="00B75359"/>
    <w:rsid w:val="00B75A9E"/>
    <w:rsid w:val="00B75C11"/>
    <w:rsid w:val="00B760B9"/>
    <w:rsid w:val="00B76C21"/>
    <w:rsid w:val="00B8018C"/>
    <w:rsid w:val="00B804B9"/>
    <w:rsid w:val="00B80D4C"/>
    <w:rsid w:val="00B810F0"/>
    <w:rsid w:val="00B8529A"/>
    <w:rsid w:val="00B85304"/>
    <w:rsid w:val="00B85526"/>
    <w:rsid w:val="00B8567B"/>
    <w:rsid w:val="00B85D02"/>
    <w:rsid w:val="00B86071"/>
    <w:rsid w:val="00B8677B"/>
    <w:rsid w:val="00B869D8"/>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97A74"/>
    <w:rsid w:val="00BA156D"/>
    <w:rsid w:val="00BA15DC"/>
    <w:rsid w:val="00BA1AAB"/>
    <w:rsid w:val="00BA1EA5"/>
    <w:rsid w:val="00BA21C5"/>
    <w:rsid w:val="00BA25ED"/>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CD3"/>
    <w:rsid w:val="00BD7E94"/>
    <w:rsid w:val="00BE031D"/>
    <w:rsid w:val="00BE1BF6"/>
    <w:rsid w:val="00BE2BF1"/>
    <w:rsid w:val="00BE2D71"/>
    <w:rsid w:val="00BE31C6"/>
    <w:rsid w:val="00BE31F9"/>
    <w:rsid w:val="00BE4125"/>
    <w:rsid w:val="00BE4178"/>
    <w:rsid w:val="00BE456B"/>
    <w:rsid w:val="00BE47C2"/>
    <w:rsid w:val="00BE5178"/>
    <w:rsid w:val="00BE5840"/>
    <w:rsid w:val="00BE6302"/>
    <w:rsid w:val="00BE6523"/>
    <w:rsid w:val="00BE68D2"/>
    <w:rsid w:val="00BE7C5B"/>
    <w:rsid w:val="00BE7CD9"/>
    <w:rsid w:val="00BE7DEE"/>
    <w:rsid w:val="00BE7FCD"/>
    <w:rsid w:val="00BF0B90"/>
    <w:rsid w:val="00BF0FB4"/>
    <w:rsid w:val="00BF145A"/>
    <w:rsid w:val="00BF1591"/>
    <w:rsid w:val="00BF1D1B"/>
    <w:rsid w:val="00BF2101"/>
    <w:rsid w:val="00BF270B"/>
    <w:rsid w:val="00BF2AE2"/>
    <w:rsid w:val="00BF2C86"/>
    <w:rsid w:val="00BF34B4"/>
    <w:rsid w:val="00BF362D"/>
    <w:rsid w:val="00BF4F62"/>
    <w:rsid w:val="00BF540A"/>
    <w:rsid w:val="00BF544B"/>
    <w:rsid w:val="00BF58A2"/>
    <w:rsid w:val="00BF599D"/>
    <w:rsid w:val="00BF5D3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195"/>
    <w:rsid w:val="00C1445B"/>
    <w:rsid w:val="00C14657"/>
    <w:rsid w:val="00C14E52"/>
    <w:rsid w:val="00C14E6E"/>
    <w:rsid w:val="00C1578A"/>
    <w:rsid w:val="00C2004E"/>
    <w:rsid w:val="00C200FC"/>
    <w:rsid w:val="00C204CD"/>
    <w:rsid w:val="00C204F6"/>
    <w:rsid w:val="00C20A38"/>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100A"/>
    <w:rsid w:val="00C32500"/>
    <w:rsid w:val="00C32E11"/>
    <w:rsid w:val="00C33FFB"/>
    <w:rsid w:val="00C3413F"/>
    <w:rsid w:val="00C345AC"/>
    <w:rsid w:val="00C34B7F"/>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47B"/>
    <w:rsid w:val="00C44565"/>
    <w:rsid w:val="00C4563A"/>
    <w:rsid w:val="00C45EE7"/>
    <w:rsid w:val="00C46331"/>
    <w:rsid w:val="00C4665D"/>
    <w:rsid w:val="00C46876"/>
    <w:rsid w:val="00C47C10"/>
    <w:rsid w:val="00C504FA"/>
    <w:rsid w:val="00C50974"/>
    <w:rsid w:val="00C50DB0"/>
    <w:rsid w:val="00C5158E"/>
    <w:rsid w:val="00C52535"/>
    <w:rsid w:val="00C52AF6"/>
    <w:rsid w:val="00C52F46"/>
    <w:rsid w:val="00C52FAB"/>
    <w:rsid w:val="00C5316D"/>
    <w:rsid w:val="00C540BA"/>
    <w:rsid w:val="00C542A6"/>
    <w:rsid w:val="00C543EA"/>
    <w:rsid w:val="00C55740"/>
    <w:rsid w:val="00C55816"/>
    <w:rsid w:val="00C561BD"/>
    <w:rsid w:val="00C56A5F"/>
    <w:rsid w:val="00C5765A"/>
    <w:rsid w:val="00C57735"/>
    <w:rsid w:val="00C60B60"/>
    <w:rsid w:val="00C61364"/>
    <w:rsid w:val="00C61FE1"/>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67F"/>
    <w:rsid w:val="00C73948"/>
    <w:rsid w:val="00C757C4"/>
    <w:rsid w:val="00C75807"/>
    <w:rsid w:val="00C75DC7"/>
    <w:rsid w:val="00C761D8"/>
    <w:rsid w:val="00C76F73"/>
    <w:rsid w:val="00C7717F"/>
    <w:rsid w:val="00C77CA3"/>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2E29"/>
    <w:rsid w:val="00C92E67"/>
    <w:rsid w:val="00C93B13"/>
    <w:rsid w:val="00C95829"/>
    <w:rsid w:val="00C95977"/>
    <w:rsid w:val="00C96E2B"/>
    <w:rsid w:val="00C974B6"/>
    <w:rsid w:val="00C97974"/>
    <w:rsid w:val="00CA0182"/>
    <w:rsid w:val="00CA0B8B"/>
    <w:rsid w:val="00CA0FA0"/>
    <w:rsid w:val="00CA1682"/>
    <w:rsid w:val="00CA1C0D"/>
    <w:rsid w:val="00CA2FE9"/>
    <w:rsid w:val="00CA3319"/>
    <w:rsid w:val="00CA3BFC"/>
    <w:rsid w:val="00CA4063"/>
    <w:rsid w:val="00CA4ACD"/>
    <w:rsid w:val="00CA729E"/>
    <w:rsid w:val="00CA73F8"/>
    <w:rsid w:val="00CA74E1"/>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6885"/>
    <w:rsid w:val="00CB72A4"/>
    <w:rsid w:val="00CB7E18"/>
    <w:rsid w:val="00CC00A7"/>
    <w:rsid w:val="00CC00E8"/>
    <w:rsid w:val="00CC012E"/>
    <w:rsid w:val="00CC019A"/>
    <w:rsid w:val="00CC01B1"/>
    <w:rsid w:val="00CC07F4"/>
    <w:rsid w:val="00CC092F"/>
    <w:rsid w:val="00CC0E7E"/>
    <w:rsid w:val="00CC12D8"/>
    <w:rsid w:val="00CC1FF3"/>
    <w:rsid w:val="00CC20C1"/>
    <w:rsid w:val="00CC26CF"/>
    <w:rsid w:val="00CC2BEA"/>
    <w:rsid w:val="00CC34A2"/>
    <w:rsid w:val="00CC3B24"/>
    <w:rsid w:val="00CC47CE"/>
    <w:rsid w:val="00CC5323"/>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2451"/>
    <w:rsid w:val="00CD2740"/>
    <w:rsid w:val="00CD2887"/>
    <w:rsid w:val="00CD3165"/>
    <w:rsid w:val="00CD3864"/>
    <w:rsid w:val="00CD43E4"/>
    <w:rsid w:val="00CD479A"/>
    <w:rsid w:val="00CD4D6B"/>
    <w:rsid w:val="00CD5FB0"/>
    <w:rsid w:val="00CD6295"/>
    <w:rsid w:val="00CD6F26"/>
    <w:rsid w:val="00CD71F4"/>
    <w:rsid w:val="00CD7AD3"/>
    <w:rsid w:val="00CD7B98"/>
    <w:rsid w:val="00CD7E87"/>
    <w:rsid w:val="00CE1622"/>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2E2A"/>
    <w:rsid w:val="00CF318B"/>
    <w:rsid w:val="00CF3383"/>
    <w:rsid w:val="00CF3447"/>
    <w:rsid w:val="00CF3A39"/>
    <w:rsid w:val="00CF3E79"/>
    <w:rsid w:val="00CF3EBF"/>
    <w:rsid w:val="00CF446F"/>
    <w:rsid w:val="00CF71FD"/>
    <w:rsid w:val="00D014AE"/>
    <w:rsid w:val="00D02388"/>
    <w:rsid w:val="00D02BDF"/>
    <w:rsid w:val="00D03516"/>
    <w:rsid w:val="00D044D3"/>
    <w:rsid w:val="00D04A37"/>
    <w:rsid w:val="00D05A03"/>
    <w:rsid w:val="00D05BDC"/>
    <w:rsid w:val="00D0651D"/>
    <w:rsid w:val="00D0698C"/>
    <w:rsid w:val="00D07B15"/>
    <w:rsid w:val="00D07DF2"/>
    <w:rsid w:val="00D07FBB"/>
    <w:rsid w:val="00D10830"/>
    <w:rsid w:val="00D10CEC"/>
    <w:rsid w:val="00D117B9"/>
    <w:rsid w:val="00D11B53"/>
    <w:rsid w:val="00D11D68"/>
    <w:rsid w:val="00D12644"/>
    <w:rsid w:val="00D12795"/>
    <w:rsid w:val="00D128B1"/>
    <w:rsid w:val="00D12B08"/>
    <w:rsid w:val="00D13768"/>
    <w:rsid w:val="00D143B3"/>
    <w:rsid w:val="00D145DC"/>
    <w:rsid w:val="00D1489B"/>
    <w:rsid w:val="00D14F0C"/>
    <w:rsid w:val="00D154D9"/>
    <w:rsid w:val="00D163F5"/>
    <w:rsid w:val="00D16674"/>
    <w:rsid w:val="00D16B0F"/>
    <w:rsid w:val="00D16B2E"/>
    <w:rsid w:val="00D20879"/>
    <w:rsid w:val="00D208C5"/>
    <w:rsid w:val="00D2130E"/>
    <w:rsid w:val="00D21DED"/>
    <w:rsid w:val="00D225F7"/>
    <w:rsid w:val="00D22A57"/>
    <w:rsid w:val="00D22BA4"/>
    <w:rsid w:val="00D22FD3"/>
    <w:rsid w:val="00D24DC4"/>
    <w:rsid w:val="00D252CA"/>
    <w:rsid w:val="00D25773"/>
    <w:rsid w:val="00D257FF"/>
    <w:rsid w:val="00D259CD"/>
    <w:rsid w:val="00D264ED"/>
    <w:rsid w:val="00D2681B"/>
    <w:rsid w:val="00D26D29"/>
    <w:rsid w:val="00D30981"/>
    <w:rsid w:val="00D309F1"/>
    <w:rsid w:val="00D31674"/>
    <w:rsid w:val="00D31F7F"/>
    <w:rsid w:val="00D323B7"/>
    <w:rsid w:val="00D32C6C"/>
    <w:rsid w:val="00D33E54"/>
    <w:rsid w:val="00D341CD"/>
    <w:rsid w:val="00D343B3"/>
    <w:rsid w:val="00D349E0"/>
    <w:rsid w:val="00D34A10"/>
    <w:rsid w:val="00D359F1"/>
    <w:rsid w:val="00D35FA1"/>
    <w:rsid w:val="00D3784D"/>
    <w:rsid w:val="00D37BC1"/>
    <w:rsid w:val="00D37EEA"/>
    <w:rsid w:val="00D41C09"/>
    <w:rsid w:val="00D422D0"/>
    <w:rsid w:val="00D424E6"/>
    <w:rsid w:val="00D426D7"/>
    <w:rsid w:val="00D42B68"/>
    <w:rsid w:val="00D435B3"/>
    <w:rsid w:val="00D44595"/>
    <w:rsid w:val="00D44AA8"/>
    <w:rsid w:val="00D453B0"/>
    <w:rsid w:val="00D47B6C"/>
    <w:rsid w:val="00D47D7C"/>
    <w:rsid w:val="00D502DF"/>
    <w:rsid w:val="00D51553"/>
    <w:rsid w:val="00D51CB2"/>
    <w:rsid w:val="00D52154"/>
    <w:rsid w:val="00D52369"/>
    <w:rsid w:val="00D52A61"/>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0FDA"/>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588"/>
    <w:rsid w:val="00D94822"/>
    <w:rsid w:val="00D950BC"/>
    <w:rsid w:val="00D953B7"/>
    <w:rsid w:val="00D95BCB"/>
    <w:rsid w:val="00D95C11"/>
    <w:rsid w:val="00D96D1F"/>
    <w:rsid w:val="00D97AD2"/>
    <w:rsid w:val="00DA0B56"/>
    <w:rsid w:val="00DA1289"/>
    <w:rsid w:val="00DA17AC"/>
    <w:rsid w:val="00DA2BC8"/>
    <w:rsid w:val="00DA2D75"/>
    <w:rsid w:val="00DA60DB"/>
    <w:rsid w:val="00DA6133"/>
    <w:rsid w:val="00DA6C79"/>
    <w:rsid w:val="00DA6D06"/>
    <w:rsid w:val="00DA7296"/>
    <w:rsid w:val="00DB00C4"/>
    <w:rsid w:val="00DB01BA"/>
    <w:rsid w:val="00DB0EA9"/>
    <w:rsid w:val="00DB0FE5"/>
    <w:rsid w:val="00DB1F30"/>
    <w:rsid w:val="00DB26E5"/>
    <w:rsid w:val="00DB27D5"/>
    <w:rsid w:val="00DB344D"/>
    <w:rsid w:val="00DB38F4"/>
    <w:rsid w:val="00DB3ADC"/>
    <w:rsid w:val="00DB45A4"/>
    <w:rsid w:val="00DB4B8F"/>
    <w:rsid w:val="00DB4E2D"/>
    <w:rsid w:val="00DB4FB6"/>
    <w:rsid w:val="00DB5757"/>
    <w:rsid w:val="00DB5A63"/>
    <w:rsid w:val="00DB5AD4"/>
    <w:rsid w:val="00DB5E41"/>
    <w:rsid w:val="00DB5FF6"/>
    <w:rsid w:val="00DB6B1D"/>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6A68"/>
    <w:rsid w:val="00DC7020"/>
    <w:rsid w:val="00DC7D2D"/>
    <w:rsid w:val="00DD0012"/>
    <w:rsid w:val="00DD13AB"/>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7554"/>
    <w:rsid w:val="00DD7CE7"/>
    <w:rsid w:val="00DE0CCC"/>
    <w:rsid w:val="00DE1306"/>
    <w:rsid w:val="00DE1479"/>
    <w:rsid w:val="00DE45FC"/>
    <w:rsid w:val="00DE46D0"/>
    <w:rsid w:val="00DE47D6"/>
    <w:rsid w:val="00DE484C"/>
    <w:rsid w:val="00DE4FFF"/>
    <w:rsid w:val="00DE5F29"/>
    <w:rsid w:val="00DE629F"/>
    <w:rsid w:val="00DE6581"/>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6530"/>
    <w:rsid w:val="00DF6920"/>
    <w:rsid w:val="00DF6926"/>
    <w:rsid w:val="00DF782D"/>
    <w:rsid w:val="00E00271"/>
    <w:rsid w:val="00E00482"/>
    <w:rsid w:val="00E00726"/>
    <w:rsid w:val="00E013C3"/>
    <w:rsid w:val="00E0171A"/>
    <w:rsid w:val="00E01BC9"/>
    <w:rsid w:val="00E02007"/>
    <w:rsid w:val="00E03995"/>
    <w:rsid w:val="00E03E8F"/>
    <w:rsid w:val="00E04629"/>
    <w:rsid w:val="00E0474D"/>
    <w:rsid w:val="00E0494B"/>
    <w:rsid w:val="00E049D4"/>
    <w:rsid w:val="00E04BF8"/>
    <w:rsid w:val="00E051A3"/>
    <w:rsid w:val="00E07338"/>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7E6"/>
    <w:rsid w:val="00E22A79"/>
    <w:rsid w:val="00E22C3E"/>
    <w:rsid w:val="00E22EC5"/>
    <w:rsid w:val="00E2399D"/>
    <w:rsid w:val="00E252C8"/>
    <w:rsid w:val="00E25F97"/>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1F3"/>
    <w:rsid w:val="00E73C21"/>
    <w:rsid w:val="00E75CC4"/>
    <w:rsid w:val="00E76643"/>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AA0"/>
    <w:rsid w:val="00EA7FF3"/>
    <w:rsid w:val="00EB0D86"/>
    <w:rsid w:val="00EB0FEC"/>
    <w:rsid w:val="00EB1BB4"/>
    <w:rsid w:val="00EB2856"/>
    <w:rsid w:val="00EB2987"/>
    <w:rsid w:val="00EB2B16"/>
    <w:rsid w:val="00EB2F43"/>
    <w:rsid w:val="00EB36BD"/>
    <w:rsid w:val="00EB3BDB"/>
    <w:rsid w:val="00EB4280"/>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1AD"/>
    <w:rsid w:val="00ED021C"/>
    <w:rsid w:val="00ED0268"/>
    <w:rsid w:val="00ED057C"/>
    <w:rsid w:val="00ED060E"/>
    <w:rsid w:val="00ED0A11"/>
    <w:rsid w:val="00ED0AAC"/>
    <w:rsid w:val="00ED27AF"/>
    <w:rsid w:val="00ED27C3"/>
    <w:rsid w:val="00ED2A1A"/>
    <w:rsid w:val="00ED3577"/>
    <w:rsid w:val="00ED3EB5"/>
    <w:rsid w:val="00ED4579"/>
    <w:rsid w:val="00ED4D9C"/>
    <w:rsid w:val="00ED6525"/>
    <w:rsid w:val="00ED673A"/>
    <w:rsid w:val="00ED6CCE"/>
    <w:rsid w:val="00ED6F45"/>
    <w:rsid w:val="00ED7212"/>
    <w:rsid w:val="00ED7C0F"/>
    <w:rsid w:val="00ED7F13"/>
    <w:rsid w:val="00EE0CA6"/>
    <w:rsid w:val="00EE14D8"/>
    <w:rsid w:val="00EE19FF"/>
    <w:rsid w:val="00EE2C1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55D"/>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415"/>
    <w:rsid w:val="00F03638"/>
    <w:rsid w:val="00F03BCA"/>
    <w:rsid w:val="00F04E91"/>
    <w:rsid w:val="00F054CB"/>
    <w:rsid w:val="00F056CD"/>
    <w:rsid w:val="00F059B4"/>
    <w:rsid w:val="00F0641C"/>
    <w:rsid w:val="00F07064"/>
    <w:rsid w:val="00F07326"/>
    <w:rsid w:val="00F07D09"/>
    <w:rsid w:val="00F07D5B"/>
    <w:rsid w:val="00F07EFE"/>
    <w:rsid w:val="00F1050B"/>
    <w:rsid w:val="00F118A0"/>
    <w:rsid w:val="00F11926"/>
    <w:rsid w:val="00F11F55"/>
    <w:rsid w:val="00F12F85"/>
    <w:rsid w:val="00F12FCC"/>
    <w:rsid w:val="00F1327E"/>
    <w:rsid w:val="00F13624"/>
    <w:rsid w:val="00F14350"/>
    <w:rsid w:val="00F147B2"/>
    <w:rsid w:val="00F14944"/>
    <w:rsid w:val="00F14AA0"/>
    <w:rsid w:val="00F15120"/>
    <w:rsid w:val="00F16542"/>
    <w:rsid w:val="00F17760"/>
    <w:rsid w:val="00F17B5E"/>
    <w:rsid w:val="00F17BC9"/>
    <w:rsid w:val="00F20232"/>
    <w:rsid w:val="00F2109F"/>
    <w:rsid w:val="00F21101"/>
    <w:rsid w:val="00F21A58"/>
    <w:rsid w:val="00F21C0D"/>
    <w:rsid w:val="00F21D30"/>
    <w:rsid w:val="00F21E10"/>
    <w:rsid w:val="00F245B6"/>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0B2"/>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CE1"/>
    <w:rsid w:val="00F73E4A"/>
    <w:rsid w:val="00F742C5"/>
    <w:rsid w:val="00F74BD7"/>
    <w:rsid w:val="00F74DF5"/>
    <w:rsid w:val="00F754F0"/>
    <w:rsid w:val="00F75F8C"/>
    <w:rsid w:val="00F76044"/>
    <w:rsid w:val="00F7611E"/>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9AA"/>
    <w:rsid w:val="00F92F33"/>
    <w:rsid w:val="00F935BA"/>
    <w:rsid w:val="00F93C04"/>
    <w:rsid w:val="00F93FF6"/>
    <w:rsid w:val="00F94929"/>
    <w:rsid w:val="00F95909"/>
    <w:rsid w:val="00F959FB"/>
    <w:rsid w:val="00F96250"/>
    <w:rsid w:val="00F96A01"/>
    <w:rsid w:val="00F96B80"/>
    <w:rsid w:val="00F979FD"/>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90"/>
    <w:rsid w:val="00FB32C1"/>
    <w:rsid w:val="00FB4235"/>
    <w:rsid w:val="00FB44F4"/>
    <w:rsid w:val="00FB460B"/>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63E4"/>
    <w:rsid w:val="00FD7A7A"/>
    <w:rsid w:val="00FE0067"/>
    <w:rsid w:val="00FE079B"/>
    <w:rsid w:val="00FE0DFB"/>
    <w:rsid w:val="00FE1193"/>
    <w:rsid w:val="00FE15DD"/>
    <w:rsid w:val="00FE30FF"/>
    <w:rsid w:val="00FE46A6"/>
    <w:rsid w:val="00FE4975"/>
    <w:rsid w:val="00FE4B63"/>
    <w:rsid w:val="00FE4DDF"/>
    <w:rsid w:val="00FE5ABC"/>
    <w:rsid w:val="00FE5FE6"/>
    <w:rsid w:val="00FE6A4B"/>
    <w:rsid w:val="00FE759B"/>
    <w:rsid w:val="00FE7F57"/>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1357DA94-8FE0-284C-9229-DB837BF81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19</Pages>
  <Words>34602</Words>
  <Characters>197924</Characters>
  <Application>Microsoft Office Word</Application>
  <DocSecurity>0</DocSecurity>
  <Lines>4398</Lines>
  <Paragraphs>2302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93</cp:revision>
  <cp:lastPrinted>2019-05-07T16:27:00Z</cp:lastPrinted>
  <dcterms:created xsi:type="dcterms:W3CDTF">2019-05-08T23:30:00Z</dcterms:created>
  <dcterms:modified xsi:type="dcterms:W3CDTF">2019-05-09T11:37:00Z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