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32AB62" w14:textId="5BDF898A" w:rsidR="002807AF" w:rsidRDefault="002807AF" w:rsidP="002807AF">
      <w:pPr>
        <w:jc w:val="both"/>
        <w:rPr>
          <w:rFonts w:ascii="Arial" w:hAnsi="Arial" w:cs="Arial"/>
          <w:sz w:val="22"/>
          <w:szCs w:val="22"/>
        </w:rPr>
      </w:pPr>
      <w:r>
        <w:rPr>
          <w:rFonts w:ascii="Arial" w:hAnsi="Arial" w:cs="Arial"/>
          <w:b/>
          <w:sz w:val="22"/>
          <w:szCs w:val="22"/>
        </w:rPr>
        <w:t>Results</w:t>
      </w:r>
    </w:p>
    <w:p w14:paraId="16E58BF8" w14:textId="77777777" w:rsidR="002807AF" w:rsidRPr="00781265" w:rsidRDefault="002807AF" w:rsidP="002807AF">
      <w:pPr>
        <w:jc w:val="both"/>
        <w:rPr>
          <w:rFonts w:ascii="Arial" w:hAnsi="Arial" w:cs="Arial"/>
          <w:sz w:val="22"/>
          <w:szCs w:val="22"/>
        </w:rPr>
      </w:pPr>
    </w:p>
    <w:p w14:paraId="5B48184B" w14:textId="240CB120" w:rsidR="00865251" w:rsidRDefault="00865251" w:rsidP="00865251">
      <w:pPr>
        <w:spacing w:line="480" w:lineRule="auto"/>
        <w:jc w:val="both"/>
        <w:rPr>
          <w:rFonts w:ascii="Arial" w:hAnsi="Arial" w:cs="Arial"/>
          <w:i/>
          <w:sz w:val="22"/>
          <w:szCs w:val="22"/>
          <w:u w:val="single"/>
        </w:rPr>
      </w:pPr>
      <w:r>
        <w:rPr>
          <w:rFonts w:ascii="Arial" w:hAnsi="Arial" w:cs="Arial"/>
          <w:i/>
          <w:sz w:val="22"/>
          <w:szCs w:val="22"/>
          <w:u w:val="single"/>
        </w:rPr>
        <w:t>National wavelet analysis</w:t>
      </w:r>
    </w:p>
    <w:p w14:paraId="4DD76E6A" w14:textId="77777777" w:rsidR="00926785" w:rsidRDefault="00926785" w:rsidP="00865251">
      <w:pPr>
        <w:spacing w:line="480" w:lineRule="auto"/>
        <w:jc w:val="both"/>
        <w:rPr>
          <w:rFonts w:ascii="Arial" w:hAnsi="Arial" w:cs="Arial"/>
          <w:i/>
          <w:sz w:val="22"/>
          <w:szCs w:val="22"/>
          <w:u w:val="single"/>
        </w:rPr>
      </w:pPr>
    </w:p>
    <w:p w14:paraId="0ACB8B1B" w14:textId="3DB015D5" w:rsidR="00716B28" w:rsidRPr="00330515" w:rsidRDefault="00716B28" w:rsidP="00330515">
      <w:pPr>
        <w:spacing w:line="480" w:lineRule="auto"/>
        <w:jc w:val="both"/>
        <w:rPr>
          <w:rFonts w:ascii="Arial" w:hAnsi="Arial" w:cs="Arial"/>
          <w:sz w:val="22"/>
          <w:szCs w:val="22"/>
        </w:rPr>
      </w:pPr>
      <w:r>
        <w:rPr>
          <w:rFonts w:ascii="Arial" w:hAnsi="Arial" w:cs="Arial"/>
          <w:sz w:val="22"/>
          <w:szCs w:val="22"/>
        </w:rPr>
        <w:t xml:space="preserve">Having removed deaths with incomplete records (all from missing ages), we performed a wavelet analysis </w:t>
      </w:r>
      <w:r w:rsidR="00DB5D9B">
        <w:rPr>
          <w:rFonts w:ascii="Arial" w:hAnsi="Arial" w:cs="Arial"/>
          <w:sz w:val="22"/>
          <w:szCs w:val="22"/>
        </w:rPr>
        <w:t>on the age-sex stra</w:t>
      </w:r>
      <w:r w:rsidR="003F6081">
        <w:rPr>
          <w:rFonts w:ascii="Arial" w:hAnsi="Arial" w:cs="Arial"/>
          <w:sz w:val="22"/>
          <w:szCs w:val="22"/>
        </w:rPr>
        <w:t xml:space="preserve">tified mortality rates at the national level. Figure 1 shows that </w:t>
      </w:r>
      <w:r w:rsidR="006C7423">
        <w:rPr>
          <w:rFonts w:ascii="Arial" w:hAnsi="Arial" w:cs="Arial"/>
          <w:sz w:val="22"/>
          <w:szCs w:val="22"/>
        </w:rPr>
        <w:t>all but the 35</w:t>
      </w:r>
      <w:r w:rsidR="003F6081">
        <w:rPr>
          <w:rFonts w:ascii="Arial" w:hAnsi="Arial" w:cs="Arial"/>
          <w:sz w:val="22"/>
          <w:szCs w:val="22"/>
        </w:rPr>
        <w:t>-44 year olds possessed a significant 12-month seasonality</w:t>
      </w:r>
      <w:r w:rsidR="006C7423">
        <w:rPr>
          <w:rFonts w:ascii="Arial" w:hAnsi="Arial" w:cs="Arial"/>
          <w:sz w:val="22"/>
          <w:szCs w:val="22"/>
        </w:rPr>
        <w:t xml:space="preserve"> in males</w:t>
      </w:r>
      <w:r w:rsidR="003F6081">
        <w:rPr>
          <w:rFonts w:ascii="Arial" w:hAnsi="Arial" w:cs="Arial"/>
          <w:sz w:val="22"/>
          <w:szCs w:val="22"/>
        </w:rPr>
        <w:t xml:space="preserve">. </w:t>
      </w:r>
      <w:r w:rsidR="006C7423">
        <w:rPr>
          <w:rFonts w:ascii="Arial" w:hAnsi="Arial" w:cs="Arial"/>
          <w:sz w:val="22"/>
          <w:szCs w:val="22"/>
        </w:rPr>
        <w:t>The 35-44 group instead displayed significant seasona</w:t>
      </w:r>
      <w:r w:rsidR="00C00A3A">
        <w:rPr>
          <w:rFonts w:ascii="Arial" w:hAnsi="Arial" w:cs="Arial"/>
          <w:sz w:val="22"/>
          <w:szCs w:val="22"/>
        </w:rPr>
        <w:t xml:space="preserve">lity </w:t>
      </w:r>
      <w:r w:rsidR="007F4118">
        <w:rPr>
          <w:rFonts w:ascii="Arial" w:hAnsi="Arial" w:cs="Arial"/>
          <w:sz w:val="22"/>
          <w:szCs w:val="22"/>
        </w:rPr>
        <w:t xml:space="preserve">only at 6 months. A significant 6-month period of </w:t>
      </w:r>
      <w:r w:rsidR="00C00A3A">
        <w:rPr>
          <w:rFonts w:ascii="Arial" w:hAnsi="Arial" w:cs="Arial"/>
          <w:sz w:val="22"/>
          <w:szCs w:val="22"/>
        </w:rPr>
        <w:t>seasonality was also evident in 5-14, 25-34, 45-54 year old</w:t>
      </w:r>
      <w:r w:rsidR="007F4118">
        <w:rPr>
          <w:rFonts w:ascii="Arial" w:hAnsi="Arial" w:cs="Arial"/>
          <w:sz w:val="22"/>
          <w:szCs w:val="22"/>
        </w:rPr>
        <w:t xml:space="preserve">s, in addition to the 12-month seasonality present. </w:t>
      </w:r>
      <w:r w:rsidR="003F6081">
        <w:rPr>
          <w:rFonts w:ascii="Arial" w:hAnsi="Arial" w:cs="Arial"/>
          <w:sz w:val="22"/>
          <w:szCs w:val="22"/>
        </w:rPr>
        <w:t xml:space="preserve">Figure 2 illustrates </w:t>
      </w:r>
      <w:r w:rsidR="00330515">
        <w:rPr>
          <w:rFonts w:ascii="Arial" w:hAnsi="Arial" w:cs="Arial"/>
          <w:sz w:val="22"/>
          <w:szCs w:val="22"/>
        </w:rPr>
        <w:t>that women, contrasting with</w:t>
      </w:r>
      <w:r w:rsidR="006C7423">
        <w:rPr>
          <w:rFonts w:ascii="Arial" w:hAnsi="Arial" w:cs="Arial"/>
          <w:sz w:val="22"/>
          <w:szCs w:val="22"/>
        </w:rPr>
        <w:t xml:space="preserve"> the male groups</w:t>
      </w:r>
      <w:r w:rsidR="00330515">
        <w:rPr>
          <w:rFonts w:ascii="Arial" w:hAnsi="Arial" w:cs="Arial"/>
          <w:sz w:val="22"/>
          <w:szCs w:val="22"/>
        </w:rPr>
        <w:t>,</w:t>
      </w:r>
      <w:r w:rsidR="006C7423">
        <w:rPr>
          <w:rFonts w:ascii="Arial" w:hAnsi="Arial" w:cs="Arial"/>
          <w:sz w:val="22"/>
          <w:szCs w:val="22"/>
        </w:rPr>
        <w:t xml:space="preserve"> demonstrated no signi</w:t>
      </w:r>
      <w:r w:rsidR="00330515">
        <w:rPr>
          <w:rFonts w:ascii="Arial" w:hAnsi="Arial" w:cs="Arial"/>
          <w:sz w:val="22"/>
          <w:szCs w:val="22"/>
        </w:rPr>
        <w:t xml:space="preserve">ficant 12-month seasonality </w:t>
      </w:r>
      <w:r w:rsidR="00330515">
        <w:rPr>
          <w:rFonts w:ascii="Arial" w:hAnsi="Arial" w:cs="Arial"/>
          <w:sz w:val="22"/>
          <w:szCs w:val="22"/>
        </w:rPr>
        <w:t>in younger age groups (5-14,15-24,25-34 year olds)</w:t>
      </w:r>
      <w:r w:rsidR="00330515">
        <w:rPr>
          <w:rFonts w:ascii="Arial" w:hAnsi="Arial" w:cs="Arial"/>
          <w:sz w:val="22"/>
          <w:szCs w:val="22"/>
        </w:rPr>
        <w:t>. Instead, a constant 6-month seasonality was present in 5-14, 25-34, 35-44, and 45-54 age groups.</w:t>
      </w:r>
    </w:p>
    <w:p w14:paraId="3D24E075" w14:textId="77777777" w:rsidR="00865251" w:rsidRPr="00067224" w:rsidRDefault="00865251" w:rsidP="0027627C">
      <w:pPr>
        <w:spacing w:line="480" w:lineRule="auto"/>
        <w:rPr>
          <w:rFonts w:ascii="Times New Roman" w:hAnsi="Times New Roman"/>
        </w:rPr>
      </w:pPr>
    </w:p>
    <w:p w14:paraId="12114F88" w14:textId="77777777" w:rsidR="00865251" w:rsidRDefault="00865251" w:rsidP="00865251">
      <w:pPr>
        <w:spacing w:line="480" w:lineRule="auto"/>
        <w:jc w:val="both"/>
        <w:rPr>
          <w:rFonts w:ascii="Arial" w:hAnsi="Arial" w:cs="Arial"/>
          <w:i/>
          <w:sz w:val="22"/>
          <w:szCs w:val="22"/>
          <w:u w:val="single"/>
        </w:rPr>
      </w:pPr>
      <w:r>
        <w:rPr>
          <w:rFonts w:ascii="Arial" w:hAnsi="Arial" w:cs="Arial"/>
          <w:i/>
          <w:sz w:val="22"/>
          <w:szCs w:val="22"/>
          <w:u w:val="single"/>
        </w:rPr>
        <w:t>National centre of gravity analysis</w:t>
      </w:r>
    </w:p>
    <w:p w14:paraId="7CBDDE8F" w14:textId="77777777" w:rsidR="00745909" w:rsidRDefault="00745909" w:rsidP="00865251">
      <w:pPr>
        <w:spacing w:line="480" w:lineRule="auto"/>
        <w:jc w:val="both"/>
        <w:rPr>
          <w:rFonts w:ascii="Arial" w:hAnsi="Arial" w:cs="Arial"/>
          <w:i/>
          <w:sz w:val="22"/>
          <w:szCs w:val="22"/>
          <w:u w:val="single"/>
        </w:rPr>
      </w:pPr>
    </w:p>
    <w:p w14:paraId="281A75D7" w14:textId="764DCC8E" w:rsidR="00892A44" w:rsidRPr="00513447" w:rsidRDefault="00DD17D3" w:rsidP="00513447">
      <w:pPr>
        <w:spacing w:line="480" w:lineRule="auto"/>
        <w:jc w:val="both"/>
        <w:rPr>
          <w:rFonts w:ascii="Arial" w:hAnsi="Arial" w:cs="Arial"/>
          <w:sz w:val="22"/>
          <w:szCs w:val="22"/>
        </w:rPr>
      </w:pPr>
      <w:r>
        <w:rPr>
          <w:rFonts w:ascii="Arial" w:hAnsi="Arial" w:cs="Arial"/>
          <w:sz w:val="22"/>
          <w:szCs w:val="22"/>
        </w:rPr>
        <w:t>W</w:t>
      </w:r>
      <w:r w:rsidR="001102B5">
        <w:rPr>
          <w:rFonts w:ascii="Arial" w:hAnsi="Arial" w:cs="Arial"/>
          <w:sz w:val="22"/>
          <w:szCs w:val="22"/>
        </w:rPr>
        <w:t xml:space="preserve">e performed a centre of gravity analysis </w:t>
      </w:r>
      <w:r w:rsidR="007E1033">
        <w:rPr>
          <w:rFonts w:ascii="Arial" w:hAnsi="Arial" w:cs="Arial"/>
          <w:sz w:val="22"/>
          <w:szCs w:val="22"/>
        </w:rPr>
        <w:t xml:space="preserve">on death rates </w:t>
      </w:r>
      <w:r w:rsidR="001102B5">
        <w:rPr>
          <w:rFonts w:ascii="Arial" w:hAnsi="Arial" w:cs="Arial"/>
          <w:sz w:val="22"/>
          <w:szCs w:val="22"/>
        </w:rPr>
        <w:t>to understand where the mean maximum and minimum mortality occurred within the year</w:t>
      </w:r>
      <w:r>
        <w:rPr>
          <w:rFonts w:ascii="Arial" w:hAnsi="Arial" w:cs="Arial"/>
          <w:sz w:val="22"/>
          <w:szCs w:val="22"/>
        </w:rPr>
        <w:t xml:space="preserve"> for groups with significant 12-month seasonality</w:t>
      </w:r>
      <w:r w:rsidR="001102B5">
        <w:rPr>
          <w:rFonts w:ascii="Arial" w:hAnsi="Arial" w:cs="Arial"/>
          <w:sz w:val="22"/>
          <w:szCs w:val="22"/>
        </w:rPr>
        <w:t>.</w:t>
      </w:r>
      <w:r w:rsidR="00C7278A">
        <w:rPr>
          <w:rFonts w:ascii="Arial" w:hAnsi="Arial" w:cs="Arial"/>
          <w:sz w:val="22"/>
          <w:szCs w:val="22"/>
        </w:rPr>
        <w:t xml:space="preserve"> The results of this are plotting in figure 3. </w:t>
      </w:r>
      <w:r w:rsidR="00AC17FB">
        <w:rPr>
          <w:rFonts w:ascii="Arial" w:hAnsi="Arial" w:cs="Arial"/>
          <w:sz w:val="22"/>
          <w:szCs w:val="22"/>
        </w:rPr>
        <w:t xml:space="preserve">In summary, </w:t>
      </w:r>
      <w:r w:rsidR="00DD7C31">
        <w:rPr>
          <w:rFonts w:ascii="Arial" w:hAnsi="Arial" w:cs="Arial"/>
          <w:sz w:val="22"/>
          <w:szCs w:val="22"/>
        </w:rPr>
        <w:t>45 year olds and above groups in both sexes displayed a maximu</w:t>
      </w:r>
      <w:r w:rsidR="009601E0">
        <w:rPr>
          <w:rFonts w:ascii="Arial" w:hAnsi="Arial" w:cs="Arial"/>
          <w:sz w:val="22"/>
          <w:szCs w:val="22"/>
        </w:rPr>
        <w:t>m mortality in the summer (July)</w:t>
      </w:r>
      <w:r w:rsidR="00DD7C31">
        <w:rPr>
          <w:rFonts w:ascii="Arial" w:hAnsi="Arial" w:cs="Arial"/>
          <w:sz w:val="22"/>
          <w:szCs w:val="22"/>
        </w:rPr>
        <w:t xml:space="preserve">, </w:t>
      </w:r>
      <w:r w:rsidR="009601E0">
        <w:rPr>
          <w:rFonts w:ascii="Arial" w:hAnsi="Arial" w:cs="Arial"/>
          <w:sz w:val="22"/>
          <w:szCs w:val="22"/>
        </w:rPr>
        <w:t xml:space="preserve">with a minimum in the winter months (January). </w:t>
      </w:r>
      <w:r w:rsidR="00F40AB9">
        <w:rPr>
          <w:rFonts w:ascii="Arial" w:hAnsi="Arial" w:cs="Arial"/>
          <w:sz w:val="22"/>
          <w:szCs w:val="22"/>
        </w:rPr>
        <w:t>The converse was true for y</w:t>
      </w:r>
      <w:r w:rsidR="009601E0">
        <w:rPr>
          <w:rFonts w:ascii="Arial" w:hAnsi="Arial" w:cs="Arial"/>
          <w:sz w:val="22"/>
          <w:szCs w:val="22"/>
        </w:rPr>
        <w:t xml:space="preserve">ounger men who possessed significant 12-month seasonality </w:t>
      </w:r>
      <w:r w:rsidR="00F40AB9">
        <w:rPr>
          <w:rFonts w:ascii="Arial" w:hAnsi="Arial" w:cs="Arial"/>
          <w:sz w:val="22"/>
          <w:szCs w:val="22"/>
        </w:rPr>
        <w:t xml:space="preserve">(5-14, 25-34, 25-34), where the peak of mortality occurred in the summer (June/July), </w:t>
      </w:r>
      <w:r w:rsidR="00887CE2">
        <w:rPr>
          <w:rFonts w:ascii="Arial" w:hAnsi="Arial" w:cs="Arial"/>
          <w:sz w:val="22"/>
          <w:szCs w:val="22"/>
        </w:rPr>
        <w:t>with the minimum</w:t>
      </w:r>
      <w:r w:rsidR="00F40AB9">
        <w:rPr>
          <w:rFonts w:ascii="Arial" w:hAnsi="Arial" w:cs="Arial"/>
          <w:sz w:val="22"/>
          <w:szCs w:val="22"/>
        </w:rPr>
        <w:t xml:space="preserve"> in the winter (December/January). </w:t>
      </w:r>
      <w:r w:rsidR="004E267D">
        <w:rPr>
          <w:rFonts w:ascii="Arial" w:hAnsi="Arial" w:cs="Arial"/>
          <w:sz w:val="22"/>
          <w:szCs w:val="22"/>
        </w:rPr>
        <w:t>The timing of 0-4 year olds for both sexes followed the same pattern as each other, indicating no significant difference between sexes at that stage in life.</w:t>
      </w:r>
    </w:p>
    <w:p w14:paraId="7BD4B28A" w14:textId="77777777" w:rsidR="00865251" w:rsidRDefault="00865251" w:rsidP="0044478E">
      <w:pPr>
        <w:spacing w:line="480" w:lineRule="auto"/>
        <w:rPr>
          <w:rFonts w:ascii="Times New Roman" w:hAnsi="Times New Roman"/>
        </w:rPr>
      </w:pPr>
    </w:p>
    <w:p w14:paraId="731B5D3C" w14:textId="77777777" w:rsidR="00865251" w:rsidRPr="0027627C" w:rsidRDefault="00865251" w:rsidP="00865251">
      <w:pPr>
        <w:spacing w:line="480" w:lineRule="auto"/>
        <w:jc w:val="both"/>
        <w:rPr>
          <w:rFonts w:ascii="Arial" w:hAnsi="Arial" w:cs="Arial"/>
          <w:i/>
          <w:sz w:val="22"/>
          <w:szCs w:val="22"/>
          <w:u w:val="single"/>
        </w:rPr>
      </w:pPr>
      <w:r>
        <w:rPr>
          <w:rFonts w:ascii="Arial" w:hAnsi="Arial" w:cs="Arial"/>
          <w:i/>
          <w:sz w:val="22"/>
          <w:szCs w:val="22"/>
          <w:u w:val="single"/>
        </w:rPr>
        <w:t>Change in national seasonal excess</w:t>
      </w:r>
    </w:p>
    <w:p w14:paraId="551A7585" w14:textId="77777777" w:rsidR="00865251" w:rsidRPr="00067224" w:rsidRDefault="00865251" w:rsidP="0044478E">
      <w:pPr>
        <w:spacing w:line="480" w:lineRule="auto"/>
        <w:rPr>
          <w:rFonts w:ascii="Times New Roman" w:hAnsi="Times New Roman"/>
        </w:rPr>
      </w:pPr>
    </w:p>
    <w:p w14:paraId="1A92E6E9" w14:textId="17DE8E71" w:rsidR="00513447" w:rsidRDefault="00F90F31" w:rsidP="00CA3CC1">
      <w:pPr>
        <w:spacing w:line="480" w:lineRule="auto"/>
        <w:rPr>
          <w:rFonts w:ascii="Times New Roman" w:hAnsi="Times New Roman"/>
        </w:rPr>
      </w:pPr>
      <w:r w:rsidRPr="00745909">
        <w:rPr>
          <w:rFonts w:ascii="Arial" w:hAnsi="Arial" w:cs="Arial"/>
          <w:sz w:val="22"/>
          <w:szCs w:val="22"/>
        </w:rPr>
        <w:lastRenderedPageBreak/>
        <w:t>For th</w:t>
      </w:r>
      <w:r>
        <w:rPr>
          <w:rFonts w:ascii="Arial" w:hAnsi="Arial" w:cs="Arial"/>
          <w:sz w:val="22"/>
          <w:szCs w:val="22"/>
        </w:rPr>
        <w:t>e national age-sex groups which demonstrated significant 12-month seasonality,</w:t>
      </w:r>
      <w:r w:rsidR="00647872">
        <w:rPr>
          <w:rFonts w:ascii="Arial" w:hAnsi="Arial" w:cs="Arial"/>
          <w:sz w:val="22"/>
          <w:szCs w:val="22"/>
        </w:rPr>
        <w:t xml:space="preserve"> we were interested in how the difference between maximum and minimum mortality within a year had changed from 1982 to 2013. </w:t>
      </w:r>
      <w:r w:rsidR="00834C65">
        <w:rPr>
          <w:rFonts w:ascii="Arial" w:hAnsi="Arial" w:cs="Arial"/>
          <w:sz w:val="22"/>
          <w:szCs w:val="22"/>
        </w:rPr>
        <w:t xml:space="preserve">We </w:t>
      </w:r>
      <w:r w:rsidR="00647872">
        <w:rPr>
          <w:rFonts w:ascii="Arial" w:hAnsi="Arial" w:cs="Arial"/>
          <w:sz w:val="22"/>
          <w:szCs w:val="22"/>
        </w:rPr>
        <w:t xml:space="preserve">fitted a linear regression to the seasonal excess </w:t>
      </w:r>
      <w:r w:rsidR="00834C65">
        <w:rPr>
          <w:rFonts w:ascii="Arial" w:hAnsi="Arial" w:cs="Arial"/>
          <w:sz w:val="22"/>
          <w:szCs w:val="22"/>
        </w:rPr>
        <w:t xml:space="preserve">(the percentage difference between maximum and minimum mortality within a year) against year </w:t>
      </w:r>
      <w:r w:rsidR="00647872">
        <w:rPr>
          <w:rFonts w:ascii="Arial" w:hAnsi="Arial" w:cs="Arial"/>
          <w:sz w:val="22"/>
          <w:szCs w:val="22"/>
        </w:rPr>
        <w:t xml:space="preserve">for </w:t>
      </w:r>
      <w:r w:rsidR="00260E8F">
        <w:rPr>
          <w:rFonts w:ascii="Arial" w:hAnsi="Arial" w:cs="Arial"/>
          <w:sz w:val="22"/>
          <w:szCs w:val="22"/>
        </w:rPr>
        <w:t>the significant age-sex groups. The results, plotted in figure 4, demonstrate that older groups</w:t>
      </w:r>
      <w:r w:rsidR="004E267D">
        <w:rPr>
          <w:rFonts w:ascii="Arial" w:hAnsi="Arial" w:cs="Arial"/>
          <w:sz w:val="22"/>
          <w:szCs w:val="22"/>
        </w:rPr>
        <w:t xml:space="preserve"> </w:t>
      </w:r>
      <w:r w:rsidR="00260E8F">
        <w:rPr>
          <w:rFonts w:ascii="Arial" w:hAnsi="Arial" w:cs="Arial"/>
          <w:sz w:val="22"/>
          <w:szCs w:val="22"/>
        </w:rPr>
        <w:t>(45 and older) in both sexes have exhibited no significant change in sea</w:t>
      </w:r>
      <w:r w:rsidR="00611801">
        <w:rPr>
          <w:rFonts w:ascii="Arial" w:hAnsi="Arial" w:cs="Arial"/>
          <w:sz w:val="22"/>
          <w:szCs w:val="22"/>
        </w:rPr>
        <w:t>sonal excess. Yo</w:t>
      </w:r>
      <w:r w:rsidR="004E267D">
        <w:rPr>
          <w:rFonts w:ascii="Arial" w:hAnsi="Arial" w:cs="Arial"/>
          <w:sz w:val="22"/>
          <w:szCs w:val="22"/>
        </w:rPr>
        <w:t>unger age groups</w:t>
      </w:r>
      <w:r w:rsidR="00611801">
        <w:rPr>
          <w:rFonts w:ascii="Arial" w:hAnsi="Arial" w:cs="Arial"/>
          <w:sz w:val="22"/>
          <w:szCs w:val="22"/>
        </w:rPr>
        <w:t>, particularly 5-14, 15-24, 25-34 men, exhibit a significant decline of seasonality during the period of study (elaborate with exact figures).</w:t>
      </w:r>
    </w:p>
    <w:p w14:paraId="4F2F14C6" w14:textId="77777777" w:rsidR="00F90F31" w:rsidRPr="00513447" w:rsidRDefault="00F90F31" w:rsidP="00513447">
      <w:pPr>
        <w:spacing w:line="480" w:lineRule="auto"/>
        <w:rPr>
          <w:rFonts w:ascii="Times New Roman" w:hAnsi="Times New Roman"/>
        </w:rPr>
      </w:pPr>
    </w:p>
    <w:p w14:paraId="59FB4AE5" w14:textId="5E96EA42" w:rsidR="00865251" w:rsidRDefault="00865251" w:rsidP="00865251">
      <w:pPr>
        <w:spacing w:line="480" w:lineRule="auto"/>
        <w:jc w:val="both"/>
        <w:rPr>
          <w:rFonts w:ascii="Arial" w:hAnsi="Arial" w:cs="Arial"/>
          <w:i/>
          <w:sz w:val="22"/>
          <w:szCs w:val="22"/>
          <w:u w:val="single"/>
        </w:rPr>
      </w:pPr>
      <w:r>
        <w:rPr>
          <w:rFonts w:ascii="Arial" w:hAnsi="Arial" w:cs="Arial"/>
          <w:i/>
          <w:sz w:val="22"/>
          <w:szCs w:val="22"/>
          <w:u w:val="single"/>
        </w:rPr>
        <w:t>Subnational centre of gravity analysis</w:t>
      </w:r>
    </w:p>
    <w:p w14:paraId="500B47A9" w14:textId="77777777" w:rsidR="00611801" w:rsidRPr="00611801" w:rsidRDefault="00611801" w:rsidP="00865251">
      <w:pPr>
        <w:spacing w:line="480" w:lineRule="auto"/>
        <w:jc w:val="both"/>
        <w:rPr>
          <w:rFonts w:ascii="Arial" w:hAnsi="Arial" w:cs="Arial"/>
          <w:sz w:val="22"/>
          <w:szCs w:val="22"/>
        </w:rPr>
      </w:pPr>
    </w:p>
    <w:p w14:paraId="5BC90A97" w14:textId="105984EF" w:rsidR="00611801" w:rsidRDefault="00832025" w:rsidP="00865251">
      <w:pPr>
        <w:spacing w:line="480" w:lineRule="auto"/>
        <w:jc w:val="both"/>
        <w:rPr>
          <w:rFonts w:ascii="Arial" w:hAnsi="Arial" w:cs="Arial"/>
          <w:sz w:val="22"/>
          <w:szCs w:val="22"/>
        </w:rPr>
      </w:pPr>
      <w:r>
        <w:rPr>
          <w:rFonts w:ascii="Arial" w:hAnsi="Arial" w:cs="Arial"/>
          <w:sz w:val="22"/>
          <w:szCs w:val="22"/>
        </w:rPr>
        <w:t>We performed a centre of gravity analysis</w:t>
      </w:r>
      <w:r w:rsidR="0048081B">
        <w:rPr>
          <w:rFonts w:ascii="Arial" w:hAnsi="Arial" w:cs="Arial"/>
          <w:sz w:val="22"/>
          <w:szCs w:val="22"/>
        </w:rPr>
        <w:t xml:space="preserve"> on death rates</w:t>
      </w:r>
      <w:r>
        <w:rPr>
          <w:rFonts w:ascii="Arial" w:hAnsi="Arial" w:cs="Arial"/>
          <w:sz w:val="22"/>
          <w:szCs w:val="22"/>
        </w:rPr>
        <w:t xml:space="preserve"> sub-nationally for groups which demonstrated significant 12-month period nationally. The results of this are plotted as maps on figures 4-7. The national data were subdivided geographically by climate region, as described by </w:t>
      </w:r>
      <w:r w:rsidR="007E1033">
        <w:rPr>
          <w:rFonts w:ascii="Arial" w:hAnsi="Arial" w:cs="Arial"/>
          <w:sz w:val="22"/>
          <w:szCs w:val="22"/>
        </w:rPr>
        <w:t>the National Oceanic and Atmospheric Administration (NOAA). Hawaii was included in the West region, and Alaska in the Northwest region for convenience (?). The subnational patterns are generally consistent with the national values</w:t>
      </w:r>
      <w:r w:rsidR="00D97914">
        <w:rPr>
          <w:rFonts w:ascii="Arial" w:hAnsi="Arial" w:cs="Arial"/>
          <w:sz w:val="22"/>
          <w:szCs w:val="22"/>
        </w:rPr>
        <w:t>…</w:t>
      </w:r>
      <w:bookmarkStart w:id="0" w:name="_GoBack"/>
      <w:bookmarkEnd w:id="0"/>
    </w:p>
    <w:p w14:paraId="5794BA65" w14:textId="77777777" w:rsidR="00611801" w:rsidRDefault="00611801" w:rsidP="00865251">
      <w:pPr>
        <w:spacing w:line="480" w:lineRule="auto"/>
        <w:jc w:val="both"/>
        <w:rPr>
          <w:rFonts w:ascii="Arial" w:hAnsi="Arial" w:cs="Arial"/>
          <w:sz w:val="22"/>
          <w:szCs w:val="22"/>
        </w:rPr>
      </w:pPr>
    </w:p>
    <w:p w14:paraId="7B42A974" w14:textId="77777777" w:rsidR="00CA3CC1" w:rsidRDefault="00CA3CC1">
      <w:pPr>
        <w:rPr>
          <w:rFonts w:ascii="Times New Roman" w:hAnsi="Times New Roman"/>
        </w:rPr>
      </w:pPr>
    </w:p>
    <w:p w14:paraId="0CD28BDE" w14:textId="0671420E" w:rsidR="00F90F31" w:rsidRDefault="00F90F31" w:rsidP="00CA3CC1">
      <w:pPr>
        <w:spacing w:line="480" w:lineRule="auto"/>
        <w:rPr>
          <w:rFonts w:ascii="Times New Roman" w:hAnsi="Times New Roman"/>
        </w:rPr>
      </w:pPr>
      <w:r>
        <w:rPr>
          <w:rFonts w:ascii="Times New Roman" w:hAnsi="Times New Roman"/>
        </w:rPr>
        <w:br w:type="page"/>
      </w:r>
    </w:p>
    <w:p w14:paraId="41FFDA31" w14:textId="77777777" w:rsidR="00F90F31" w:rsidRDefault="00F90F31" w:rsidP="00CA3CC1">
      <w:pPr>
        <w:spacing w:line="480" w:lineRule="auto"/>
        <w:rPr>
          <w:rFonts w:ascii="Times New Roman" w:hAnsi="Times New Roman"/>
        </w:rPr>
      </w:pPr>
    </w:p>
    <w:p w14:paraId="644C95F8" w14:textId="1F27C701" w:rsidR="00865251" w:rsidRDefault="00865251">
      <w:pPr>
        <w:rPr>
          <w:rFonts w:ascii="Times New Roman" w:hAnsi="Times New Roman"/>
        </w:rPr>
      </w:pPr>
    </w:p>
    <w:p w14:paraId="077A1D1B" w14:textId="1959A551" w:rsidR="002807AF" w:rsidRDefault="002807AF" w:rsidP="002807AF">
      <w:pPr>
        <w:rPr>
          <w:b/>
        </w:rPr>
      </w:pPr>
      <w:r>
        <w:rPr>
          <w:b/>
        </w:rPr>
        <w:t>Outline of results</w:t>
      </w:r>
      <w:r w:rsidR="00CA3CC1">
        <w:rPr>
          <w:b/>
        </w:rPr>
        <w:t xml:space="preserve"> to describe</w:t>
      </w:r>
    </w:p>
    <w:p w14:paraId="447CB9A6" w14:textId="77777777" w:rsidR="00632294" w:rsidRDefault="00632294" w:rsidP="002807AF">
      <w:pPr>
        <w:rPr>
          <w:b/>
        </w:rPr>
      </w:pPr>
    </w:p>
    <w:p w14:paraId="7FEAE074" w14:textId="66DD8E64" w:rsidR="00632294" w:rsidRPr="00632294" w:rsidRDefault="00632294" w:rsidP="002807AF">
      <w:r w:rsidRPr="00632294">
        <w:t>CONDITION OF SEASONALITY</w:t>
      </w:r>
      <w:r w:rsidR="00E34836">
        <w:t>: Significant 95% seasonality for both periods of time for at least 5 year</w:t>
      </w:r>
      <w:r w:rsidR="008842BD">
        <w:t>s consecutively in each section OR over 20 years in total</w:t>
      </w:r>
    </w:p>
    <w:p w14:paraId="321544B8" w14:textId="77777777" w:rsidR="002807AF" w:rsidRDefault="002807AF" w:rsidP="002807AF">
      <w:pPr>
        <w:rPr>
          <w:b/>
        </w:rPr>
      </w:pPr>
    </w:p>
    <w:p w14:paraId="74FA1DE8" w14:textId="1E3A1795" w:rsidR="002807AF" w:rsidRDefault="008F5A1F" w:rsidP="002807AF">
      <w:pPr>
        <w:rPr>
          <w:b/>
        </w:rPr>
      </w:pPr>
      <w:r>
        <w:rPr>
          <w:b/>
        </w:rPr>
        <w:t>National wavelet analysis</w:t>
      </w:r>
    </w:p>
    <w:p w14:paraId="7B8EEA52" w14:textId="5E6875CE" w:rsidR="008F5A1F" w:rsidRDefault="00C82431" w:rsidP="008F5A1F">
      <w:pPr>
        <w:pStyle w:val="ListParagraph"/>
        <w:numPr>
          <w:ilvl w:val="0"/>
          <w:numId w:val="4"/>
        </w:numPr>
      </w:pPr>
      <w:r>
        <w:t xml:space="preserve">Men: significant seasonality </w:t>
      </w:r>
      <w:r w:rsidR="004059C8">
        <w:t xml:space="preserve">at 12 months </w:t>
      </w:r>
      <w:r>
        <w:t>at 95% level for entire period for 5-14,</w:t>
      </w:r>
      <w:r w:rsidR="004059C8">
        <w:t xml:space="preserve"> </w:t>
      </w:r>
      <w:r>
        <w:t>15-24,</w:t>
      </w:r>
      <w:r w:rsidR="004059C8">
        <w:t xml:space="preserve"> </w:t>
      </w:r>
      <w:r>
        <w:t>25-34,</w:t>
      </w:r>
      <w:r w:rsidR="004059C8">
        <w:t xml:space="preserve"> </w:t>
      </w:r>
      <w:r>
        <w:t>45-54,</w:t>
      </w:r>
      <w:r w:rsidR="004059C8">
        <w:t xml:space="preserve"> </w:t>
      </w:r>
      <w:r>
        <w:t>55-64,</w:t>
      </w:r>
      <w:r w:rsidR="004059C8">
        <w:t xml:space="preserve"> </w:t>
      </w:r>
      <w:r>
        <w:t>65-74,</w:t>
      </w:r>
      <w:r w:rsidR="004059C8">
        <w:t xml:space="preserve"> </w:t>
      </w:r>
      <w:r>
        <w:t>75-84,</w:t>
      </w:r>
      <w:r w:rsidR="004059C8">
        <w:t xml:space="preserve"> </w:t>
      </w:r>
      <w:r>
        <w:t>85+</w:t>
      </w:r>
      <w:r w:rsidR="004059C8">
        <w:t>.</w:t>
      </w:r>
    </w:p>
    <w:p w14:paraId="530E9D21" w14:textId="687C56AC" w:rsidR="00C82431" w:rsidRDefault="006D091F" w:rsidP="008F5A1F">
      <w:pPr>
        <w:pStyle w:val="ListParagraph"/>
        <w:numPr>
          <w:ilvl w:val="0"/>
          <w:numId w:val="4"/>
        </w:numPr>
      </w:pPr>
      <w:r>
        <w:t xml:space="preserve">Men: </w:t>
      </w:r>
      <w:r w:rsidR="004059C8">
        <w:t>significant seasonality at 12 months at 95% level for first half of period for 0-4.</w:t>
      </w:r>
    </w:p>
    <w:p w14:paraId="7B0400D6" w14:textId="39C14EC9" w:rsidR="004059C8" w:rsidRDefault="004059C8" w:rsidP="00892A44">
      <w:pPr>
        <w:pStyle w:val="ListParagraph"/>
        <w:numPr>
          <w:ilvl w:val="0"/>
          <w:numId w:val="4"/>
        </w:numPr>
      </w:pPr>
      <w:r>
        <w:t>Men: significant seasonality at 6 months at 95% leve</w:t>
      </w:r>
      <w:r w:rsidR="009D3239">
        <w:t>l for entire period for 35-44, b</w:t>
      </w:r>
      <w:r w:rsidR="00EF2ED7">
        <w:t>ecause of bi-moda</w:t>
      </w:r>
      <w:r>
        <w:t>l structure (summer and winter)</w:t>
      </w:r>
    </w:p>
    <w:p w14:paraId="4070D635" w14:textId="0776F31B" w:rsidR="00794EAD" w:rsidRDefault="004059C8" w:rsidP="00794EAD">
      <w:pPr>
        <w:pStyle w:val="ListParagraph"/>
        <w:numPr>
          <w:ilvl w:val="0"/>
          <w:numId w:val="4"/>
        </w:numPr>
      </w:pPr>
      <w:r>
        <w:t>Women: significant seasonality at 12 months at 95% level for entire period for 35-44,</w:t>
      </w:r>
      <w:r w:rsidR="00794EAD">
        <w:t xml:space="preserve"> 45-54, 55-64, 65-74, 75-84, 85+.</w:t>
      </w:r>
    </w:p>
    <w:p w14:paraId="0DEC61CE" w14:textId="59596B1F" w:rsidR="00794EAD" w:rsidRDefault="00794EAD" w:rsidP="00794EAD">
      <w:pPr>
        <w:pStyle w:val="ListParagraph"/>
        <w:numPr>
          <w:ilvl w:val="0"/>
          <w:numId w:val="4"/>
        </w:numPr>
      </w:pPr>
      <w:r>
        <w:t xml:space="preserve">Women: significant </w:t>
      </w:r>
      <w:r w:rsidR="00EF2ED7">
        <w:t>seasonality at 12 months at 95% level for first half of per</w:t>
      </w:r>
      <w:r w:rsidR="001102B5">
        <w:t>iod for at least 5 years for 25-34</w:t>
      </w:r>
      <w:r w:rsidR="00EF2ED7">
        <w:t>, 15-24.</w:t>
      </w:r>
    </w:p>
    <w:p w14:paraId="26075D46" w14:textId="2D925685" w:rsidR="00EF2ED7" w:rsidRDefault="00EF2ED7" w:rsidP="00EF2ED7">
      <w:pPr>
        <w:pStyle w:val="ListParagraph"/>
        <w:numPr>
          <w:ilvl w:val="0"/>
          <w:numId w:val="4"/>
        </w:numPr>
      </w:pPr>
      <w:r>
        <w:t>Women: significant seasonality at 6 months at 95% level for entire period for 5-14, because of bi-modal structure (summer and winter)</w:t>
      </w:r>
    </w:p>
    <w:p w14:paraId="1B54A84D" w14:textId="5A7730FA" w:rsidR="00CA3CC1" w:rsidRDefault="00CA3CC1" w:rsidP="00EF2ED7">
      <w:pPr>
        <w:pStyle w:val="ListParagraph"/>
        <w:numPr>
          <w:ilvl w:val="0"/>
          <w:numId w:val="4"/>
        </w:numPr>
      </w:pPr>
      <w:r>
        <w:t>Women: no significant seasonality for both periods for at least 5 years consecutive for 6 or 12 months.</w:t>
      </w:r>
    </w:p>
    <w:p w14:paraId="005BA5D2" w14:textId="20E53CF5" w:rsidR="008F5A1F" w:rsidRDefault="008F5A1F" w:rsidP="00CA3CC1"/>
    <w:p w14:paraId="64EE09A6" w14:textId="1AF502E5" w:rsidR="00632294" w:rsidRDefault="008F5A1F" w:rsidP="008F5A1F">
      <w:pPr>
        <w:rPr>
          <w:b/>
        </w:rPr>
      </w:pPr>
      <w:r>
        <w:rPr>
          <w:b/>
        </w:rPr>
        <w:t>National centre of gravity analysis</w:t>
      </w:r>
    </w:p>
    <w:p w14:paraId="30CB6F1C" w14:textId="3FE6C944" w:rsidR="008F5A1F" w:rsidRDefault="00CA3CC1" w:rsidP="008F5A1F">
      <w:pPr>
        <w:pStyle w:val="ListParagraph"/>
        <w:numPr>
          <w:ilvl w:val="0"/>
          <w:numId w:val="4"/>
        </w:numPr>
      </w:pPr>
      <w:r>
        <w:t>Excluded Men 35-44, Women 5-14 and 25-34 as did not exhibit</w:t>
      </w:r>
      <w:r w:rsidR="00632294">
        <w:t xml:space="preserve"> significant seasonality at 12 months</w:t>
      </w:r>
    </w:p>
    <w:p w14:paraId="5CAC729C" w14:textId="5AB61CBA" w:rsidR="008842BD" w:rsidRDefault="008842BD" w:rsidP="008F5A1F">
      <w:pPr>
        <w:pStyle w:val="ListParagraph"/>
        <w:numPr>
          <w:ilvl w:val="0"/>
          <w:numId w:val="4"/>
        </w:numPr>
      </w:pPr>
      <w:r>
        <w:t xml:space="preserve">Men and Women: 45-54, 55-64, 65-74, 75-84, 85+ </w:t>
      </w:r>
      <w:r w:rsidR="00F90A1F">
        <w:t>max in winter and min in summer</w:t>
      </w:r>
    </w:p>
    <w:p w14:paraId="1778FCDD" w14:textId="6150D319" w:rsidR="00F90A1F" w:rsidRDefault="00F90A1F" w:rsidP="008F5A1F">
      <w:pPr>
        <w:pStyle w:val="ListParagraph"/>
        <w:numPr>
          <w:ilvl w:val="0"/>
          <w:numId w:val="4"/>
        </w:numPr>
      </w:pPr>
      <w:r>
        <w:t xml:space="preserve">Women: 35-44 </w:t>
      </w:r>
      <w:r w:rsidR="009B7C26">
        <w:t>max in winter and in in summer</w:t>
      </w:r>
    </w:p>
    <w:p w14:paraId="08F2AFD9" w14:textId="09600D5B" w:rsidR="009B7C26" w:rsidRDefault="009B7C26" w:rsidP="008F5A1F">
      <w:pPr>
        <w:pStyle w:val="ListParagraph"/>
        <w:numPr>
          <w:ilvl w:val="0"/>
          <w:numId w:val="4"/>
        </w:numPr>
      </w:pPr>
      <w:r>
        <w:t xml:space="preserve">Men: 5-14, 15-24, 25-34, </w:t>
      </w:r>
      <w:r w:rsidR="00D060FB">
        <w:t>max in summer and min in winter</w:t>
      </w:r>
    </w:p>
    <w:p w14:paraId="57F5BCFD" w14:textId="6F288D33" w:rsidR="00D060FB" w:rsidRDefault="001171FB" w:rsidP="008F5A1F">
      <w:pPr>
        <w:pStyle w:val="ListParagraph"/>
        <w:numPr>
          <w:ilvl w:val="0"/>
          <w:numId w:val="4"/>
        </w:numPr>
      </w:pPr>
      <w:r>
        <w:t>Women: 15-24, max in summer and min in winter</w:t>
      </w:r>
    </w:p>
    <w:p w14:paraId="7E932CBF" w14:textId="70893580" w:rsidR="001171FB" w:rsidRDefault="00081666" w:rsidP="008F5A1F">
      <w:pPr>
        <w:pStyle w:val="ListParagraph"/>
        <w:numPr>
          <w:ilvl w:val="0"/>
          <w:numId w:val="4"/>
        </w:numPr>
      </w:pPr>
      <w:r>
        <w:t>Men and Women: 0-4 peak in later winter and min in late summer</w:t>
      </w:r>
    </w:p>
    <w:p w14:paraId="7AACAE36" w14:textId="77777777" w:rsidR="008F5A1F" w:rsidRDefault="008F5A1F" w:rsidP="008F5A1F"/>
    <w:p w14:paraId="7346D874" w14:textId="14F112C2" w:rsidR="008F5A1F" w:rsidRDefault="008F5A1F" w:rsidP="008F5A1F">
      <w:pPr>
        <w:rPr>
          <w:b/>
        </w:rPr>
      </w:pPr>
      <w:r>
        <w:rPr>
          <w:b/>
        </w:rPr>
        <w:t>Change in national seasonal excess</w:t>
      </w:r>
    </w:p>
    <w:p w14:paraId="7FEAD864" w14:textId="18187F05" w:rsidR="008F5A1F" w:rsidRDefault="00453939" w:rsidP="008F5A1F">
      <w:pPr>
        <w:pStyle w:val="ListParagraph"/>
        <w:numPr>
          <w:ilvl w:val="0"/>
          <w:numId w:val="4"/>
        </w:numPr>
      </w:pPr>
      <w:r>
        <w:t>General picture: younger ages have decreased in seasonal excess</w:t>
      </w:r>
      <w:r w:rsidR="003C039A">
        <w:t>.</w:t>
      </w:r>
    </w:p>
    <w:p w14:paraId="0DA4DA50" w14:textId="53DDD3C3" w:rsidR="00453939" w:rsidRDefault="00453939" w:rsidP="00453939">
      <w:pPr>
        <w:pStyle w:val="ListParagraph"/>
        <w:numPr>
          <w:ilvl w:val="0"/>
          <w:numId w:val="4"/>
        </w:numPr>
      </w:pPr>
      <w:r>
        <w:t xml:space="preserve">Especially true for Men 5-14, 15-24. </w:t>
      </w:r>
    </w:p>
    <w:p w14:paraId="69C630B1" w14:textId="7343C12D" w:rsidR="008F5A1F" w:rsidRDefault="003A3FA4" w:rsidP="00751001">
      <w:pPr>
        <w:pStyle w:val="ListParagraph"/>
        <w:numPr>
          <w:ilvl w:val="0"/>
          <w:numId w:val="4"/>
        </w:numPr>
      </w:pPr>
      <w:r>
        <w:t xml:space="preserve">Older groups </w:t>
      </w:r>
      <w:r w:rsidR="003C039A">
        <w:t>no significant seasonality change.</w:t>
      </w:r>
      <w:r w:rsidR="00453939">
        <w:t xml:space="preserve"> </w:t>
      </w:r>
    </w:p>
    <w:p w14:paraId="1F0CA894" w14:textId="77777777" w:rsidR="000177BF" w:rsidRDefault="000177BF" w:rsidP="008F5A1F"/>
    <w:p w14:paraId="5D19C14D" w14:textId="0B65C02A" w:rsidR="008F5A1F" w:rsidRDefault="008F5A1F" w:rsidP="008F5A1F">
      <w:pPr>
        <w:rPr>
          <w:b/>
        </w:rPr>
      </w:pPr>
      <w:r>
        <w:rPr>
          <w:b/>
        </w:rPr>
        <w:t>Subnational centre of gravity analysis</w:t>
      </w:r>
    </w:p>
    <w:p w14:paraId="34E4EBF8" w14:textId="3C16BB16" w:rsidR="00484DC1" w:rsidRPr="00484DC1" w:rsidRDefault="000770FA" w:rsidP="00484DC1">
      <w:pPr>
        <w:pStyle w:val="ListParagraph"/>
        <w:numPr>
          <w:ilvl w:val="0"/>
          <w:numId w:val="4"/>
        </w:numPr>
        <w:rPr>
          <w:b/>
        </w:rPr>
      </w:pPr>
      <w:r>
        <w:t>Test for climate regions</w:t>
      </w:r>
    </w:p>
    <w:p w14:paraId="4019890E" w14:textId="530D85DC" w:rsidR="008F5A1F" w:rsidRDefault="00484DC1" w:rsidP="008F5A1F">
      <w:pPr>
        <w:pStyle w:val="ListParagraph"/>
        <w:numPr>
          <w:ilvl w:val="0"/>
          <w:numId w:val="4"/>
        </w:numPr>
      </w:pPr>
      <w:r>
        <w:t>Consistent picture across ages with national picture largely</w:t>
      </w:r>
    </w:p>
    <w:p w14:paraId="01F5F03A" w14:textId="0DE792E5" w:rsidR="00484DC1" w:rsidRDefault="00484DC1" w:rsidP="008F5A1F">
      <w:pPr>
        <w:pStyle w:val="ListParagraph"/>
        <w:numPr>
          <w:ilvl w:val="0"/>
          <w:numId w:val="4"/>
        </w:numPr>
      </w:pPr>
      <w:r>
        <w:t>Except! Weird things going on with 0-4 Men and Women</w:t>
      </w:r>
    </w:p>
    <w:p w14:paraId="2620774A" w14:textId="77777777" w:rsidR="002807AF" w:rsidRDefault="002807AF" w:rsidP="002807AF"/>
    <w:p w14:paraId="468D2222" w14:textId="77777777" w:rsidR="002807AF" w:rsidRDefault="002807AF" w:rsidP="002807AF"/>
    <w:p w14:paraId="2F633A6F" w14:textId="77777777" w:rsidR="002807AF" w:rsidRDefault="002807AF" w:rsidP="002807AF"/>
    <w:p w14:paraId="0CC58420" w14:textId="77777777" w:rsidR="002807AF" w:rsidRDefault="002807AF" w:rsidP="002807AF"/>
    <w:p w14:paraId="106A8443" w14:textId="77777777" w:rsidR="002807AF" w:rsidRDefault="002807AF" w:rsidP="002807AF"/>
    <w:p w14:paraId="6160C080" w14:textId="77777777" w:rsidR="002807AF" w:rsidRPr="00E36439" w:rsidRDefault="002807AF" w:rsidP="002807AF">
      <w:pPr>
        <w:rPr>
          <w:b/>
        </w:rPr>
      </w:pPr>
    </w:p>
    <w:p w14:paraId="6317C9EC" w14:textId="77777777" w:rsidR="00E36439" w:rsidRPr="00E36439" w:rsidRDefault="00E36439">
      <w:pPr>
        <w:rPr>
          <w:b/>
        </w:rPr>
      </w:pPr>
    </w:p>
    <w:sectPr w:rsidR="00E36439" w:rsidRPr="00E36439"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7BB66A6"/>
    <w:multiLevelType w:val="hybridMultilevel"/>
    <w:tmpl w:val="04569990"/>
    <w:lvl w:ilvl="0" w:tplc="3368826C">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CCC37E5"/>
    <w:multiLevelType w:val="hybridMultilevel"/>
    <w:tmpl w:val="E82CA472"/>
    <w:lvl w:ilvl="0" w:tplc="EC2E25D6">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D51"/>
    <w:rsid w:val="00011D76"/>
    <w:rsid w:val="000177BF"/>
    <w:rsid w:val="0004212A"/>
    <w:rsid w:val="00045836"/>
    <w:rsid w:val="0005575A"/>
    <w:rsid w:val="00056848"/>
    <w:rsid w:val="00076C18"/>
    <w:rsid w:val="000770FA"/>
    <w:rsid w:val="00081666"/>
    <w:rsid w:val="000840F9"/>
    <w:rsid w:val="00094C5C"/>
    <w:rsid w:val="000A661A"/>
    <w:rsid w:val="000B6495"/>
    <w:rsid w:val="000B7625"/>
    <w:rsid w:val="000C0ECE"/>
    <w:rsid w:val="000C7277"/>
    <w:rsid w:val="001030B3"/>
    <w:rsid w:val="001102B5"/>
    <w:rsid w:val="001171FB"/>
    <w:rsid w:val="00132C6C"/>
    <w:rsid w:val="00134BC3"/>
    <w:rsid w:val="001776A2"/>
    <w:rsid w:val="001804AC"/>
    <w:rsid w:val="001A6832"/>
    <w:rsid w:val="001B23D1"/>
    <w:rsid w:val="00240EB4"/>
    <w:rsid w:val="00260E8F"/>
    <w:rsid w:val="0027627C"/>
    <w:rsid w:val="002807AF"/>
    <w:rsid w:val="00284309"/>
    <w:rsid w:val="00296A5E"/>
    <w:rsid w:val="002B4877"/>
    <w:rsid w:val="002D522E"/>
    <w:rsid w:val="002E041E"/>
    <w:rsid w:val="002F4DC5"/>
    <w:rsid w:val="00330515"/>
    <w:rsid w:val="00356AD6"/>
    <w:rsid w:val="003809FF"/>
    <w:rsid w:val="00381442"/>
    <w:rsid w:val="0039751B"/>
    <w:rsid w:val="003A0B89"/>
    <w:rsid w:val="003A3FA4"/>
    <w:rsid w:val="003C039A"/>
    <w:rsid w:val="003E1B4D"/>
    <w:rsid w:val="003F6081"/>
    <w:rsid w:val="003F7C2C"/>
    <w:rsid w:val="004059C8"/>
    <w:rsid w:val="00417006"/>
    <w:rsid w:val="00433EDB"/>
    <w:rsid w:val="00434577"/>
    <w:rsid w:val="0044478E"/>
    <w:rsid w:val="00453939"/>
    <w:rsid w:val="0048081B"/>
    <w:rsid w:val="00482D51"/>
    <w:rsid w:val="00484DC1"/>
    <w:rsid w:val="004A5369"/>
    <w:rsid w:val="004E267D"/>
    <w:rsid w:val="004E7EC4"/>
    <w:rsid w:val="004F7FD8"/>
    <w:rsid w:val="00511D20"/>
    <w:rsid w:val="00513447"/>
    <w:rsid w:val="00516C72"/>
    <w:rsid w:val="00520C4B"/>
    <w:rsid w:val="0055499D"/>
    <w:rsid w:val="00563BDF"/>
    <w:rsid w:val="005A5DB0"/>
    <w:rsid w:val="005B5156"/>
    <w:rsid w:val="005B6F61"/>
    <w:rsid w:val="005E10E4"/>
    <w:rsid w:val="005F49C5"/>
    <w:rsid w:val="00611801"/>
    <w:rsid w:val="006124E6"/>
    <w:rsid w:val="00632294"/>
    <w:rsid w:val="00641AF0"/>
    <w:rsid w:val="00647872"/>
    <w:rsid w:val="00654329"/>
    <w:rsid w:val="00654A11"/>
    <w:rsid w:val="00654BB7"/>
    <w:rsid w:val="006557F6"/>
    <w:rsid w:val="00675FD2"/>
    <w:rsid w:val="006A3E8B"/>
    <w:rsid w:val="006B356C"/>
    <w:rsid w:val="006C7423"/>
    <w:rsid w:val="006D091F"/>
    <w:rsid w:val="00714D92"/>
    <w:rsid w:val="00716B28"/>
    <w:rsid w:val="00725C10"/>
    <w:rsid w:val="007436D7"/>
    <w:rsid w:val="00745909"/>
    <w:rsid w:val="00751001"/>
    <w:rsid w:val="00781265"/>
    <w:rsid w:val="00792165"/>
    <w:rsid w:val="00794EAD"/>
    <w:rsid w:val="00795E96"/>
    <w:rsid w:val="007E1033"/>
    <w:rsid w:val="007F2E1E"/>
    <w:rsid w:val="007F4118"/>
    <w:rsid w:val="007F7BFF"/>
    <w:rsid w:val="008245F0"/>
    <w:rsid w:val="00832025"/>
    <w:rsid w:val="00834C65"/>
    <w:rsid w:val="00847AF8"/>
    <w:rsid w:val="00865251"/>
    <w:rsid w:val="008842BD"/>
    <w:rsid w:val="00887CE2"/>
    <w:rsid w:val="00892A44"/>
    <w:rsid w:val="008A7468"/>
    <w:rsid w:val="008F5A1F"/>
    <w:rsid w:val="00903AEA"/>
    <w:rsid w:val="00926785"/>
    <w:rsid w:val="00935607"/>
    <w:rsid w:val="00936272"/>
    <w:rsid w:val="00937AF1"/>
    <w:rsid w:val="0094016A"/>
    <w:rsid w:val="00954E5E"/>
    <w:rsid w:val="009601E0"/>
    <w:rsid w:val="009B275D"/>
    <w:rsid w:val="009B7C26"/>
    <w:rsid w:val="009D17DE"/>
    <w:rsid w:val="009D3239"/>
    <w:rsid w:val="009D7B53"/>
    <w:rsid w:val="009E25B4"/>
    <w:rsid w:val="009F2E5A"/>
    <w:rsid w:val="00A10491"/>
    <w:rsid w:val="00A40231"/>
    <w:rsid w:val="00A53ECA"/>
    <w:rsid w:val="00A572FC"/>
    <w:rsid w:val="00A6434A"/>
    <w:rsid w:val="00A67A78"/>
    <w:rsid w:val="00A718C6"/>
    <w:rsid w:val="00A74934"/>
    <w:rsid w:val="00AA1780"/>
    <w:rsid w:val="00AC17FB"/>
    <w:rsid w:val="00AD5E23"/>
    <w:rsid w:val="00AE62E4"/>
    <w:rsid w:val="00AF536A"/>
    <w:rsid w:val="00B17B65"/>
    <w:rsid w:val="00B60DA1"/>
    <w:rsid w:val="00B76378"/>
    <w:rsid w:val="00BC2782"/>
    <w:rsid w:val="00BC441D"/>
    <w:rsid w:val="00BD30E9"/>
    <w:rsid w:val="00BE2768"/>
    <w:rsid w:val="00BE7C5B"/>
    <w:rsid w:val="00C00A3A"/>
    <w:rsid w:val="00C040DD"/>
    <w:rsid w:val="00C04F00"/>
    <w:rsid w:val="00C45215"/>
    <w:rsid w:val="00C7278A"/>
    <w:rsid w:val="00C82431"/>
    <w:rsid w:val="00CA3CC1"/>
    <w:rsid w:val="00CA40A6"/>
    <w:rsid w:val="00CA6F73"/>
    <w:rsid w:val="00CC7BBC"/>
    <w:rsid w:val="00CE1DCB"/>
    <w:rsid w:val="00CF318B"/>
    <w:rsid w:val="00D060FB"/>
    <w:rsid w:val="00D066CD"/>
    <w:rsid w:val="00D06AB6"/>
    <w:rsid w:val="00D070E7"/>
    <w:rsid w:val="00D627C4"/>
    <w:rsid w:val="00D64CF4"/>
    <w:rsid w:val="00D92672"/>
    <w:rsid w:val="00D96DE9"/>
    <w:rsid w:val="00D97914"/>
    <w:rsid w:val="00DB5D9B"/>
    <w:rsid w:val="00DD17D3"/>
    <w:rsid w:val="00DD7C31"/>
    <w:rsid w:val="00E137F4"/>
    <w:rsid w:val="00E3291E"/>
    <w:rsid w:val="00E34836"/>
    <w:rsid w:val="00E36439"/>
    <w:rsid w:val="00E55163"/>
    <w:rsid w:val="00E812B7"/>
    <w:rsid w:val="00EF2ED7"/>
    <w:rsid w:val="00F01B41"/>
    <w:rsid w:val="00F147B2"/>
    <w:rsid w:val="00F40AB9"/>
    <w:rsid w:val="00F43484"/>
    <w:rsid w:val="00F45AAF"/>
    <w:rsid w:val="00F90A1F"/>
    <w:rsid w:val="00F90F31"/>
    <w:rsid w:val="00FC6356"/>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807AF"/>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4</Pages>
  <Words>707</Words>
  <Characters>4036</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128</cp:revision>
  <dcterms:created xsi:type="dcterms:W3CDTF">2016-11-14T16:15:00Z</dcterms:created>
  <dcterms:modified xsi:type="dcterms:W3CDTF">2016-11-28T13:09:00Z</dcterms:modified>
</cp:coreProperties>
</file>