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7"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7A4CC9B8" w14:textId="77777777" w:rsidR="0065196B" w:rsidRDefault="0065196B" w:rsidP="0065196B">
      <w:pPr>
        <w:spacing w:line="480" w:lineRule="auto"/>
        <w:jc w:val="both"/>
        <w:rPr>
          <w:b/>
          <w:color w:val="000000" w:themeColor="text1"/>
        </w:rPr>
      </w:pPr>
      <w:r>
        <w:rPr>
          <w:b/>
          <w:color w:val="000000" w:themeColor="text1"/>
        </w:rPr>
        <w:lastRenderedPageBreak/>
        <w:t>[[[Opening paragraph goes here]]]</w:t>
      </w:r>
    </w:p>
    <w:p w14:paraId="6EE3811E" w14:textId="77777777" w:rsidR="0065196B" w:rsidRDefault="0065196B" w:rsidP="0065196B">
      <w:pPr>
        <w:spacing w:line="480" w:lineRule="auto"/>
        <w:jc w:val="both"/>
        <w:rPr>
          <w:color w:val="000000" w:themeColor="text1"/>
        </w:rPr>
      </w:pPr>
    </w:p>
    <w:p w14:paraId="28DD3DAE" w14:textId="77777777"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7–9</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77777777"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w:t>
      </w:r>
      <w:proofErr w:type="gramStart"/>
      <w:r>
        <w:rPr>
          <w:color w:val="000000" w:themeColor="text1"/>
        </w:rPr>
        <w:t>between,  having</w:t>
      </w:r>
      <w:proofErr w:type="gramEnd"/>
      <w:r>
        <w:rPr>
          <w:color w:val="000000" w:themeColor="text1"/>
        </w:rPr>
        <w:t xml:space="preserve">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w:t>
      </w:r>
      <w:r>
        <w:lastRenderedPageBreak/>
        <w:t xml:space="preserve">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7777777"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 xml:space="preserve">C across all </w:t>
      </w:r>
      <w:r>
        <w:rPr>
          <w:bCs/>
          <w:color w:val="000000" w:themeColor="text1"/>
        </w:rPr>
        <w:lastRenderedPageBreak/>
        <w:t>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7777777"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xml:space="preserve">; the </w:t>
      </w:r>
      <w:r>
        <w:lastRenderedPageBreak/>
        <w:t>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777777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Pr>
          <w:bCs/>
          <w:color w:val="000000" w:themeColor="text1"/>
        </w:rPr>
        <w:fldChar w:fldCharType="separate"/>
      </w:r>
      <w:r w:rsidRPr="00C450F3">
        <w:rPr>
          <w:bCs/>
          <w:noProof/>
          <w:color w:val="000000" w:themeColor="text1"/>
          <w:vertAlign w:val="superscript"/>
        </w:rPr>
        <w:t>7</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fldChar w:fldCharType="separate"/>
      </w:r>
      <w:r w:rsidRPr="00C450F3">
        <w:rPr>
          <w:noProof/>
          <w:vertAlign w:val="superscript"/>
        </w:rPr>
        <w:t>8</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fldChar w:fldCharType="separate"/>
      </w:r>
      <w:r w:rsidRPr="00C450F3">
        <w:rPr>
          <w:noProof/>
          <w:vertAlign w:val="superscript"/>
        </w:rPr>
        <w:t>9</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7777777"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Pr="00C450F3">
        <w:rPr>
          <w:noProof/>
          <w:vertAlign w:val="superscript"/>
        </w:rPr>
        <w:t>17</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fldChar w:fldCharType="separate"/>
      </w:r>
      <w:r w:rsidRPr="00C450F3">
        <w:rPr>
          <w:noProof/>
          <w:vertAlign w:val="superscript"/>
        </w:rPr>
        <w:t>18–20</w:t>
      </w:r>
      <w:r>
        <w:fldChar w:fldCharType="end"/>
      </w:r>
    </w:p>
    <w:p w14:paraId="7F35C909" w14:textId="77777777" w:rsidR="0065196B" w:rsidRDefault="0065196B" w:rsidP="0065196B">
      <w:pPr>
        <w:spacing w:line="480" w:lineRule="auto"/>
        <w:jc w:val="both"/>
      </w:pPr>
    </w:p>
    <w:p w14:paraId="4D6E52EF" w14:textId="77777777" w:rsidR="0065196B" w:rsidRPr="00214145" w:rsidRDefault="0065196B" w:rsidP="0065196B">
      <w:pPr>
        <w:spacing w:line="480" w:lineRule="auto"/>
        <w:jc w:val="both"/>
      </w:pPr>
      <w:r>
        <w:lastRenderedPageBreak/>
        <w:t>The pathways from anomalous temperature to transport injury are more varied.  Firstly, driving performance deteriorates at higher temperatures.</w:t>
      </w:r>
      <w:r>
        <w:fldChar w:fldCharType="begin" w:fldLock="1"/>
      </w:r>
      <w: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fldChar w:fldCharType="separate"/>
      </w:r>
      <w:r w:rsidRPr="00C450F3">
        <w:rPr>
          <w:noProof/>
          <w:vertAlign w:val="superscript"/>
        </w:rPr>
        <w:t>21–24</w:t>
      </w:r>
      <w:r>
        <w:fldChar w:fldCharType="end"/>
      </w:r>
      <w:r>
        <w:t xml:space="preserve"> Further, alcohol consumption increases during warm temperature anomalies,</w:t>
      </w:r>
      <w:r>
        <w:fldChar w:fldCharType="begin" w:fldLock="1"/>
      </w:r>
      <w: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fldChar w:fldCharType="separate"/>
      </w:r>
      <w:r w:rsidRPr="00C450F3">
        <w:rPr>
          <w:noProof/>
          <w:vertAlign w:val="superscript"/>
        </w:rPr>
        <w:t>25</w:t>
      </w:r>
      <w:r>
        <w:fldChar w:fldCharType="end"/>
      </w:r>
      <w:r>
        <w:t xml:space="preserve"> potentially also explaining why </w:t>
      </w:r>
      <w:r w:rsidRPr="00362889">
        <w:t>teenagers</w:t>
      </w:r>
      <w:r>
        <w:t>, who are more likely than other age groups to crash while intoxicated,</w:t>
      </w:r>
      <w:r>
        <w:fldChar w:fldCharType="begin" w:fldLock="1"/>
      </w:r>
      <w: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fldChar w:fldCharType="separate"/>
      </w:r>
      <w:r w:rsidRPr="00C450F3">
        <w:rPr>
          <w:noProof/>
          <w:vertAlign w:val="superscript"/>
        </w:rPr>
        <w:t>26</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fldChar w:fldCharType="separate"/>
      </w:r>
      <w:r w:rsidRPr="00C450F3">
        <w:rPr>
          <w:noProof/>
          <w:vertAlign w:val="superscript"/>
        </w:rPr>
        <w:t>27–30</w:t>
      </w:r>
      <w:r>
        <w:fldChar w:fldCharType="end"/>
      </w:r>
      <w:r>
        <w:t xml:space="preserve"> With more people generally outdoors in warmer weather,</w:t>
      </w:r>
      <w:r>
        <w:fldChar w:fldCharType="begin" w:fldLock="1"/>
      </w:r>
      <w: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fldChar w:fldCharType="separate"/>
      </w:r>
      <w:r w:rsidRPr="00C450F3">
        <w:rPr>
          <w:noProof/>
          <w:vertAlign w:val="superscript"/>
        </w:rPr>
        <w:t>31</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77777777"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fldChar w:fldCharType="separate"/>
      </w:r>
      <w:r w:rsidRPr="00C450F3">
        <w:rPr>
          <w:noProof/>
          <w:vertAlign w:val="superscript"/>
        </w:rPr>
        <w:t>32,33</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Pr="00A27E88">
        <w:fldChar w:fldCharType="separate"/>
      </w:r>
      <w:r w:rsidRPr="00C450F3">
        <w:rPr>
          <w:noProof/>
          <w:vertAlign w:val="superscript"/>
        </w:rPr>
        <w:t>34,35</w:t>
      </w:r>
      <w:r w:rsidRPr="00A27E88">
        <w:fldChar w:fldCharType="end"/>
      </w:r>
      <w:r>
        <w:t>Regarding intentional self-harm, higher temperature has been hypothesised as associated with higher levels of distress in younger people.</w:t>
      </w:r>
      <w:r>
        <w:fldChar w:fldCharType="begin" w:fldLock="1"/>
      </w:r>
      <w: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fldChar w:fldCharType="separate"/>
      </w:r>
      <w:r w:rsidRPr="00C450F3">
        <w:rPr>
          <w:noProof/>
          <w:vertAlign w:val="superscript"/>
        </w:rPr>
        <w:t>36</w:t>
      </w:r>
      <w:r>
        <w:fldChar w:fldCharType="end"/>
      </w:r>
      <w:r>
        <w:t xml:space="preserve"> Nonetheless, links between temperature and mental health requires further investigation,</w:t>
      </w:r>
      <w:r w:rsidRPr="004633E5">
        <w:fldChar w:fldCharType="begin" w:fldLock="1"/>
      </w:r>
      <w: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Pr="004633E5">
        <w:fldChar w:fldCharType="separate"/>
      </w:r>
      <w:r w:rsidRPr="00C450F3">
        <w:rPr>
          <w:noProof/>
          <w:vertAlign w:val="superscript"/>
        </w:rPr>
        <w:t>37</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77777777"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t xml:space="preserve">), and developed a bespoke Bayesian spatio-temporal model. A limitation of our study is that, like all observation studies, we cannot rule out confounding of results due to other factors, </w:t>
      </w:r>
      <w:r>
        <w:lastRenderedPageBreak/>
        <w:t xml:space="preserve">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704CAE15"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proofErr w:type="gramStart"/>
      <w:r>
        <w:t>Therefore</w:t>
      </w:r>
      <w:proofErr w:type="gramEnd"/>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w:t>
      </w:r>
      <w:r w:rsidR="00574DB7">
        <w:rPr>
          <w:rStyle w:val="CommentReference"/>
          <w:rFonts w:asciiTheme="minorHAnsi" w:hAnsiTheme="minorHAnsi" w:cstheme="minorBidi"/>
          <w:lang w:eastAsia="en-US"/>
        </w:rPr>
        <w:commentReference w:id="0"/>
      </w:r>
      <w:r>
        <w:t>more</w:t>
      </w:r>
      <w:r w:rsidR="00574DB7">
        <w:t xml:space="preserve"> frequent</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0"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1"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2"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777777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7777777"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Pr="00636C9B">
        <w:fldChar w:fldCharType="separate"/>
      </w:r>
      <w:r w:rsidRPr="00C450F3">
        <w:rPr>
          <w:noProof/>
          <w:vertAlign w:val="superscript"/>
        </w:rPr>
        <w:t>39</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777777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temperature anomaly on injury deaths rates. The outcome was deaths from several types of injury. We carried out all analyses separately by sex and age group (0-4 years, 10-year age groups from 5 </w:t>
      </w:r>
      <w:r>
        <w:rPr>
          <w:color w:val="000000" w:themeColor="text1"/>
        </w:rPr>
        <w:lastRenderedPageBreak/>
        <w:t>to 84 years, and 85+ years) because injury deaths rates vary by age group and sex,</w:t>
      </w:r>
      <w:r>
        <w:rPr>
          <w:color w:val="000000" w:themeColor="text1"/>
        </w:rPr>
        <w:fldChar w:fldCharType="begin" w:fldLock="1"/>
      </w:r>
      <w:r>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10,11,40</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bookmarkStart w:id="1" w:name="_GoBack"/>
      <w:bookmarkEnd w:id="1"/>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B16F19"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B16F19"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7777777"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t>
      </w:r>
      <w:commentRangeStart w:id="2"/>
      <w:r w:rsidRPr="00636C9B">
        <w:rPr>
          <w:color w:val="000000" w:themeColor="text1"/>
        </w:rPr>
        <w:t xml:space="preserve">We used a random walk for </w:t>
      </w:r>
      <w:r>
        <w:rPr>
          <w:color w:val="000000" w:themeColor="text1"/>
        </w:rPr>
        <w:t>the</w:t>
      </w:r>
      <w:r w:rsidRPr="00636C9B">
        <w:rPr>
          <w:color w:val="000000" w:themeColor="text1"/>
        </w:rPr>
        <w:t xml:space="preserve"> month terms</w:t>
      </w:r>
      <w:commentRangeEnd w:id="2"/>
      <w:r w:rsidR="004E30F3">
        <w:rPr>
          <w:rStyle w:val="CommentReference"/>
          <w:rFonts w:asciiTheme="minorHAnsi" w:hAnsiTheme="minorHAnsi" w:cstheme="minorBidi"/>
          <w:lang w:eastAsia="en-US"/>
        </w:rPr>
        <w:commentReference w:id="2"/>
      </w:r>
      <w:r>
        <w:rPr>
          <w:color w:val="000000" w:themeColor="text1"/>
        </w:rPr>
        <w:t xml:space="preserve">, </w:t>
      </w:r>
      <w:r w:rsidRPr="00636C9B">
        <w:rPr>
          <w:color w:val="000000" w:themeColor="text1"/>
        </w:rPr>
        <w:t>widely used to characterise smoothly varying associations</w:t>
      </w:r>
      <w:r>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159F4825"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w:t>
      </w:r>
      <w:r w:rsidRPr="00C7759C">
        <w:rPr>
          <w:color w:val="000000" w:themeColor="text1"/>
        </w:rPr>
        <w:lastRenderedPageBreak/>
        <w:t xml:space="preserve">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29309CAA"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Pr>
          <w:color w:val="000000" w:themeColor="text1"/>
          <w:lang w:val="en-US"/>
        </w:rPr>
        <w:fldChar w:fldCharType="separate"/>
      </w:r>
      <w:r w:rsidRPr="00C450F3">
        <w:rPr>
          <w:noProof/>
          <w:color w:val="000000" w:themeColor="text1"/>
          <w:vertAlign w:val="superscript"/>
          <w:lang w:val="en-US"/>
        </w:rPr>
        <w:t>43</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77777777" w:rsidR="0065196B" w:rsidRDefault="0065196B" w:rsidP="0065196B">
      <w:pPr>
        <w:spacing w:line="480" w:lineRule="auto"/>
        <w:jc w:val="both"/>
        <w:outlineLvl w:val="0"/>
        <w:rPr>
          <w:color w:val="000000" w:themeColor="text1"/>
        </w:rPr>
      </w:pPr>
      <w:r>
        <w:rPr>
          <w:color w:val="000000" w:themeColor="text1"/>
        </w:rPr>
        <w:lastRenderedPageBreak/>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730C720E" w14:textId="55D0A808" w:rsidR="0065196B" w:rsidRPr="009F1115" w:rsidRDefault="00BE2421" w:rsidP="0065196B">
      <w:pPr>
        <w:spacing w:line="480" w:lineRule="auto"/>
        <w:jc w:val="both"/>
      </w:pPr>
      <w:r w:rsidRPr="009F1115">
        <w:t xml:space="preserve">Together with temperature anomaly based on daily mean temperatures, we </w:t>
      </w:r>
      <w:r w:rsidR="0065196B" w:rsidRPr="009F1115">
        <w:t xml:space="preserve">also included </w:t>
      </w:r>
      <w:r w:rsidRPr="009F1115">
        <w:t xml:space="preserve">a second </w:t>
      </w:r>
      <w:r w:rsidR="0065196B" w:rsidRPr="009F1115">
        <w:t xml:space="preserve">measure of temperature anomaly in the model. The additional measures we considered were: </w:t>
      </w:r>
    </w:p>
    <w:p w14:paraId="3F8072E1" w14:textId="4DC11FBF" w:rsidR="0065196B" w:rsidRPr="004E30F3" w:rsidRDefault="004E30F3" w:rsidP="0065196B">
      <w:pPr>
        <w:pStyle w:val="ListParagraph"/>
        <w:numPr>
          <w:ilvl w:val="0"/>
          <w:numId w:val="12"/>
        </w:numPr>
        <w:spacing w:line="480" w:lineRule="auto"/>
        <w:jc w:val="both"/>
        <w:rPr>
          <w:rFonts w:ascii="Times New Roman" w:hAnsi="Times New Roman"/>
          <w:i/>
          <w:color w:val="000000" w:themeColor="text1"/>
          <w:sz w:val="24"/>
          <w:szCs w:val="24"/>
        </w:rPr>
      </w:pPr>
      <w:r w:rsidRPr="00620D06">
        <w:rPr>
          <w:rFonts w:ascii="Times New Roman" w:hAnsi="Times New Roman"/>
          <w:sz w:val="24"/>
          <w:szCs w:val="24"/>
        </w:rPr>
        <w:t>monthly standard deviation of daily mean temperatures</w:t>
      </w:r>
      <w:r>
        <w:rPr>
          <w:rFonts w:ascii="Times New Roman" w:hAnsi="Times New Roman"/>
          <w:sz w:val="24"/>
          <w:szCs w:val="24"/>
        </w:rPr>
        <w:t>, as</w:t>
      </w:r>
      <w:r w:rsidRPr="009F1115">
        <w:rPr>
          <w:rFonts w:ascii="Times New Roman" w:hAnsi="Times New Roman"/>
          <w:sz w:val="24"/>
          <w:szCs w:val="24"/>
        </w:rPr>
        <w:t xml:space="preserve"> </w:t>
      </w:r>
      <w:r w:rsidR="0065196B" w:rsidRPr="009F1115">
        <w:rPr>
          <w:rFonts w:ascii="Times New Roman" w:hAnsi="Times New Roman"/>
          <w:sz w:val="24"/>
          <w:szCs w:val="24"/>
        </w:rPr>
        <w:t>a measure of variability within a given month</w:t>
      </w:r>
    </w:p>
    <w:p w14:paraId="1AC77980" w14:textId="5608BC91" w:rsidR="001F3A6B" w:rsidRPr="004E30F3" w:rsidRDefault="001F3A6B" w:rsidP="004E30F3">
      <w:pPr>
        <w:pStyle w:val="ListParagraph"/>
        <w:numPr>
          <w:ilvl w:val="1"/>
          <w:numId w:val="12"/>
        </w:numPr>
        <w:spacing w:line="480" w:lineRule="auto"/>
        <w:jc w:val="both"/>
        <w:rPr>
          <w:rFonts w:ascii="Times New Roman" w:hAnsi="Times New Roman"/>
          <w:i/>
          <w:color w:val="000000" w:themeColor="text1"/>
          <w:sz w:val="24"/>
          <w:szCs w:val="24"/>
        </w:rPr>
      </w:pPr>
    </w:p>
    <w:p w14:paraId="3DC3FBE1" w14:textId="77777777" w:rsidR="0065196B" w:rsidRPr="00790EA3" w:rsidRDefault="0065196B" w:rsidP="0065196B">
      <w:pPr>
        <w:pStyle w:val="ListParagraph"/>
        <w:numPr>
          <w:ilvl w:val="0"/>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four measures of extreme anomalous temperature (each adjusted for length of month): </w:t>
      </w:r>
    </w:p>
    <w:p w14:paraId="22A2ADEC" w14:textId="77777777"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 </w:t>
      </w:r>
    </w:p>
    <w:p w14:paraId="55F6FFA3" w14:textId="77777777"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above an absolute threshold of 30°C</w:t>
      </w:r>
    </w:p>
    <w:p w14:paraId="7FBA064C" w14:textId="52CAC3E0"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lastRenderedPageBreak/>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p>
    <w:p w14:paraId="1E909C01" w14:textId="706BDDCB"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an absolute threshold of 30°C</w:t>
      </w:r>
    </w:p>
    <w:p w14:paraId="2CBD98B9" w14:textId="1870CF94" w:rsidR="0065196B" w:rsidRDefault="0065196B" w:rsidP="0065196B">
      <w:pPr>
        <w:spacing w:line="480" w:lineRule="auto"/>
        <w:jc w:val="both"/>
      </w:pPr>
      <w:r w:rsidRPr="00C1740D">
        <w:t xml:space="preserve">The </w:t>
      </w:r>
      <w:commentRangeStart w:id="3"/>
      <w:r w:rsidR="00BE2421" w:rsidRPr="00C1740D">
        <w:t xml:space="preserve">total </w:t>
      </w:r>
      <w:r w:rsidRPr="00C1740D">
        <w:t>estimated excess relative risk values</w:t>
      </w:r>
      <w:commentRangeEnd w:id="3"/>
      <w:r w:rsidR="00C1740D">
        <w:rPr>
          <w:rStyle w:val="CommentReference"/>
          <w:rFonts w:asciiTheme="minorHAnsi" w:hAnsiTheme="minorHAnsi" w:cstheme="minorBidi"/>
          <w:lang w:eastAsia="en-US"/>
        </w:rPr>
        <w:commentReference w:id="3"/>
      </w:r>
      <w:r w:rsidRPr="00C1740D">
        <w:t xml:space="preserve"> obtai</w:t>
      </w:r>
      <w:commentRangeStart w:id="4"/>
      <w:r w:rsidRPr="00C1740D">
        <w:t>ned in these sensitivity analyses were similar to the model with anomaly in mean temperature alon</w:t>
      </w:r>
      <w:r w:rsidR="00326ABE" w:rsidRPr="00C1740D">
        <w:t xml:space="preserve">e. </w:t>
      </w:r>
      <w:commentRangeEnd w:id="4"/>
      <w:r w:rsidR="00C1740D">
        <w:rPr>
          <w:rStyle w:val="CommentReference"/>
          <w:rFonts w:asciiTheme="minorHAnsi" w:hAnsiTheme="minorHAnsi" w:cstheme="minorBidi"/>
          <w:lang w:eastAsia="en-US"/>
        </w:rPr>
        <w:commentReference w:id="4"/>
      </w:r>
      <w:r w:rsidR="00326ABE" w:rsidRPr="00790EA3">
        <w:t>W</w:t>
      </w:r>
      <w:r w:rsidRPr="00790EA3">
        <w:t xml:space="preserve">e </w:t>
      </w:r>
      <w:r w:rsidR="00172B5B">
        <w:t xml:space="preserve">therefore </w:t>
      </w:r>
      <w:r w:rsidRPr="00790EA3">
        <w:t xml:space="preserve">did not use them in any further additional </w:t>
      </w:r>
      <w:proofErr w:type="gramStart"/>
      <w:r w:rsidRPr="00790EA3">
        <w:t>deaths</w:t>
      </w:r>
      <w:proofErr w:type="gramEnd"/>
      <w:r w:rsidRPr="00790EA3">
        <w:t xml:space="preserve"> calculation.</w:t>
      </w:r>
      <w:r w:rsidRPr="007B6B4E">
        <w:t xml:space="preserve"> </w:t>
      </w:r>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66197A5B" w14:textId="77777777" w:rsidR="0065196B" w:rsidRPr="002F0788" w:rsidRDefault="0065196B" w:rsidP="00790EA3">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Pr="002F0788">
        <w:rPr>
          <w:noProof/>
          <w:lang w:val="en-US"/>
        </w:rPr>
        <w:t>1.</w:t>
      </w:r>
      <w:r w:rsidRPr="002F0788">
        <w:rPr>
          <w:noProof/>
          <w:lang w:val="en-US"/>
        </w:rPr>
        <w:tab/>
        <w:t xml:space="preserve">Watts, N. </w:t>
      </w:r>
      <w:r w:rsidRPr="002F0788">
        <w:rPr>
          <w:i/>
          <w:iCs/>
          <w:noProof/>
          <w:lang w:val="en-US"/>
        </w:rPr>
        <w:t>et al.</w:t>
      </w:r>
      <w:r w:rsidRPr="002F0788">
        <w:rPr>
          <w:noProof/>
          <w:lang w:val="en-US"/>
        </w:rPr>
        <w:t xml:space="preserve"> The 2018 report of the Lancet Countdown on health and climate change: shaping health of nations for centuries to come. </w:t>
      </w:r>
      <w:r w:rsidRPr="002F0788">
        <w:rPr>
          <w:i/>
          <w:iCs/>
          <w:noProof/>
          <w:lang w:val="en-US"/>
        </w:rPr>
        <w:t>Lancet</w:t>
      </w:r>
      <w:r w:rsidRPr="002F0788">
        <w:rPr>
          <w:noProof/>
          <w:lang w:val="en-US"/>
        </w:rPr>
        <w:t xml:space="preserve"> </w:t>
      </w:r>
      <w:r w:rsidRPr="002F0788">
        <w:rPr>
          <w:b/>
          <w:bCs/>
          <w:noProof/>
          <w:lang w:val="en-US"/>
        </w:rPr>
        <w:t>6736,</w:t>
      </w:r>
      <w:r w:rsidRPr="002F0788">
        <w:rPr>
          <w:noProof/>
          <w:lang w:val="en-US"/>
        </w:rPr>
        <w:t xml:space="preserve"> 1–4 (2018).</w:t>
      </w:r>
    </w:p>
    <w:p w14:paraId="7A77D98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62E14CDC"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784E89EE"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780E72E2"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D5A3904"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694A4477"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6131664A"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F2E15A6"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6601694E"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5F31B3AB"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10C69B43"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2E3F21A6"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46FA9BA5"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1731E794"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708DDC0C"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0D3FBCE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613EF68F"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4785A377"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6CDCEC10"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725907DD"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5C8F9268"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0AF099FE"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4B506290"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65E21E7A"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2EB82B4D"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6A6201E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4CF038C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36BF5B80"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6626073A"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5BF03215"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28BE2CB1"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22C54CB5"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061C7D65"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0E0343AB"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2E479E8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0C99B614" w14:textId="77777777" w:rsidR="0065196B" w:rsidRDefault="0065196B" w:rsidP="00790EA3">
      <w:pPr>
        <w:widowControl w:val="0"/>
        <w:autoSpaceDE w:val="0"/>
        <w:autoSpaceDN w:val="0"/>
        <w:adjustRightInd w:val="0"/>
        <w:ind w:left="640" w:hanging="640"/>
        <w:jc w:val="both"/>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7FEADB9A" w14:textId="77777777" w:rsidR="0065196B" w:rsidRDefault="0065196B" w:rsidP="00790EA3">
      <w:pPr>
        <w:widowControl w:val="0"/>
        <w:autoSpaceDE w:val="0"/>
        <w:autoSpaceDN w:val="0"/>
        <w:adjustRightInd w:val="0"/>
        <w:ind w:left="640" w:hanging="640"/>
        <w:jc w:val="both"/>
        <w:rPr>
          <w:noProof/>
          <w:lang w:val="en-US"/>
        </w:rPr>
      </w:pPr>
    </w:p>
    <w:p w14:paraId="6FF7A7F1" w14:textId="77777777" w:rsidR="0065196B" w:rsidRPr="00D92F3C" w:rsidRDefault="0065196B" w:rsidP="00790EA3">
      <w:pPr>
        <w:widowControl w:val="0"/>
        <w:autoSpaceDE w:val="0"/>
        <w:autoSpaceDN w:val="0"/>
        <w:adjustRightInd w:val="0"/>
        <w:ind w:left="640" w:hanging="640"/>
        <w:jc w:val="both"/>
        <w:rPr>
          <w:b/>
          <w:noProof/>
          <w:lang w:val="en-US"/>
        </w:rPr>
      </w:pPr>
      <w:r>
        <w:rPr>
          <w:b/>
          <w:noProof/>
          <w:lang w:val="en-US"/>
        </w:rPr>
        <w:t>Methods</w:t>
      </w:r>
    </w:p>
    <w:p w14:paraId="0AF2B247" w14:textId="77777777" w:rsidR="0065196B" w:rsidRPr="002F0788" w:rsidRDefault="0065196B" w:rsidP="00790EA3">
      <w:pPr>
        <w:widowControl w:val="0"/>
        <w:autoSpaceDE w:val="0"/>
        <w:autoSpaceDN w:val="0"/>
        <w:adjustRightInd w:val="0"/>
        <w:ind w:left="640" w:hanging="640"/>
        <w:jc w:val="both"/>
        <w:rPr>
          <w:noProof/>
          <w:lang w:val="en-US"/>
        </w:rPr>
      </w:pPr>
    </w:p>
    <w:p w14:paraId="1BAE0CA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7F287214"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4DAD5C6E"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EBFC8D9"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6E88DAFC" w14:textId="77777777" w:rsidR="0065196B" w:rsidRPr="002F0788" w:rsidRDefault="0065196B" w:rsidP="00790EA3">
      <w:pPr>
        <w:widowControl w:val="0"/>
        <w:autoSpaceDE w:val="0"/>
        <w:autoSpaceDN w:val="0"/>
        <w:adjustRightInd w:val="0"/>
        <w:ind w:left="640" w:hanging="640"/>
        <w:jc w:val="both"/>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1345F18E" w14:textId="77777777" w:rsidR="0065196B" w:rsidRPr="002F0788" w:rsidRDefault="0065196B" w:rsidP="00790EA3">
      <w:pPr>
        <w:widowControl w:val="0"/>
        <w:autoSpaceDE w:val="0"/>
        <w:autoSpaceDN w:val="0"/>
        <w:adjustRightInd w:val="0"/>
        <w:ind w:left="640" w:hanging="640"/>
        <w:jc w:val="both"/>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7D509FBC" w14:textId="77777777" w:rsidR="0065196B" w:rsidRDefault="0065196B" w:rsidP="00790EA3">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4BAE404E" w14:textId="6F0451D2" w:rsidR="0065196B" w:rsidRPr="007B037B" w:rsidRDefault="0065196B" w:rsidP="0065196B">
      <w:pPr>
        <w:spacing w:line="480" w:lineRule="auto"/>
        <w:jc w:val="both"/>
        <w:rPr>
          <w:color w:val="000000" w:themeColor="text1"/>
          <w:sz w:val="18"/>
          <w:szCs w:val="18"/>
        </w:rPr>
      </w:pPr>
      <w:commentRangeStart w:id="5"/>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commentRangeEnd w:id="5"/>
      <w:r w:rsidR="00C1740D">
        <w:rPr>
          <w:rStyle w:val="CommentReference"/>
          <w:rFonts w:asciiTheme="minorHAnsi" w:hAnsiTheme="minorHAnsi" w:cstheme="minorBidi"/>
          <w:lang w:eastAsia="en-US"/>
        </w:rPr>
        <w:commentReference w:id="5"/>
      </w:r>
    </w:p>
    <w:p w14:paraId="76E5DEC7" w14:textId="77777777" w:rsidR="0065196B" w:rsidRDefault="0065196B" w:rsidP="0065196B">
      <w:pPr>
        <w:rPr>
          <w:b/>
          <w:color w:val="000000" w:themeColor="text1"/>
        </w:rPr>
      </w:pP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4"/>
      <w:footerReference w:type="default" r:id="rId15"/>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7T22:21:00Z" w:initials="EM">
    <w:p w14:paraId="2A5E88FB" w14:textId="15C61AEC" w:rsidR="00574DB7" w:rsidRDefault="00574DB7">
      <w:pPr>
        <w:pStyle w:val="CommentText"/>
      </w:pPr>
      <w:r>
        <w:rPr>
          <w:rStyle w:val="CommentReference"/>
        </w:rPr>
        <w:annotationRef/>
      </w:r>
      <w:r>
        <w:t>unlikely</w:t>
      </w:r>
    </w:p>
  </w:comment>
  <w:comment w:id="2" w:author="Ezzati, Majid" w:date="2019-03-07T22:24:00Z" w:initials="EM">
    <w:p w14:paraId="7FF27630" w14:textId="19E8CFAF" w:rsidR="004E30F3" w:rsidRDefault="004E30F3">
      <w:pPr>
        <w:pStyle w:val="CommentText"/>
      </w:pPr>
      <w:r>
        <w:rPr>
          <w:rStyle w:val="CommentReference"/>
        </w:rPr>
        <w:annotationRef/>
      </w:r>
      <w:r>
        <w:t>random walk to smooth the coefficients of the month of terms?</w:t>
      </w:r>
    </w:p>
  </w:comment>
  <w:comment w:id="3" w:author="Ezzati, Majid" w:date="2019-03-07T22:30:00Z" w:initials="EM">
    <w:p w14:paraId="5AB0FE8F" w14:textId="6DDA28D6" w:rsidR="00C1740D" w:rsidRDefault="00C1740D">
      <w:pPr>
        <w:pStyle w:val="CommentText"/>
      </w:pPr>
      <w:r>
        <w:rPr>
          <w:rStyle w:val="CommentReference"/>
        </w:rPr>
        <w:annotationRef/>
      </w:r>
      <w:r>
        <w:t>V ague</w:t>
      </w:r>
    </w:p>
  </w:comment>
  <w:comment w:id="4" w:author="Ezzati, Majid" w:date="2019-03-07T22:30:00Z" w:initials="EM">
    <w:p w14:paraId="0DB9C0E4" w14:textId="1233EBF9" w:rsidR="00C1740D" w:rsidRDefault="00C1740D">
      <w:pPr>
        <w:pStyle w:val="CommentText"/>
      </w:pPr>
      <w:r>
        <w:rPr>
          <w:rStyle w:val="CommentReference"/>
        </w:rPr>
        <w:annotationRef/>
      </w:r>
      <w:r>
        <w:t>The first part alone is not really a good reason not to include. Also, what may matter is what happens to coefficients. Can we discuss this briefly when we talk next?</w:t>
      </w:r>
    </w:p>
  </w:comment>
  <w:comment w:id="5" w:author="Ezzati, Majid" w:date="2019-03-07T22:32:00Z" w:initials="EM">
    <w:p w14:paraId="12C9CBFF" w14:textId="77777777" w:rsidR="00C1740D" w:rsidRDefault="00C1740D">
      <w:pPr>
        <w:pStyle w:val="CommentText"/>
      </w:pPr>
      <w:r>
        <w:rPr>
          <w:rStyle w:val="CommentReference"/>
        </w:rPr>
        <w:annotationRef/>
      </w:r>
      <w:r>
        <w:t>Need to say what people are looking at. This is vague.</w:t>
      </w:r>
    </w:p>
    <w:p w14:paraId="7F221BA1" w14:textId="77777777" w:rsidR="00C1740D" w:rsidRDefault="00C1740D">
      <w:pPr>
        <w:pStyle w:val="CommentText"/>
      </w:pPr>
    </w:p>
    <w:p w14:paraId="1FDA653F" w14:textId="2519CB7D" w:rsidR="00C1740D" w:rsidRDefault="00C1740D">
      <w:pPr>
        <w:pStyle w:val="CommentText"/>
      </w:pPr>
      <w:r>
        <w:t>The cell for each state and month is an average of annual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5E88FB" w15:done="0"/>
  <w15:commentEx w15:paraId="7FF27630" w15:done="0"/>
  <w15:commentEx w15:paraId="5AB0FE8F" w15:done="0"/>
  <w15:commentEx w15:paraId="0DB9C0E4" w15:done="0"/>
  <w15:commentEx w15:paraId="1FDA65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F27630" w16cid:durableId="202C21F3"/>
  <w16cid:commentId w16cid:paraId="5AB0FE8F" w16cid:durableId="202C21F4"/>
  <w16cid:commentId w16cid:paraId="0DB9C0E4" w16cid:durableId="202C21F5"/>
  <w16cid:commentId w16cid:paraId="1FDA653F" w16cid:durableId="202C21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5D435" w14:textId="77777777" w:rsidR="00B16F19" w:rsidRDefault="00B16F19">
      <w:r>
        <w:separator/>
      </w:r>
    </w:p>
  </w:endnote>
  <w:endnote w:type="continuationSeparator" w:id="0">
    <w:p w14:paraId="75E5ABDF" w14:textId="77777777" w:rsidR="00B16F19" w:rsidRDefault="00B16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94745E" w:rsidRDefault="0094745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94745E" w:rsidRDefault="0094745E"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94745E" w:rsidRDefault="0094745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1740D">
      <w:rPr>
        <w:rStyle w:val="PageNumber"/>
        <w:noProof/>
      </w:rPr>
      <w:t>20</w:t>
    </w:r>
    <w:r>
      <w:rPr>
        <w:rStyle w:val="PageNumber"/>
      </w:rPr>
      <w:fldChar w:fldCharType="end"/>
    </w:r>
  </w:p>
  <w:p w14:paraId="75191DB3" w14:textId="77777777" w:rsidR="0094745E" w:rsidRDefault="0094745E"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33A8F5" w14:textId="77777777" w:rsidR="00B16F19" w:rsidRDefault="00B16F19">
      <w:r>
        <w:separator/>
      </w:r>
    </w:p>
  </w:footnote>
  <w:footnote w:type="continuationSeparator" w:id="0">
    <w:p w14:paraId="49B7D609" w14:textId="77777777" w:rsidR="00B16F19" w:rsidRDefault="00B16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63068"/>
    <w:rsid w:val="000C2776"/>
    <w:rsid w:val="000D39DD"/>
    <w:rsid w:val="0014511F"/>
    <w:rsid w:val="00172B5B"/>
    <w:rsid w:val="001D43B8"/>
    <w:rsid w:val="001F3A6B"/>
    <w:rsid w:val="00326ABE"/>
    <w:rsid w:val="003953FB"/>
    <w:rsid w:val="00460D94"/>
    <w:rsid w:val="004D148F"/>
    <w:rsid w:val="004E30F3"/>
    <w:rsid w:val="00551EAA"/>
    <w:rsid w:val="005725C8"/>
    <w:rsid w:val="00574DB7"/>
    <w:rsid w:val="0065196B"/>
    <w:rsid w:val="00710E1D"/>
    <w:rsid w:val="00790EA3"/>
    <w:rsid w:val="007A74F0"/>
    <w:rsid w:val="008E26B6"/>
    <w:rsid w:val="0094745E"/>
    <w:rsid w:val="00973F5B"/>
    <w:rsid w:val="00981B2C"/>
    <w:rsid w:val="009B223E"/>
    <w:rsid w:val="009F1115"/>
    <w:rsid w:val="00A67CDD"/>
    <w:rsid w:val="00B16F19"/>
    <w:rsid w:val="00BE2421"/>
    <w:rsid w:val="00C16BDD"/>
    <w:rsid w:val="00C1740D"/>
    <w:rsid w:val="00D80EC0"/>
    <w:rsid w:val="00FB2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jid.ezzati@imperial.ac.uk" TargetMode="External"/><Relationship Id="rId12" Type="http://schemas.openxmlformats.org/officeDocument/2006/relationships/hyperlink" Target="https://www.census.gov/data/tables/time-series/demo/popest/1980s-county.html)"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nvss/bridged_race.ht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cdc.gov/nchs/nvss/dvs_data_release.htm"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30103</Words>
  <Characters>171591</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2019-03-07T23:06:00Z</dcterms:created>
  <dcterms:modified xsi:type="dcterms:W3CDTF">2019-03-07T23:06:00Z</dcterms:modified>
</cp:coreProperties>
</file>