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0E837DA8" w14:textId="77777777" w:rsidR="003D5182" w:rsidRDefault="00102468" w:rsidP="00061A3A">
          <w:pPr>
            <w:pStyle w:val="TOCHeading"/>
            <w:suppressLineNumbers/>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6578544B" w14:textId="476FCA5C" w:rsidR="003D5182" w:rsidRDefault="003D5182">
          <w:pPr>
            <w:pStyle w:val="TOC2"/>
            <w:tabs>
              <w:tab w:val="right" w:leader="dot" w:pos="9010"/>
            </w:tabs>
            <w:rPr>
              <w:rFonts w:eastAsiaTheme="minorEastAsia" w:cstheme="minorBidi"/>
              <w:b w:val="0"/>
              <w:bCs w:val="0"/>
              <w:noProof/>
              <w:sz w:val="24"/>
              <w:szCs w:val="24"/>
            </w:rPr>
          </w:pPr>
          <w:hyperlink w:anchor="_Toc6058590" w:history="1">
            <w:r w:rsidRPr="00B11776">
              <w:rPr>
                <w:rStyle w:val="Hyperlink"/>
                <w:noProof/>
              </w:rPr>
              <w:t>List of figures</w:t>
            </w:r>
            <w:r>
              <w:rPr>
                <w:noProof/>
                <w:webHidden/>
              </w:rPr>
              <w:tab/>
            </w:r>
            <w:r>
              <w:rPr>
                <w:noProof/>
                <w:webHidden/>
              </w:rPr>
              <w:fldChar w:fldCharType="begin"/>
            </w:r>
            <w:r>
              <w:rPr>
                <w:noProof/>
                <w:webHidden/>
              </w:rPr>
              <w:instrText xml:space="preserve"> PAGEREF _Toc6058590 \h </w:instrText>
            </w:r>
            <w:r>
              <w:rPr>
                <w:noProof/>
                <w:webHidden/>
              </w:rPr>
            </w:r>
            <w:r>
              <w:rPr>
                <w:noProof/>
                <w:webHidden/>
              </w:rPr>
              <w:fldChar w:fldCharType="separate"/>
            </w:r>
            <w:r>
              <w:rPr>
                <w:noProof/>
                <w:webHidden/>
              </w:rPr>
              <w:t>1</w:t>
            </w:r>
            <w:r>
              <w:rPr>
                <w:noProof/>
                <w:webHidden/>
              </w:rPr>
              <w:fldChar w:fldCharType="end"/>
            </w:r>
          </w:hyperlink>
        </w:p>
        <w:p w14:paraId="5446BF46" w14:textId="23847738" w:rsidR="003D5182" w:rsidRDefault="003D5182">
          <w:pPr>
            <w:pStyle w:val="TOC2"/>
            <w:tabs>
              <w:tab w:val="right" w:leader="dot" w:pos="9010"/>
            </w:tabs>
            <w:rPr>
              <w:rFonts w:eastAsiaTheme="minorEastAsia" w:cstheme="minorBidi"/>
              <w:b w:val="0"/>
              <w:bCs w:val="0"/>
              <w:noProof/>
              <w:sz w:val="24"/>
              <w:szCs w:val="24"/>
            </w:rPr>
          </w:pPr>
          <w:hyperlink w:anchor="_Toc6058591" w:history="1">
            <w:r w:rsidRPr="00B11776">
              <w:rPr>
                <w:rStyle w:val="Hyperlink"/>
                <w:noProof/>
              </w:rPr>
              <w:t>List of tables</w:t>
            </w:r>
            <w:r>
              <w:rPr>
                <w:noProof/>
                <w:webHidden/>
              </w:rPr>
              <w:tab/>
            </w:r>
            <w:r>
              <w:rPr>
                <w:noProof/>
                <w:webHidden/>
              </w:rPr>
              <w:fldChar w:fldCharType="begin"/>
            </w:r>
            <w:r>
              <w:rPr>
                <w:noProof/>
                <w:webHidden/>
              </w:rPr>
              <w:instrText xml:space="preserve"> PAGEREF _Toc6058591 \h </w:instrText>
            </w:r>
            <w:r>
              <w:rPr>
                <w:noProof/>
                <w:webHidden/>
              </w:rPr>
            </w:r>
            <w:r>
              <w:rPr>
                <w:noProof/>
                <w:webHidden/>
              </w:rPr>
              <w:fldChar w:fldCharType="separate"/>
            </w:r>
            <w:r>
              <w:rPr>
                <w:noProof/>
                <w:webHidden/>
              </w:rPr>
              <w:t>1</w:t>
            </w:r>
            <w:r>
              <w:rPr>
                <w:noProof/>
                <w:webHidden/>
              </w:rPr>
              <w:fldChar w:fldCharType="end"/>
            </w:r>
          </w:hyperlink>
        </w:p>
        <w:p w14:paraId="3924CE33" w14:textId="1A926AA4" w:rsidR="003D5182" w:rsidRDefault="003D5182">
          <w:pPr>
            <w:pStyle w:val="TOC2"/>
            <w:tabs>
              <w:tab w:val="right" w:leader="dot" w:pos="9010"/>
            </w:tabs>
            <w:rPr>
              <w:rFonts w:eastAsiaTheme="minorEastAsia" w:cstheme="minorBidi"/>
              <w:b w:val="0"/>
              <w:bCs w:val="0"/>
              <w:noProof/>
              <w:sz w:val="24"/>
              <w:szCs w:val="24"/>
            </w:rPr>
          </w:pPr>
          <w:hyperlink w:anchor="_Toc6058592" w:history="1">
            <w:r w:rsidRPr="00B11776">
              <w:rPr>
                <w:rStyle w:val="Hyperlink"/>
                <w:noProof/>
              </w:rPr>
              <w:t>List of equations</w:t>
            </w:r>
            <w:r>
              <w:rPr>
                <w:noProof/>
                <w:webHidden/>
              </w:rPr>
              <w:tab/>
            </w:r>
            <w:r>
              <w:rPr>
                <w:noProof/>
                <w:webHidden/>
              </w:rPr>
              <w:fldChar w:fldCharType="begin"/>
            </w:r>
            <w:r>
              <w:rPr>
                <w:noProof/>
                <w:webHidden/>
              </w:rPr>
              <w:instrText xml:space="preserve"> PAGEREF _Toc6058592 \h </w:instrText>
            </w:r>
            <w:r>
              <w:rPr>
                <w:noProof/>
                <w:webHidden/>
              </w:rPr>
            </w:r>
            <w:r>
              <w:rPr>
                <w:noProof/>
                <w:webHidden/>
              </w:rPr>
              <w:fldChar w:fldCharType="separate"/>
            </w:r>
            <w:r>
              <w:rPr>
                <w:noProof/>
                <w:webHidden/>
              </w:rPr>
              <w:t>1</w:t>
            </w:r>
            <w:r>
              <w:rPr>
                <w:noProof/>
                <w:webHidden/>
              </w:rPr>
              <w:fldChar w:fldCharType="end"/>
            </w:r>
          </w:hyperlink>
        </w:p>
        <w:p w14:paraId="54075856" w14:textId="1DD48302" w:rsidR="003D5182" w:rsidRDefault="003D5182">
          <w:pPr>
            <w:pStyle w:val="TOC1"/>
            <w:rPr>
              <w:rFonts w:eastAsiaTheme="minorEastAsia" w:cstheme="minorBidi"/>
              <w:b w:val="0"/>
              <w:bCs w:val="0"/>
              <w:noProof/>
            </w:rPr>
          </w:pPr>
          <w:hyperlink w:anchor="_Toc6058593" w:history="1">
            <w:r w:rsidRPr="00B11776">
              <w:rPr>
                <w:rStyle w:val="Hyperlink"/>
                <w:noProof/>
              </w:rPr>
              <w:t>1.</w:t>
            </w:r>
            <w:r>
              <w:rPr>
                <w:rFonts w:eastAsiaTheme="minorEastAsia" w:cstheme="minorBidi"/>
                <w:b w:val="0"/>
                <w:bCs w:val="0"/>
                <w:noProof/>
              </w:rPr>
              <w:tab/>
            </w:r>
            <w:r w:rsidRPr="00B11776">
              <w:rPr>
                <w:rStyle w:val="Hyperlink"/>
                <w:noProof/>
              </w:rPr>
              <w:t>National and regional seasonal dynamics of all-cause and cause-specific mortality in the USA</w:t>
            </w:r>
            <w:r>
              <w:rPr>
                <w:noProof/>
                <w:webHidden/>
              </w:rPr>
              <w:tab/>
            </w:r>
            <w:r>
              <w:rPr>
                <w:noProof/>
                <w:webHidden/>
              </w:rPr>
              <w:fldChar w:fldCharType="begin"/>
            </w:r>
            <w:r>
              <w:rPr>
                <w:noProof/>
                <w:webHidden/>
              </w:rPr>
              <w:instrText xml:space="preserve"> PAGEREF _Toc6058593 \h </w:instrText>
            </w:r>
            <w:r>
              <w:rPr>
                <w:noProof/>
                <w:webHidden/>
              </w:rPr>
            </w:r>
            <w:r>
              <w:rPr>
                <w:noProof/>
                <w:webHidden/>
              </w:rPr>
              <w:fldChar w:fldCharType="separate"/>
            </w:r>
            <w:r>
              <w:rPr>
                <w:noProof/>
                <w:webHidden/>
              </w:rPr>
              <w:t>2</w:t>
            </w:r>
            <w:r>
              <w:rPr>
                <w:noProof/>
                <w:webHidden/>
              </w:rPr>
              <w:fldChar w:fldCharType="end"/>
            </w:r>
          </w:hyperlink>
        </w:p>
        <w:p w14:paraId="38D4C4F7" w14:textId="68509A29" w:rsidR="003D5182" w:rsidRDefault="003D5182">
          <w:pPr>
            <w:pStyle w:val="TOC2"/>
            <w:tabs>
              <w:tab w:val="right" w:leader="dot" w:pos="9010"/>
            </w:tabs>
            <w:rPr>
              <w:rFonts w:eastAsiaTheme="minorEastAsia" w:cstheme="minorBidi"/>
              <w:b w:val="0"/>
              <w:bCs w:val="0"/>
              <w:noProof/>
              <w:sz w:val="24"/>
              <w:szCs w:val="24"/>
            </w:rPr>
          </w:pPr>
          <w:hyperlink w:anchor="_Toc6058594" w:history="1">
            <w:r w:rsidRPr="00B11776">
              <w:rPr>
                <w:rStyle w:val="Hyperlink"/>
                <w:noProof/>
              </w:rPr>
              <w:t>Overview</w:t>
            </w:r>
            <w:r>
              <w:rPr>
                <w:noProof/>
                <w:webHidden/>
              </w:rPr>
              <w:tab/>
            </w:r>
            <w:r>
              <w:rPr>
                <w:noProof/>
                <w:webHidden/>
              </w:rPr>
              <w:fldChar w:fldCharType="begin"/>
            </w:r>
            <w:r>
              <w:rPr>
                <w:noProof/>
                <w:webHidden/>
              </w:rPr>
              <w:instrText xml:space="preserve"> PAGEREF _Toc6058594 \h </w:instrText>
            </w:r>
            <w:r>
              <w:rPr>
                <w:noProof/>
                <w:webHidden/>
              </w:rPr>
            </w:r>
            <w:r>
              <w:rPr>
                <w:noProof/>
                <w:webHidden/>
              </w:rPr>
              <w:fldChar w:fldCharType="separate"/>
            </w:r>
            <w:r>
              <w:rPr>
                <w:noProof/>
                <w:webHidden/>
              </w:rPr>
              <w:t>2</w:t>
            </w:r>
            <w:r>
              <w:rPr>
                <w:noProof/>
                <w:webHidden/>
              </w:rPr>
              <w:fldChar w:fldCharType="end"/>
            </w:r>
          </w:hyperlink>
        </w:p>
        <w:p w14:paraId="55951CE2" w14:textId="7B7C0490" w:rsidR="003D5182" w:rsidRDefault="003D5182">
          <w:pPr>
            <w:pStyle w:val="TOC2"/>
            <w:tabs>
              <w:tab w:val="right" w:leader="dot" w:pos="9010"/>
            </w:tabs>
            <w:rPr>
              <w:rFonts w:eastAsiaTheme="minorEastAsia" w:cstheme="minorBidi"/>
              <w:b w:val="0"/>
              <w:bCs w:val="0"/>
              <w:noProof/>
              <w:sz w:val="24"/>
              <w:szCs w:val="24"/>
            </w:rPr>
          </w:pPr>
          <w:hyperlink w:anchor="_Toc6058595" w:history="1">
            <w:r w:rsidRPr="00B11776">
              <w:rPr>
                <w:rStyle w:val="Hyperlink"/>
                <w:noProof/>
              </w:rPr>
              <w:t>Introduction</w:t>
            </w:r>
            <w:r>
              <w:rPr>
                <w:noProof/>
                <w:webHidden/>
              </w:rPr>
              <w:tab/>
            </w:r>
            <w:r>
              <w:rPr>
                <w:noProof/>
                <w:webHidden/>
              </w:rPr>
              <w:fldChar w:fldCharType="begin"/>
            </w:r>
            <w:r>
              <w:rPr>
                <w:noProof/>
                <w:webHidden/>
              </w:rPr>
              <w:instrText xml:space="preserve"> PAGEREF _Toc6058595 \h </w:instrText>
            </w:r>
            <w:r>
              <w:rPr>
                <w:noProof/>
                <w:webHidden/>
              </w:rPr>
            </w:r>
            <w:r>
              <w:rPr>
                <w:noProof/>
                <w:webHidden/>
              </w:rPr>
              <w:fldChar w:fldCharType="separate"/>
            </w:r>
            <w:r>
              <w:rPr>
                <w:noProof/>
                <w:webHidden/>
              </w:rPr>
              <w:t>2</w:t>
            </w:r>
            <w:r>
              <w:rPr>
                <w:noProof/>
                <w:webHidden/>
              </w:rPr>
              <w:fldChar w:fldCharType="end"/>
            </w:r>
          </w:hyperlink>
        </w:p>
        <w:p w14:paraId="5481EC2F" w14:textId="5584AA2F" w:rsidR="003D5182" w:rsidRDefault="003D5182">
          <w:pPr>
            <w:pStyle w:val="TOC2"/>
            <w:tabs>
              <w:tab w:val="right" w:leader="dot" w:pos="9010"/>
            </w:tabs>
            <w:rPr>
              <w:rFonts w:eastAsiaTheme="minorEastAsia" w:cstheme="minorBidi"/>
              <w:b w:val="0"/>
              <w:bCs w:val="0"/>
              <w:noProof/>
              <w:sz w:val="24"/>
              <w:szCs w:val="24"/>
            </w:rPr>
          </w:pPr>
          <w:hyperlink w:anchor="_Toc6058596" w:history="1">
            <w:r w:rsidRPr="00B11776">
              <w:rPr>
                <w:rStyle w:val="Hyperlink"/>
                <w:noProof/>
              </w:rPr>
              <w:t>Data</w:t>
            </w:r>
            <w:r>
              <w:rPr>
                <w:noProof/>
                <w:webHidden/>
              </w:rPr>
              <w:tab/>
            </w:r>
            <w:r>
              <w:rPr>
                <w:noProof/>
                <w:webHidden/>
              </w:rPr>
              <w:fldChar w:fldCharType="begin"/>
            </w:r>
            <w:r>
              <w:rPr>
                <w:noProof/>
                <w:webHidden/>
              </w:rPr>
              <w:instrText xml:space="preserve"> PAGEREF _Toc6058596 \h </w:instrText>
            </w:r>
            <w:r>
              <w:rPr>
                <w:noProof/>
                <w:webHidden/>
              </w:rPr>
            </w:r>
            <w:r>
              <w:rPr>
                <w:noProof/>
                <w:webHidden/>
              </w:rPr>
              <w:fldChar w:fldCharType="separate"/>
            </w:r>
            <w:r>
              <w:rPr>
                <w:noProof/>
                <w:webHidden/>
              </w:rPr>
              <w:t>3</w:t>
            </w:r>
            <w:r>
              <w:rPr>
                <w:noProof/>
                <w:webHidden/>
              </w:rPr>
              <w:fldChar w:fldCharType="end"/>
            </w:r>
          </w:hyperlink>
        </w:p>
        <w:p w14:paraId="174E9800" w14:textId="737C2CE2" w:rsidR="003D5182" w:rsidRDefault="003D5182">
          <w:pPr>
            <w:pStyle w:val="TOC2"/>
            <w:tabs>
              <w:tab w:val="right" w:leader="dot" w:pos="9010"/>
            </w:tabs>
            <w:rPr>
              <w:rFonts w:eastAsiaTheme="minorEastAsia" w:cstheme="minorBidi"/>
              <w:b w:val="0"/>
              <w:bCs w:val="0"/>
              <w:noProof/>
              <w:sz w:val="24"/>
              <w:szCs w:val="24"/>
            </w:rPr>
          </w:pPr>
          <w:hyperlink w:anchor="_Toc6058597" w:history="1">
            <w:r w:rsidRPr="00B11776">
              <w:rPr>
                <w:rStyle w:val="Hyperlink"/>
                <w:noProof/>
              </w:rPr>
              <w:t>Statistical methods</w:t>
            </w:r>
            <w:r>
              <w:rPr>
                <w:noProof/>
                <w:webHidden/>
              </w:rPr>
              <w:tab/>
            </w:r>
            <w:r>
              <w:rPr>
                <w:noProof/>
                <w:webHidden/>
              </w:rPr>
              <w:fldChar w:fldCharType="begin"/>
            </w:r>
            <w:r>
              <w:rPr>
                <w:noProof/>
                <w:webHidden/>
              </w:rPr>
              <w:instrText xml:space="preserve"> PAGEREF _Toc6058597 \h </w:instrText>
            </w:r>
            <w:r>
              <w:rPr>
                <w:noProof/>
                <w:webHidden/>
              </w:rPr>
            </w:r>
            <w:r>
              <w:rPr>
                <w:noProof/>
                <w:webHidden/>
              </w:rPr>
              <w:fldChar w:fldCharType="separate"/>
            </w:r>
            <w:r>
              <w:rPr>
                <w:noProof/>
                <w:webHidden/>
              </w:rPr>
              <w:t>5</w:t>
            </w:r>
            <w:r>
              <w:rPr>
                <w:noProof/>
                <w:webHidden/>
              </w:rPr>
              <w:fldChar w:fldCharType="end"/>
            </w:r>
          </w:hyperlink>
        </w:p>
        <w:p w14:paraId="3D29F212" w14:textId="37C5FC72" w:rsidR="003D5182" w:rsidRDefault="003D5182">
          <w:pPr>
            <w:pStyle w:val="TOC2"/>
            <w:tabs>
              <w:tab w:val="right" w:leader="dot" w:pos="9010"/>
            </w:tabs>
            <w:rPr>
              <w:rFonts w:eastAsiaTheme="minorEastAsia" w:cstheme="minorBidi"/>
              <w:b w:val="0"/>
              <w:bCs w:val="0"/>
              <w:noProof/>
              <w:sz w:val="24"/>
              <w:szCs w:val="24"/>
            </w:rPr>
          </w:pPr>
          <w:hyperlink w:anchor="_Toc6058598" w:history="1">
            <w:r w:rsidRPr="00B11776">
              <w:rPr>
                <w:rStyle w:val="Hyperlink"/>
                <w:noProof/>
              </w:rPr>
              <w:t>Results</w:t>
            </w:r>
            <w:r>
              <w:rPr>
                <w:noProof/>
                <w:webHidden/>
              </w:rPr>
              <w:tab/>
            </w:r>
            <w:r>
              <w:rPr>
                <w:noProof/>
                <w:webHidden/>
              </w:rPr>
              <w:fldChar w:fldCharType="begin"/>
            </w:r>
            <w:r>
              <w:rPr>
                <w:noProof/>
                <w:webHidden/>
              </w:rPr>
              <w:instrText xml:space="preserve"> PAGEREF _Toc6058598 \h </w:instrText>
            </w:r>
            <w:r>
              <w:rPr>
                <w:noProof/>
                <w:webHidden/>
              </w:rPr>
            </w:r>
            <w:r>
              <w:rPr>
                <w:noProof/>
                <w:webHidden/>
              </w:rPr>
              <w:fldChar w:fldCharType="separate"/>
            </w:r>
            <w:r>
              <w:rPr>
                <w:noProof/>
                <w:webHidden/>
              </w:rPr>
              <w:t>7</w:t>
            </w:r>
            <w:r>
              <w:rPr>
                <w:noProof/>
                <w:webHidden/>
              </w:rPr>
              <w:fldChar w:fldCharType="end"/>
            </w:r>
          </w:hyperlink>
        </w:p>
        <w:p w14:paraId="0D386D9D" w14:textId="29CD2D74" w:rsidR="003D5182" w:rsidRDefault="003D5182">
          <w:pPr>
            <w:pStyle w:val="TOC2"/>
            <w:tabs>
              <w:tab w:val="right" w:leader="dot" w:pos="9010"/>
            </w:tabs>
            <w:rPr>
              <w:rFonts w:eastAsiaTheme="minorEastAsia" w:cstheme="minorBidi"/>
              <w:b w:val="0"/>
              <w:bCs w:val="0"/>
              <w:noProof/>
              <w:sz w:val="24"/>
              <w:szCs w:val="24"/>
            </w:rPr>
          </w:pPr>
          <w:hyperlink w:anchor="_Toc6058599" w:history="1">
            <w:r w:rsidRPr="00B11776">
              <w:rPr>
                <w:rStyle w:val="Hyperlink"/>
                <w:noProof/>
              </w:rPr>
              <w:t>Strengths and limitations</w:t>
            </w:r>
            <w:r>
              <w:rPr>
                <w:noProof/>
                <w:webHidden/>
              </w:rPr>
              <w:tab/>
            </w:r>
            <w:r>
              <w:rPr>
                <w:noProof/>
                <w:webHidden/>
              </w:rPr>
              <w:fldChar w:fldCharType="begin"/>
            </w:r>
            <w:r>
              <w:rPr>
                <w:noProof/>
                <w:webHidden/>
              </w:rPr>
              <w:instrText xml:space="preserve"> PAGEREF _Toc6058599 \h </w:instrText>
            </w:r>
            <w:r>
              <w:rPr>
                <w:noProof/>
                <w:webHidden/>
              </w:rPr>
            </w:r>
            <w:r>
              <w:rPr>
                <w:noProof/>
                <w:webHidden/>
              </w:rPr>
              <w:fldChar w:fldCharType="separate"/>
            </w:r>
            <w:r>
              <w:rPr>
                <w:noProof/>
                <w:webHidden/>
              </w:rPr>
              <w:t>10</w:t>
            </w:r>
            <w:r>
              <w:rPr>
                <w:noProof/>
                <w:webHidden/>
              </w:rPr>
              <w:fldChar w:fldCharType="end"/>
            </w:r>
          </w:hyperlink>
        </w:p>
        <w:p w14:paraId="48D1E80B" w14:textId="06C5BB45" w:rsidR="003D5182" w:rsidRDefault="003D5182">
          <w:pPr>
            <w:pStyle w:val="TOC2"/>
            <w:tabs>
              <w:tab w:val="right" w:leader="dot" w:pos="9010"/>
            </w:tabs>
            <w:rPr>
              <w:rFonts w:eastAsiaTheme="minorEastAsia" w:cstheme="minorBidi"/>
              <w:b w:val="0"/>
              <w:bCs w:val="0"/>
              <w:noProof/>
              <w:sz w:val="24"/>
              <w:szCs w:val="24"/>
            </w:rPr>
          </w:pPr>
          <w:hyperlink w:anchor="_Toc6058600" w:history="1">
            <w:r w:rsidRPr="00B11776">
              <w:rPr>
                <w:rStyle w:val="Hyperlink"/>
                <w:noProof/>
              </w:rPr>
              <w:t>Discussion</w:t>
            </w:r>
            <w:r>
              <w:rPr>
                <w:noProof/>
                <w:webHidden/>
              </w:rPr>
              <w:tab/>
            </w:r>
            <w:r>
              <w:rPr>
                <w:noProof/>
                <w:webHidden/>
              </w:rPr>
              <w:fldChar w:fldCharType="begin"/>
            </w:r>
            <w:r>
              <w:rPr>
                <w:noProof/>
                <w:webHidden/>
              </w:rPr>
              <w:instrText xml:space="preserve"> PAGEREF _Toc6058600 \h </w:instrText>
            </w:r>
            <w:r>
              <w:rPr>
                <w:noProof/>
                <w:webHidden/>
              </w:rPr>
            </w:r>
            <w:r>
              <w:rPr>
                <w:noProof/>
                <w:webHidden/>
              </w:rPr>
              <w:fldChar w:fldCharType="separate"/>
            </w:r>
            <w:r>
              <w:rPr>
                <w:noProof/>
                <w:webHidden/>
              </w:rPr>
              <w:t>11</w:t>
            </w:r>
            <w:r>
              <w:rPr>
                <w:noProof/>
                <w:webHidden/>
              </w:rPr>
              <w:fldChar w:fldCharType="end"/>
            </w:r>
          </w:hyperlink>
        </w:p>
        <w:p w14:paraId="37BFB6D4" w14:textId="6E9C4BEC" w:rsidR="003D5182" w:rsidRDefault="003D5182">
          <w:pPr>
            <w:pStyle w:val="TOC2"/>
            <w:tabs>
              <w:tab w:val="right" w:leader="dot" w:pos="9010"/>
            </w:tabs>
            <w:rPr>
              <w:rFonts w:eastAsiaTheme="minorEastAsia" w:cstheme="minorBidi"/>
              <w:b w:val="0"/>
              <w:bCs w:val="0"/>
              <w:noProof/>
              <w:sz w:val="24"/>
              <w:szCs w:val="24"/>
            </w:rPr>
          </w:pPr>
          <w:hyperlink w:anchor="_Toc6058601" w:history="1">
            <w:r w:rsidRPr="00B11776">
              <w:rPr>
                <w:rStyle w:val="Hyperlink"/>
                <w:noProof/>
              </w:rPr>
              <w:t>References</w:t>
            </w:r>
            <w:r>
              <w:rPr>
                <w:noProof/>
                <w:webHidden/>
              </w:rPr>
              <w:tab/>
            </w:r>
            <w:r>
              <w:rPr>
                <w:noProof/>
                <w:webHidden/>
              </w:rPr>
              <w:fldChar w:fldCharType="begin"/>
            </w:r>
            <w:r>
              <w:rPr>
                <w:noProof/>
                <w:webHidden/>
              </w:rPr>
              <w:instrText xml:space="preserve"> PAGEREF _Toc6058601 \h </w:instrText>
            </w:r>
            <w:r>
              <w:rPr>
                <w:noProof/>
                <w:webHidden/>
              </w:rPr>
            </w:r>
            <w:r>
              <w:rPr>
                <w:noProof/>
                <w:webHidden/>
              </w:rPr>
              <w:fldChar w:fldCharType="separate"/>
            </w:r>
            <w:r>
              <w:rPr>
                <w:noProof/>
                <w:webHidden/>
              </w:rPr>
              <w:t>14</w:t>
            </w:r>
            <w:r>
              <w:rPr>
                <w:noProof/>
                <w:webHidden/>
              </w:rPr>
              <w:fldChar w:fldCharType="end"/>
            </w:r>
          </w:hyperlink>
        </w:p>
        <w:p w14:paraId="4E1CF970" w14:textId="5F5568D2" w:rsidR="00B82FF5" w:rsidRPr="00755632" w:rsidRDefault="00102468" w:rsidP="00061A3A">
          <w:pPr>
            <w:suppressLineNumbers/>
            <w:rPr>
              <w:noProof/>
            </w:rPr>
          </w:pPr>
          <w:r w:rsidRPr="00755632">
            <w:rPr>
              <w:b/>
              <w:bCs/>
              <w:noProof/>
            </w:rPr>
            <w:fldChar w:fldCharType="end"/>
          </w:r>
        </w:p>
      </w:sdtContent>
    </w:sdt>
    <w:p w14:paraId="27FB8149" w14:textId="1B7EC0EE" w:rsidR="006675AE" w:rsidRPr="005660AA" w:rsidRDefault="00061A3A" w:rsidP="00061A3A">
      <w:pPr>
        <w:pStyle w:val="Heading2"/>
        <w:suppressLineNumbers/>
        <w:rPr>
          <w:rStyle w:val="Hyperlink"/>
          <w:color w:val="2F5496" w:themeColor="accent1" w:themeShade="BF"/>
          <w:u w:val="none"/>
        </w:rPr>
      </w:pPr>
      <w:bookmarkStart w:id="0" w:name="_Toc6058590"/>
      <w:r>
        <w:t xml:space="preserve">List of </w:t>
      </w:r>
      <w:r w:rsidR="009E7EC8">
        <w:t>f</w:t>
      </w:r>
      <w:r>
        <w:t>igures</w:t>
      </w:r>
      <w:bookmarkEnd w:id="0"/>
      <w:r w:rsidR="00B82FF5" w:rsidRPr="00755632">
        <w:rPr>
          <w:rFonts w:ascii="Calibri" w:eastAsia="Calibri" w:hAnsi="Calibri" w:cs="Times New Roman"/>
          <w:color w:val="auto"/>
          <w:sz w:val="22"/>
          <w:szCs w:val="22"/>
        </w:rPr>
        <w:fldChar w:fldCharType="begin"/>
      </w:r>
      <w:r w:rsidR="00B82FF5" w:rsidRPr="00755632">
        <w:instrText xml:space="preserve"> TOC \h \z \c "Figure" </w:instrText>
      </w:r>
      <w:r w:rsidR="00B82FF5" w:rsidRPr="00755632">
        <w:rPr>
          <w:rFonts w:ascii="Calibri" w:eastAsia="Calibri" w:hAnsi="Calibri" w:cs="Times New Roman"/>
          <w:color w:val="auto"/>
          <w:sz w:val="22"/>
          <w:szCs w:val="22"/>
        </w:rPr>
        <w:fldChar w:fldCharType="separate"/>
      </w:r>
    </w:p>
    <w:p w14:paraId="6BD35CDE" w14:textId="3C4E6EC0" w:rsidR="00BB73E3" w:rsidRDefault="006675AE" w:rsidP="003D5182">
      <w:r>
        <w:rPr>
          <w:noProof/>
          <w:lang w:val="en-US"/>
        </w:rPr>
        <w:t>No table of figures entries found.</w:t>
      </w:r>
      <w:r w:rsidR="00B82FF5" w:rsidRPr="00755632">
        <w:fldChar w:fldCharType="end"/>
      </w:r>
    </w:p>
    <w:p w14:paraId="77C95559" w14:textId="20A463FB" w:rsidR="006675AE" w:rsidRPr="005660AA" w:rsidRDefault="00061A3A" w:rsidP="005660AA">
      <w:pPr>
        <w:pStyle w:val="Heading2"/>
        <w:suppressLineNumbers/>
        <w:rPr>
          <w:rStyle w:val="Hyperlink"/>
          <w:color w:val="2F5496" w:themeColor="accent1" w:themeShade="BF"/>
          <w:u w:val="none"/>
        </w:rPr>
      </w:pPr>
      <w:bookmarkStart w:id="1" w:name="_Toc6058591"/>
      <w:r>
        <w:t xml:space="preserve">List of </w:t>
      </w:r>
      <w:r w:rsidR="009E7EC8">
        <w:t>t</w:t>
      </w:r>
      <w:r>
        <w:t>ables</w:t>
      </w:r>
      <w:bookmarkEnd w:id="1"/>
      <w:r w:rsidR="00B82FF5" w:rsidRPr="00755632">
        <w:fldChar w:fldCharType="begin"/>
      </w:r>
      <w:r w:rsidR="00B82FF5" w:rsidRPr="00755632">
        <w:instrText xml:space="preserve"> TOC \h \z \c "Table" </w:instrText>
      </w:r>
      <w:r w:rsidR="00B82FF5" w:rsidRPr="00755632">
        <w:fldChar w:fldCharType="separate"/>
      </w:r>
    </w:p>
    <w:p w14:paraId="0AEF514B" w14:textId="621FC4AF" w:rsidR="001A4B51" w:rsidRDefault="006675AE" w:rsidP="003D5182">
      <w:r>
        <w:rPr>
          <w:noProof/>
          <w:lang w:val="en-US"/>
        </w:rPr>
        <w:t>No table of figures entries found.</w:t>
      </w:r>
      <w:r w:rsidR="00B82FF5" w:rsidRPr="00755632">
        <w:fldChar w:fldCharType="end"/>
      </w:r>
    </w:p>
    <w:p w14:paraId="0B23770C" w14:textId="77777777" w:rsidR="002D35A5" w:rsidRDefault="001A4B51" w:rsidP="001A4B51">
      <w:pPr>
        <w:pStyle w:val="Heading2"/>
      </w:pPr>
      <w:bookmarkStart w:id="2" w:name="_Toc6058592"/>
      <w:r>
        <w:t>List of equations</w:t>
      </w:r>
      <w:bookmarkEnd w:id="2"/>
    </w:p>
    <w:p w14:paraId="7301BC47" w14:textId="3BA50271" w:rsidR="009913FE" w:rsidRDefault="002D35A5">
      <w:pPr>
        <w:pStyle w:val="TableofFigures"/>
        <w:tabs>
          <w:tab w:val="right" w:leader="dot" w:pos="9010"/>
        </w:tabs>
        <w:rPr>
          <w:rFonts w:asciiTheme="minorHAnsi" w:eastAsiaTheme="minorEastAsia" w:hAnsiTheme="minorHAnsi" w:cstheme="minorBidi"/>
          <w:noProof/>
          <w:sz w:val="24"/>
          <w:szCs w:val="24"/>
        </w:rPr>
      </w:pPr>
      <w:r>
        <w:fldChar w:fldCharType="begin"/>
      </w:r>
      <w:r>
        <w:instrText xml:space="preserve"> TOC \h \z \c "Equation" </w:instrText>
      </w:r>
      <w:r>
        <w:fldChar w:fldCharType="separate"/>
      </w:r>
      <w:hyperlink w:anchor="_Toc6058237" w:history="1">
        <w:r w:rsidR="009913FE" w:rsidRPr="004A0D5D">
          <w:rPr>
            <w:rStyle w:val="Hyperlink"/>
            <w:b/>
            <w:noProof/>
          </w:rPr>
          <w:t>Equation 1</w:t>
        </w:r>
        <w:r w:rsidR="009913FE" w:rsidRPr="004A0D5D">
          <w:rPr>
            <w:rStyle w:val="Hyperlink"/>
            <w:noProof/>
          </w:rPr>
          <w:t>. Circular mean calculation.</w:t>
        </w:r>
        <w:r w:rsidR="009913FE">
          <w:rPr>
            <w:noProof/>
            <w:webHidden/>
          </w:rPr>
          <w:tab/>
        </w:r>
        <w:r w:rsidR="009913FE">
          <w:rPr>
            <w:noProof/>
            <w:webHidden/>
          </w:rPr>
          <w:fldChar w:fldCharType="begin"/>
        </w:r>
        <w:r w:rsidR="009913FE">
          <w:rPr>
            <w:noProof/>
            <w:webHidden/>
          </w:rPr>
          <w:instrText xml:space="preserve"> PAGEREF _Toc6058237 \h </w:instrText>
        </w:r>
        <w:r w:rsidR="009913FE">
          <w:rPr>
            <w:noProof/>
            <w:webHidden/>
          </w:rPr>
        </w:r>
        <w:r w:rsidR="009913FE">
          <w:rPr>
            <w:noProof/>
            <w:webHidden/>
          </w:rPr>
          <w:fldChar w:fldCharType="separate"/>
        </w:r>
        <w:r w:rsidR="009913FE">
          <w:rPr>
            <w:noProof/>
            <w:webHidden/>
          </w:rPr>
          <w:t>6</w:t>
        </w:r>
        <w:r w:rsidR="009913FE">
          <w:rPr>
            <w:noProof/>
            <w:webHidden/>
          </w:rPr>
          <w:fldChar w:fldCharType="end"/>
        </w:r>
      </w:hyperlink>
    </w:p>
    <w:p w14:paraId="02019DD7" w14:textId="3D11E818" w:rsidR="006675AE" w:rsidRDefault="002D35A5" w:rsidP="006675AE">
      <w:pPr>
        <w:pStyle w:val="Heading1"/>
        <w:spacing w:line="480" w:lineRule="auto"/>
        <w:jc w:val="both"/>
      </w:pPr>
      <w:r>
        <w:fldChar w:fldCharType="end"/>
      </w:r>
      <w:r w:rsidR="00C0748B" w:rsidRPr="00755632">
        <w:br w:type="page"/>
      </w:r>
    </w:p>
    <w:p w14:paraId="2A5ACAE5" w14:textId="37A6FB82" w:rsidR="006675AE" w:rsidRDefault="006675AE" w:rsidP="006675AE">
      <w:pPr>
        <w:pStyle w:val="Heading1"/>
        <w:numPr>
          <w:ilvl w:val="0"/>
          <w:numId w:val="42"/>
        </w:numPr>
        <w:jc w:val="both"/>
      </w:pPr>
      <w:bookmarkStart w:id="3" w:name="_Toc6045006"/>
      <w:bookmarkStart w:id="4" w:name="_Toc6045005"/>
      <w:bookmarkStart w:id="5" w:name="_Toc6058593"/>
      <w:r w:rsidRPr="00127064">
        <w:lastRenderedPageBreak/>
        <w:t>National and regional seasonal dynamics of all-cause and cause-specific mortality in the USA</w:t>
      </w:r>
      <w:bookmarkEnd w:id="4"/>
      <w:bookmarkEnd w:id="5"/>
    </w:p>
    <w:p w14:paraId="6A6B2026" w14:textId="77777777" w:rsidR="006675AE" w:rsidRDefault="006675AE" w:rsidP="006675AE">
      <w:pPr>
        <w:pStyle w:val="Heading2"/>
      </w:pPr>
    </w:p>
    <w:p w14:paraId="1310F75B" w14:textId="46DB6980" w:rsidR="006675AE" w:rsidRPr="00127064" w:rsidRDefault="006675AE" w:rsidP="006675AE">
      <w:pPr>
        <w:pStyle w:val="Heading2"/>
      </w:pPr>
      <w:bookmarkStart w:id="6" w:name="_Toc6058594"/>
      <w:r w:rsidRPr="00127064">
        <w:t>Overview</w:t>
      </w:r>
      <w:bookmarkEnd w:id="3"/>
      <w:bookmarkEnd w:id="6"/>
    </w:p>
    <w:p w14:paraId="0CEE2505" w14:textId="77777777" w:rsidR="006675AE" w:rsidRPr="005660AA" w:rsidRDefault="006675AE" w:rsidP="00A417B7">
      <w:pPr>
        <w:spacing w:line="480" w:lineRule="auto"/>
        <w:ind w:firstLine="720"/>
        <w:jc w:val="both"/>
        <w:rPr>
          <w:sz w:val="24"/>
          <w:szCs w:val="24"/>
        </w:rPr>
      </w:pPr>
      <w:r w:rsidRPr="005660AA">
        <w:rPr>
          <w:sz w:val="24"/>
          <w:szCs w:val="24"/>
        </w:rPr>
        <w:t>In temperate climates, winter deaths exceed summer ones. However, there is limited information on how the timing and the relative magnitudes of minimum and maximum mortality, by local climate age group, sex and medical cause of death. We used geo-coded mortality data and wavelets to analyse the seasonality of mortality by age group and sex from 1980 to 2016 in USA and its subnational climatic regions. Death rates in men and women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1990s. In adolescents and young adults, especially in males, death rates peaked in June/July and were lowest in December/January, driven by injury deaths.</w:t>
      </w:r>
    </w:p>
    <w:p w14:paraId="270EFBD2" w14:textId="79B472AD" w:rsidR="006675AE" w:rsidRPr="00127064" w:rsidRDefault="006675AE" w:rsidP="006675AE">
      <w:pPr>
        <w:pStyle w:val="Heading2"/>
      </w:pPr>
      <w:bookmarkStart w:id="7" w:name="_Toc6045007"/>
      <w:bookmarkStart w:id="8" w:name="_Toc6058595"/>
      <w:r w:rsidRPr="00127064">
        <w:t>Introduction</w:t>
      </w:r>
      <w:bookmarkEnd w:id="7"/>
      <w:bookmarkEnd w:id="8"/>
    </w:p>
    <w:p w14:paraId="04DF7A50" w14:textId="77777777" w:rsidR="006675AE" w:rsidRPr="00097CA5" w:rsidRDefault="006675AE" w:rsidP="005B5045">
      <w:pPr>
        <w:spacing w:line="480" w:lineRule="auto"/>
        <w:ind w:firstLine="720"/>
        <w:jc w:val="both"/>
        <w:rPr>
          <w:sz w:val="24"/>
          <w:szCs w:val="24"/>
        </w:rPr>
      </w:pPr>
      <w:r w:rsidRPr="00097CA5">
        <w:rPr>
          <w:sz w:val="24"/>
          <w:szCs w:val="24"/>
        </w:rPr>
        <w:t xml:space="preserve">It is well-established that death rates vary throughout the year, and in temperate climates there tend to be more deaths in winter than in summer </w:t>
      </w:r>
      <w:r w:rsidRPr="00097CA5">
        <w:rPr>
          <w:sz w:val="24"/>
          <w:szCs w:val="24"/>
        </w:rPr>
        <w:fldChar w:fldCharType="begin" w:fldLock="1"/>
      </w:r>
      <w:r w:rsidRPr="00097CA5">
        <w:rPr>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Pr="00097CA5">
        <w:rPr>
          <w:sz w:val="24"/>
          <w:szCs w:val="24"/>
        </w:rPr>
        <w:fldChar w:fldCharType="separate"/>
      </w:r>
      <w:r w:rsidRPr="00097CA5">
        <w:rPr>
          <w:noProof/>
          <w:sz w:val="24"/>
          <w:szCs w:val="24"/>
        </w:rPr>
        <w:t>(Campbell, 2017; Fowler et al., 2015; Healy, 2003; McKee, 1989)</w:t>
      </w:r>
      <w:r w:rsidRPr="00097CA5">
        <w:rPr>
          <w:sz w:val="24"/>
          <w:szCs w:val="24"/>
        </w:rPr>
        <w:fldChar w:fldCharType="end"/>
      </w:r>
      <w:r w:rsidRPr="00097CA5">
        <w:rPr>
          <w:sz w:val="24"/>
          <w:szCs w:val="24"/>
        </w:rPr>
        <w:t xml:space="preserve">. It has therefore been hypothesized that a warmer world may lower winter mortality in temperate climates </w:t>
      </w:r>
      <w:r w:rsidRPr="00097CA5">
        <w:rPr>
          <w:sz w:val="24"/>
          <w:szCs w:val="24"/>
        </w:rPr>
        <w:fldChar w:fldCharType="begin" w:fldLock="1"/>
      </w:r>
      <w:r w:rsidRPr="00097CA5">
        <w:rPr>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Pr="00097CA5">
        <w:rPr>
          <w:sz w:val="24"/>
          <w:szCs w:val="24"/>
        </w:rPr>
        <w:fldChar w:fldCharType="separate"/>
      </w:r>
      <w:r w:rsidRPr="00097CA5">
        <w:rPr>
          <w:noProof/>
          <w:sz w:val="24"/>
          <w:szCs w:val="24"/>
        </w:rPr>
        <w:t>(Langford &amp; Bentham, 1995; Martens, 1998)</w:t>
      </w:r>
      <w:r w:rsidRPr="00097CA5">
        <w:rPr>
          <w:sz w:val="24"/>
          <w:szCs w:val="24"/>
        </w:rPr>
        <w:fldChar w:fldCharType="end"/>
      </w:r>
      <w:r w:rsidRPr="00097CA5">
        <w:rPr>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097CA5">
        <w:rPr>
          <w:sz w:val="24"/>
          <w:szCs w:val="24"/>
        </w:rPr>
        <w:fldChar w:fldCharType="begin" w:fldLock="1"/>
      </w:r>
      <w:r w:rsidRPr="00097CA5">
        <w:rPr>
          <w:sz w:val="24"/>
          <w:szCs w:val="24"/>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Pr="00097CA5">
        <w:rPr>
          <w:sz w:val="24"/>
          <w:szCs w:val="24"/>
        </w:rPr>
        <w:fldChar w:fldCharType="separate"/>
      </w:r>
      <w:r w:rsidRPr="00097CA5">
        <w:rPr>
          <w:noProof/>
          <w:sz w:val="24"/>
          <w:szCs w:val="24"/>
        </w:rPr>
        <w:t>(Davis, Knappenberger, Michaels, &amp; Novicoff, 2004; Ferreira Braga, Zanobetti, &amp; Schwartz, 2001; Kalkstein, 2013; Medina-Ramón &amp; Schwartz, 2007)</w:t>
      </w:r>
      <w:r w:rsidRPr="00097CA5">
        <w:rPr>
          <w:sz w:val="24"/>
          <w:szCs w:val="24"/>
        </w:rPr>
        <w:fldChar w:fldCharType="end"/>
      </w:r>
      <w:r w:rsidRPr="00097CA5">
        <w:rPr>
          <w:sz w:val="24"/>
          <w:szCs w:val="24"/>
        </w:rPr>
        <w:t xml:space="preserve">. The </w:t>
      </w:r>
      <w:r w:rsidRPr="00097CA5">
        <w:rPr>
          <w:sz w:val="24"/>
          <w:szCs w:val="24"/>
        </w:rPr>
        <w:lastRenderedPageBreak/>
        <w:t xml:space="preserve">presence and extent of seasonal variation in mortality may also itself change over time </w:t>
      </w:r>
      <w:r w:rsidRPr="00097CA5">
        <w:rPr>
          <w:sz w:val="24"/>
          <w:szCs w:val="24"/>
        </w:rPr>
        <w:fldChar w:fldCharType="begin" w:fldLock="1"/>
      </w:r>
      <w:r w:rsidRPr="00097CA5">
        <w:rPr>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Pr="00097CA5">
        <w:rPr>
          <w:sz w:val="24"/>
          <w:szCs w:val="24"/>
        </w:rPr>
        <w:fldChar w:fldCharType="separate"/>
      </w:r>
      <w:r w:rsidRPr="00097CA5">
        <w:rPr>
          <w:noProof/>
          <w:sz w:val="24"/>
          <w:szCs w:val="24"/>
        </w:rPr>
        <w:t>(Bobb, Peng, Bell, &amp; Dominici, 2014; Carson, Hajat, Armstrong, &amp; Wilkinson, 2006; Seretakis, 1997; Sheridan, Kalkstein, &amp; Kalkstein, 2009)</w:t>
      </w:r>
      <w:r w:rsidRPr="00097CA5">
        <w:rPr>
          <w:sz w:val="24"/>
          <w:szCs w:val="24"/>
        </w:rPr>
        <w:fldChar w:fldCharType="end"/>
      </w:r>
      <w:r w:rsidRPr="00097CA5">
        <w:rPr>
          <w:sz w:val="24"/>
          <w:szCs w:val="24"/>
        </w:rPr>
        <w:t>.</w:t>
      </w:r>
    </w:p>
    <w:p w14:paraId="0C640C6F" w14:textId="77777777" w:rsidR="006675AE" w:rsidRPr="00097CA5" w:rsidRDefault="006675AE" w:rsidP="005B5045">
      <w:pPr>
        <w:spacing w:line="480" w:lineRule="auto"/>
        <w:ind w:firstLine="720"/>
        <w:jc w:val="both"/>
        <w:rPr>
          <w:sz w:val="24"/>
          <w:szCs w:val="24"/>
        </w:rPr>
      </w:pPr>
      <w:r w:rsidRPr="00097CA5">
        <w:rPr>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097CA5" w:rsidDel="007B3AFF">
        <w:rPr>
          <w:sz w:val="24"/>
          <w:szCs w:val="24"/>
        </w:rPr>
        <w:t xml:space="preserve">Although mortality seasonality is well-established, there is limited information on how </w:t>
      </w:r>
      <w:r w:rsidRPr="00097CA5">
        <w:rPr>
          <w:sz w:val="24"/>
          <w:szCs w:val="24"/>
        </w:rPr>
        <w:t>seasonality, including the timing of minimum and maximum mortality,</w:t>
      </w:r>
      <w:r w:rsidRPr="00097CA5" w:rsidDel="007B3AFF">
        <w:rPr>
          <w:sz w:val="24"/>
          <w:szCs w:val="24"/>
        </w:rPr>
        <w:t xml:space="preserve"> varies by local climate and how </w:t>
      </w:r>
      <w:r w:rsidRPr="00097CA5">
        <w:rPr>
          <w:sz w:val="24"/>
          <w:szCs w:val="24"/>
        </w:rPr>
        <w:t>these features</w:t>
      </w:r>
      <w:r w:rsidRPr="00097CA5" w:rsidDel="007B3AFF">
        <w:rPr>
          <w:sz w:val="24"/>
          <w:szCs w:val="24"/>
        </w:rPr>
        <w:t xml:space="preserve"> ha</w:t>
      </w:r>
      <w:r w:rsidRPr="00097CA5">
        <w:rPr>
          <w:sz w:val="24"/>
          <w:szCs w:val="24"/>
        </w:rPr>
        <w:t>ve</w:t>
      </w:r>
      <w:r w:rsidRPr="00097CA5" w:rsidDel="007B3AFF">
        <w:rPr>
          <w:sz w:val="24"/>
          <w:szCs w:val="24"/>
        </w:rPr>
        <w:t xml:space="preserve"> changed over time, especially in relation to age</w:t>
      </w:r>
      <w:r w:rsidRPr="00097CA5">
        <w:rPr>
          <w:sz w:val="24"/>
          <w:szCs w:val="24"/>
        </w:rPr>
        <w:t xml:space="preserve"> </w:t>
      </w:r>
      <w:r w:rsidRPr="00097CA5" w:rsidDel="007B3AFF">
        <w:rPr>
          <w:sz w:val="24"/>
          <w:szCs w:val="24"/>
        </w:rPr>
        <w:t>group, sex and medical cause of death</w:t>
      </w:r>
      <w:r w:rsidRPr="00097CA5">
        <w:rPr>
          <w:sz w:val="24"/>
          <w:szCs w:val="24"/>
        </w:rPr>
        <w:t xml:space="preserve"> </w:t>
      </w:r>
      <w:r w:rsidRPr="00097CA5">
        <w:rPr>
          <w:sz w:val="24"/>
          <w:szCs w:val="24"/>
        </w:rPr>
        <w:fldChar w:fldCharType="begin" w:fldLock="1"/>
      </w:r>
      <w:r w:rsidRPr="00097CA5">
        <w:rPr>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Pr="00097CA5">
        <w:rPr>
          <w:sz w:val="24"/>
          <w:szCs w:val="24"/>
        </w:rPr>
        <w:fldChar w:fldCharType="separate"/>
      </w:r>
      <w:r w:rsidRPr="00097CA5">
        <w:rPr>
          <w:noProof/>
          <w:sz w:val="24"/>
          <w:szCs w:val="24"/>
        </w:rPr>
        <w:t>(Rau, 2004; Rau, Bohk-Ewald, Muszyńska, &amp; Vaupel, 2018)</w:t>
      </w:r>
      <w:r w:rsidRPr="00097CA5">
        <w:rPr>
          <w:sz w:val="24"/>
          <w:szCs w:val="24"/>
        </w:rPr>
        <w:fldChar w:fldCharType="end"/>
      </w:r>
      <w:r w:rsidRPr="00097CA5">
        <w:rPr>
          <w:sz w:val="24"/>
          <w:szCs w:val="24"/>
        </w:rPr>
        <w:t>.</w:t>
      </w:r>
    </w:p>
    <w:p w14:paraId="753DA8BB" w14:textId="77777777" w:rsidR="006675AE" w:rsidRPr="00097CA5" w:rsidRDefault="006675AE" w:rsidP="00850C55">
      <w:pPr>
        <w:spacing w:line="480" w:lineRule="auto"/>
        <w:ind w:firstLine="720"/>
        <w:jc w:val="both"/>
        <w:rPr>
          <w:sz w:val="24"/>
          <w:szCs w:val="24"/>
        </w:rPr>
      </w:pPr>
      <w:r w:rsidRPr="00097CA5">
        <w:rPr>
          <w:sz w:val="24"/>
          <w:szCs w:val="24"/>
        </w:rPr>
        <w:t xml:space="preserve">Here,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Pr="00097CA5">
        <w:rPr>
          <w:sz w:val="24"/>
          <w:szCs w:val="24"/>
        </w:rPr>
        <w:fldChar w:fldCharType="begin" w:fldLock="1"/>
      </w:r>
      <w:r w:rsidRPr="00097CA5">
        <w:rPr>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Pr="00097CA5">
        <w:rPr>
          <w:sz w:val="24"/>
          <w:szCs w:val="24"/>
        </w:rPr>
        <w:fldChar w:fldCharType="separate"/>
      </w:r>
      <w:r w:rsidRPr="00097CA5">
        <w:rPr>
          <w:noProof/>
          <w:sz w:val="24"/>
          <w:szCs w:val="24"/>
        </w:rPr>
        <w:t>(Moy, Seltzer, Rodbell, &amp; Anderson, 2002)</w:t>
      </w:r>
      <w:r w:rsidRPr="00097CA5">
        <w:rPr>
          <w:sz w:val="24"/>
          <w:szCs w:val="24"/>
        </w:rPr>
        <w:fldChar w:fldCharType="end"/>
      </w:r>
      <w:r w:rsidRPr="00097CA5">
        <w:rPr>
          <w:sz w:val="24"/>
          <w:szCs w:val="24"/>
        </w:rPr>
        <w:t xml:space="preserve"> and infectious diseases </w:t>
      </w:r>
      <w:r w:rsidRPr="00097CA5">
        <w:rPr>
          <w:sz w:val="24"/>
          <w:szCs w:val="24"/>
        </w:rPr>
        <w:fldChar w:fldCharType="begin" w:fldLock="1"/>
      </w:r>
      <w:r w:rsidRPr="00097CA5">
        <w:rPr>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Pr="00097CA5">
        <w:rPr>
          <w:sz w:val="24"/>
          <w:szCs w:val="24"/>
        </w:rPr>
        <w:fldChar w:fldCharType="separate"/>
      </w:r>
      <w:r w:rsidRPr="00097CA5">
        <w:rPr>
          <w:noProof/>
          <w:sz w:val="24"/>
          <w:szCs w:val="24"/>
        </w:rPr>
        <w:t>(Grenfell, Bjørnstad, &amp; Kappey, 2001)</w:t>
      </w:r>
      <w:r w:rsidRPr="00097CA5">
        <w:rPr>
          <w:sz w:val="24"/>
          <w:szCs w:val="24"/>
        </w:rPr>
        <w:fldChar w:fldCharType="end"/>
      </w:r>
      <w:r w:rsidRPr="00097CA5">
        <w:rPr>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597F06CB" w14:textId="2BF39514" w:rsidR="006675AE" w:rsidRPr="00127064" w:rsidRDefault="006675AE" w:rsidP="006675AE">
      <w:pPr>
        <w:pStyle w:val="Heading2"/>
      </w:pPr>
      <w:bookmarkStart w:id="9" w:name="_Toc6045008"/>
      <w:bookmarkStart w:id="10" w:name="_Toc6058596"/>
      <w:r w:rsidRPr="00127064">
        <w:t>Data</w:t>
      </w:r>
      <w:bookmarkEnd w:id="9"/>
      <w:bookmarkEnd w:id="10"/>
    </w:p>
    <w:p w14:paraId="506A11FD" w14:textId="77777777" w:rsidR="00CB44F1" w:rsidRDefault="006675AE" w:rsidP="00CB44F1">
      <w:pPr>
        <w:spacing w:line="480" w:lineRule="auto"/>
        <w:ind w:firstLine="720"/>
        <w:jc w:val="both"/>
        <w:rPr>
          <w:sz w:val="24"/>
          <w:szCs w:val="24"/>
        </w:rPr>
      </w:pPr>
      <w:bookmarkStart w:id="11" w:name="OLE_LINK1"/>
      <w:bookmarkStart w:id="12" w:name="OLE_LINK2"/>
      <w:r w:rsidRPr="00097CA5">
        <w:rPr>
          <w:rStyle w:val="apple-style-span"/>
          <w:sz w:val="24"/>
          <w:szCs w:val="24"/>
        </w:rPr>
        <w:t xml:space="preserve">We used data on all </w:t>
      </w:r>
      <w:r w:rsidR="001A7E97" w:rsidRPr="00755632">
        <w:rPr>
          <w:sz w:val="24"/>
          <w:szCs w:val="24"/>
        </w:rPr>
        <w:t xml:space="preserve">85,453,845 deaths in the contiguous </w:t>
      </w:r>
      <w:r w:rsidR="001A7E97">
        <w:rPr>
          <w:sz w:val="24"/>
          <w:szCs w:val="24"/>
        </w:rPr>
        <w:t xml:space="preserve">United States (i.e., excluding Alaska and Hawaii) </w:t>
      </w:r>
      <w:r w:rsidRPr="00097CA5">
        <w:rPr>
          <w:rStyle w:val="apple-style-span"/>
          <w:sz w:val="24"/>
          <w:szCs w:val="24"/>
        </w:rPr>
        <w:t>from 1980 to 2016 from the National Center for Health Statistics (NCHS)</w:t>
      </w:r>
      <w:r w:rsidR="009549BD">
        <w:rPr>
          <w:rStyle w:val="FootnoteReference"/>
          <w:sz w:val="24"/>
          <w:szCs w:val="24"/>
        </w:rPr>
        <w:footnoteReference w:id="1"/>
      </w:r>
      <w:r w:rsidRPr="00097CA5">
        <w:rPr>
          <w:rStyle w:val="apple-style-span"/>
          <w:sz w:val="24"/>
          <w:szCs w:val="24"/>
        </w:rPr>
        <w:t xml:space="preserve">. </w:t>
      </w:r>
      <w:r w:rsidRPr="00097CA5">
        <w:rPr>
          <w:sz w:val="24"/>
          <w:szCs w:val="24"/>
        </w:rPr>
        <w:lastRenderedPageBreak/>
        <w:t>Age, sex, state of residence, month of death, and underlying cause of death were available for each record. The underlying cause of death was coded according to the international classification of diseases (ICD) system (9</w:t>
      </w:r>
      <w:r w:rsidRPr="00097CA5">
        <w:rPr>
          <w:sz w:val="24"/>
          <w:szCs w:val="24"/>
          <w:vertAlign w:val="superscript"/>
        </w:rPr>
        <w:t>th</w:t>
      </w:r>
      <w:r w:rsidRPr="00097CA5">
        <w:rPr>
          <w:sz w:val="24"/>
          <w:szCs w:val="24"/>
        </w:rPr>
        <w:t xml:space="preserve"> revision of ICD from 1980 to 1998 and 10</w:t>
      </w:r>
      <w:r w:rsidRPr="00097CA5">
        <w:rPr>
          <w:sz w:val="24"/>
          <w:szCs w:val="24"/>
          <w:vertAlign w:val="superscript"/>
        </w:rPr>
        <w:t>th</w:t>
      </w:r>
      <w:r w:rsidRPr="00097CA5">
        <w:rPr>
          <w:sz w:val="24"/>
          <w:szCs w:val="24"/>
        </w:rPr>
        <w:t xml:space="preserve"> revision of ICD thereafter). Yearly population counts were available from NCHS for 1990 to 2016 and from the US Census Bureau prior to 1990 </w:t>
      </w:r>
      <w:r w:rsidRPr="00097CA5">
        <w:rPr>
          <w:sz w:val="24"/>
          <w:szCs w:val="24"/>
        </w:rPr>
        <w:fldChar w:fldCharType="begin" w:fldLock="1"/>
      </w:r>
      <w:r w:rsidRPr="00097CA5">
        <w:rPr>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Pr="00097CA5">
        <w:rPr>
          <w:sz w:val="24"/>
          <w:szCs w:val="24"/>
        </w:rPr>
        <w:fldChar w:fldCharType="separate"/>
      </w:r>
      <w:r w:rsidRPr="00097CA5">
        <w:rPr>
          <w:noProof/>
          <w:sz w:val="24"/>
          <w:szCs w:val="24"/>
        </w:rPr>
        <w:t>(Ingram et al., 2003)</w:t>
      </w:r>
      <w:r w:rsidRPr="00097CA5">
        <w:rPr>
          <w:sz w:val="24"/>
          <w:szCs w:val="24"/>
        </w:rPr>
        <w:fldChar w:fldCharType="end"/>
      </w:r>
      <w:r w:rsidRPr="00097CA5">
        <w:rPr>
          <w:sz w:val="24"/>
          <w:szCs w:val="24"/>
        </w:rPr>
        <w:t xml:space="preserve">. We calculated monthly population counts through linear interpolation, assigning each yearly count to July. </w:t>
      </w:r>
    </w:p>
    <w:p w14:paraId="6C31D3F0" w14:textId="33A51D49" w:rsidR="006675AE" w:rsidRPr="00097CA5" w:rsidRDefault="006675AE" w:rsidP="00CB44F1">
      <w:pPr>
        <w:spacing w:line="480" w:lineRule="auto"/>
        <w:ind w:firstLine="720"/>
        <w:jc w:val="both"/>
        <w:rPr>
          <w:sz w:val="24"/>
          <w:szCs w:val="24"/>
        </w:rPr>
      </w:pPr>
      <w:r w:rsidRPr="00097CA5">
        <w:rPr>
          <w:sz w:val="24"/>
          <w:szCs w:val="24"/>
        </w:rPr>
        <w:t>We also subdivided the national data geographically into nine climate regions used by the National Oceanic and Atmospheric Administration</w:t>
      </w:r>
      <w:r w:rsidR="00CB44F1">
        <w:rPr>
          <w:sz w:val="24"/>
          <w:szCs w:val="24"/>
        </w:rPr>
        <w:t xml:space="preserve"> </w:t>
      </w:r>
      <w:r w:rsidRPr="00097CA5">
        <w:rPr>
          <w:sz w:val="24"/>
          <w:szCs w:val="24"/>
        </w:rPr>
        <w:fldChar w:fldCharType="begin" w:fldLock="1"/>
      </w:r>
      <w:r w:rsidRPr="00097CA5">
        <w:rPr>
          <w:sz w:val="24"/>
          <w:szCs w:val="24"/>
        </w:rP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097CA5">
        <w:rPr>
          <w:sz w:val="24"/>
          <w:szCs w:val="24"/>
        </w:rPr>
        <w:fldChar w:fldCharType="separate"/>
      </w:r>
      <w:r w:rsidRPr="00097CA5">
        <w:rPr>
          <w:noProof/>
          <w:sz w:val="24"/>
          <w:szCs w:val="24"/>
        </w:rPr>
        <w:t>(Karl &amp; Koss, 1984)</w:t>
      </w:r>
      <w:r w:rsidRPr="00097CA5">
        <w:rPr>
          <w:sz w:val="24"/>
          <w:szCs w:val="24"/>
        </w:rPr>
        <w:fldChar w:fldCharType="end"/>
      </w:r>
      <w:r w:rsidRPr="00097CA5">
        <w:rPr>
          <w:sz w:val="24"/>
          <w:szCs w:val="24"/>
        </w:rPr>
        <w:t xml:space="preserve">. </w:t>
      </w:r>
      <w:r w:rsidR="00CB44F1">
        <w:rPr>
          <w:sz w:val="24"/>
          <w:szCs w:val="24"/>
        </w:rPr>
        <w:t xml:space="preserve">Further details of the characteristics of the climate regions are available in </w:t>
      </w:r>
      <w:r w:rsidR="00CB44F1" w:rsidRPr="00097CA5">
        <w:rPr>
          <w:sz w:val="24"/>
          <w:szCs w:val="24"/>
        </w:rPr>
        <w:t xml:space="preserve">Figure </w:t>
      </w:r>
      <w:r w:rsidR="00CB44F1">
        <w:rPr>
          <w:sz w:val="24"/>
          <w:szCs w:val="24"/>
        </w:rPr>
        <w:t xml:space="preserve">XX </w:t>
      </w:r>
      <w:r w:rsidR="00CB44F1" w:rsidRPr="00097CA5">
        <w:rPr>
          <w:sz w:val="24"/>
          <w:szCs w:val="24"/>
        </w:rPr>
        <w:t xml:space="preserve">and Table </w:t>
      </w:r>
      <w:r w:rsidR="00CB44F1">
        <w:rPr>
          <w:sz w:val="24"/>
          <w:szCs w:val="24"/>
        </w:rPr>
        <w:t>XX in Chapter XX</w:t>
      </w:r>
      <w:r w:rsidR="00CB44F1">
        <w:rPr>
          <w:sz w:val="24"/>
          <w:szCs w:val="24"/>
        </w:rPr>
        <w:t>.</w:t>
      </w:r>
    </w:p>
    <w:p w14:paraId="4E9C904D" w14:textId="0CE37AE5" w:rsidR="006675AE" w:rsidRPr="00097CA5" w:rsidRDefault="006675AE" w:rsidP="003E674E">
      <w:pPr>
        <w:spacing w:line="480" w:lineRule="auto"/>
        <w:ind w:firstLine="720"/>
        <w:jc w:val="both"/>
        <w:rPr>
          <w:sz w:val="24"/>
          <w:szCs w:val="24"/>
        </w:rPr>
      </w:pPr>
      <w:r w:rsidRPr="00097CA5">
        <w:rPr>
          <w:sz w:val="24"/>
          <w:szCs w:val="24"/>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bookmarkEnd w:id="11"/>
      <w:bookmarkEnd w:id="12"/>
    </w:p>
    <w:p w14:paraId="6758CC63" w14:textId="47C36BA1" w:rsidR="006675AE" w:rsidRPr="00097CA5" w:rsidRDefault="006675AE" w:rsidP="005660AA">
      <w:pPr>
        <w:spacing w:line="480" w:lineRule="auto"/>
        <w:jc w:val="both"/>
        <w:rPr>
          <w:sz w:val="24"/>
          <w:szCs w:val="24"/>
        </w:rPr>
      </w:pPr>
      <w:r w:rsidRPr="00097CA5">
        <w:rPr>
          <w:sz w:val="24"/>
          <w:szCs w:val="24"/>
        </w:rPr>
        <w:t xml:space="preserve">For analysis of seasonality by cause of death, we mapped each ICD-9 and ICD-10 codes to four main disease categories (Table </w:t>
      </w:r>
      <w:r w:rsidR="00093415">
        <w:rPr>
          <w:sz w:val="24"/>
          <w:szCs w:val="24"/>
        </w:rPr>
        <w:t>XX</w:t>
      </w:r>
      <w:r w:rsidR="00C63CC4">
        <w:rPr>
          <w:sz w:val="24"/>
          <w:szCs w:val="24"/>
        </w:rPr>
        <w:t>)</w:t>
      </w:r>
      <w:r w:rsidRPr="00097CA5">
        <w:rPr>
          <w:sz w:val="24"/>
          <w:szCs w:val="24"/>
        </w:rPr>
        <w:t xml:space="preserve"> and to a number of subcategories. Deaths from cardiorespiratory diseases have been associated with cold and warm temperatures </w:t>
      </w:r>
      <w:r w:rsidRPr="00097CA5">
        <w:rPr>
          <w:sz w:val="24"/>
          <w:szCs w:val="24"/>
        </w:rPr>
        <w:fldChar w:fldCharType="begin" w:fldLock="1"/>
      </w:r>
      <w:r w:rsidRPr="00097CA5">
        <w:rPr>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Pr="00097CA5">
        <w:rPr>
          <w:sz w:val="24"/>
          <w:szCs w:val="24"/>
        </w:rPr>
        <w:fldChar w:fldCharType="separate"/>
      </w:r>
      <w:r w:rsidRPr="00097CA5">
        <w:rPr>
          <w:noProof/>
          <w:sz w:val="24"/>
          <w:szCs w:val="24"/>
        </w:rPr>
        <w:t>(Basu, 2009; Basu &amp; Samet, 2002; Bennett, Blangiardo, Fecht, Elliott, &amp; Ezzati, 2014; Braga, Zanobetti, &amp; Schwartz, 2002; Gasparrini et al., 2015)</w:t>
      </w:r>
      <w:r w:rsidRPr="00097CA5">
        <w:rPr>
          <w:sz w:val="24"/>
          <w:szCs w:val="24"/>
        </w:rPr>
        <w:fldChar w:fldCharType="end"/>
      </w:r>
      <w:r w:rsidRPr="00097CA5">
        <w:rPr>
          <w:sz w:val="24"/>
          <w:szCs w:val="24"/>
        </w:rPr>
        <w:t xml:space="preserve">. Injuries, which accounted for 8% of all deaths in the USA in 1980 and 7.3% in 2016, may have seasonality that is distinct from so-called natural causes. We did not further divide other causes because the number of deaths </w:t>
      </w:r>
      <w:r w:rsidRPr="00097CA5">
        <w:rPr>
          <w:sz w:val="24"/>
          <w:szCs w:val="24"/>
        </w:rPr>
        <w:lastRenderedPageBreak/>
        <w:t>could become too small to allow stable estimates when divided by age group, sex and climate region.</w:t>
      </w:r>
    </w:p>
    <w:p w14:paraId="54A5D9D1" w14:textId="11730E16" w:rsidR="006675AE" w:rsidRPr="00097CA5" w:rsidRDefault="006675AE" w:rsidP="008B6170">
      <w:pPr>
        <w:spacing w:line="480" w:lineRule="auto"/>
        <w:ind w:firstLine="720"/>
        <w:jc w:val="both"/>
        <w:rPr>
          <w:sz w:val="24"/>
          <w:szCs w:val="24"/>
        </w:rPr>
      </w:pPr>
      <w:r w:rsidRPr="00097CA5">
        <w:rPr>
          <w:sz w:val="24"/>
          <w:szCs w:val="24"/>
        </w:rPr>
        <w:t xml:space="preserve">We obtained data on temperature from ERA-Interim, which combines predictions from a physical model with ground-based and satellite measurements </w:t>
      </w:r>
      <w:r w:rsidRPr="00097CA5">
        <w:rPr>
          <w:sz w:val="24"/>
          <w:szCs w:val="24"/>
        </w:rPr>
        <w:fldChar w:fldCharType="begin" w:fldLock="1"/>
      </w:r>
      <w:r w:rsidRPr="00097CA5">
        <w:rPr>
          <w:sz w:val="24"/>
          <w:szCs w:val="24"/>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097CA5">
        <w:rPr>
          <w:sz w:val="24"/>
          <w:szCs w:val="24"/>
        </w:rPr>
        <w:fldChar w:fldCharType="separate"/>
      </w:r>
      <w:r w:rsidRPr="00097CA5">
        <w:rPr>
          <w:noProof/>
          <w:sz w:val="24"/>
          <w:szCs w:val="24"/>
        </w:rPr>
        <w:t>(Dee et al., 2011)</w:t>
      </w:r>
      <w:r w:rsidRPr="00097CA5">
        <w:rPr>
          <w:sz w:val="24"/>
          <w:szCs w:val="24"/>
        </w:rPr>
        <w:fldChar w:fldCharType="end"/>
      </w:r>
      <w:r w:rsidRPr="00097CA5">
        <w:rPr>
          <w:sz w:val="24"/>
          <w:szCs w:val="24"/>
        </w:rPr>
        <w:t>. We used gridded four-times-daily estimates at a resolution of 80km to generate monthly population-weighted temperature by climate region throughout the analysis period.</w:t>
      </w:r>
      <w:r w:rsidR="008B6170">
        <w:rPr>
          <w:sz w:val="24"/>
          <w:szCs w:val="24"/>
        </w:rPr>
        <w:t xml:space="preserve"> Further details about ERA-Interim and reanalysis can be found in Chapter XX.</w:t>
      </w:r>
    </w:p>
    <w:p w14:paraId="79A1F752" w14:textId="395E64C3" w:rsidR="006675AE" w:rsidRPr="00127064" w:rsidRDefault="006675AE" w:rsidP="006675AE">
      <w:pPr>
        <w:pStyle w:val="Heading2"/>
      </w:pPr>
      <w:bookmarkStart w:id="13" w:name="_Toc6045009"/>
      <w:bookmarkStart w:id="14" w:name="_Toc6058597"/>
      <w:r w:rsidRPr="00127064">
        <w:t>Statistical methods</w:t>
      </w:r>
      <w:bookmarkEnd w:id="13"/>
      <w:bookmarkEnd w:id="14"/>
    </w:p>
    <w:p w14:paraId="559A012B" w14:textId="77777777" w:rsidR="006675AE" w:rsidRPr="00097CA5" w:rsidRDefault="006675AE" w:rsidP="00BB56D1">
      <w:pPr>
        <w:pStyle w:val="CommentText"/>
        <w:spacing w:line="480" w:lineRule="auto"/>
        <w:ind w:firstLine="720"/>
        <w:jc w:val="both"/>
        <w:rPr>
          <w:rFonts w:ascii="Calibri" w:hAnsi="Calibri" w:cs="Times New Roman"/>
          <w:sz w:val="24"/>
          <w:szCs w:val="24"/>
        </w:rPr>
      </w:pPr>
      <w:bookmarkStart w:id="15" w:name="_GoBack"/>
      <w:bookmarkEnd w:id="15"/>
      <w:r w:rsidRPr="00097CA5">
        <w:rPr>
          <w:sz w:val="24"/>
          <w:szCs w:val="24"/>
        </w:rPr>
        <w:t>We used wavelet analysis to investigate seasonality for each age-sex group. Wavelet analysis uncovers the presence, and frequency, of repeated maxima and minima in each age-sex-specific death rate time</w:t>
      </w:r>
      <w:r w:rsidRPr="00097CA5">
        <w:rPr>
          <w:rFonts w:ascii="Calibri" w:hAnsi="Calibri" w:cs="Times New Roman"/>
          <w:sz w:val="24"/>
          <w:szCs w:val="24"/>
        </w:rPr>
        <w:t xml:space="preserve"> series </w:t>
      </w:r>
      <w:r w:rsidRPr="00097CA5">
        <w:rPr>
          <w:rFonts w:ascii="Calibri" w:hAnsi="Calibri" w:cs="Times New Roman"/>
          <w:sz w:val="24"/>
          <w:szCs w:val="24"/>
        </w:rPr>
        <w:fldChar w:fldCharType="begin" w:fldLock="1"/>
      </w:r>
      <w:r w:rsidRPr="00097CA5">
        <w:rPr>
          <w:rFonts w:ascii="Calibri" w:hAnsi="Calibri" w:cs="Times New Roman"/>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Pr="00097CA5">
        <w:rPr>
          <w:rFonts w:ascii="Calibri" w:hAnsi="Calibri" w:cs="Times New Roman"/>
          <w:sz w:val="24"/>
          <w:szCs w:val="24"/>
        </w:rPr>
        <w:fldChar w:fldCharType="separate"/>
      </w:r>
      <w:r w:rsidRPr="00097CA5">
        <w:rPr>
          <w:rFonts w:ascii="Calibri" w:hAnsi="Calibri" w:cs="Times New Roman"/>
          <w:noProof/>
          <w:sz w:val="24"/>
          <w:szCs w:val="24"/>
        </w:rPr>
        <w:t>(Hubbard, 1998; Torrence &amp; Compo, 1998)</w:t>
      </w:r>
      <w:r w:rsidRPr="00097CA5">
        <w:rPr>
          <w:rFonts w:ascii="Calibri" w:hAnsi="Calibri" w:cs="Times New Roman"/>
          <w:sz w:val="24"/>
          <w:szCs w:val="24"/>
        </w:rPr>
        <w:fldChar w:fldCharType="end"/>
      </w:r>
      <w:r w:rsidRPr="00097CA5">
        <w:rPr>
          <w:rFonts w:ascii="Calibri" w:hAnsi="Calibri" w:cs="Times New Roman"/>
          <w:sz w:val="24"/>
          <w:szCs w:val="24"/>
        </w:rPr>
        <w:t xml:space="preserve">. In brief, a Morlet wavelet, described in detail elsewhere </w:t>
      </w:r>
      <w:r w:rsidRPr="00097CA5">
        <w:rPr>
          <w:rFonts w:ascii="Calibri" w:hAnsi="Calibri" w:cs="Times New Roman"/>
          <w:sz w:val="24"/>
          <w:szCs w:val="24"/>
        </w:rPr>
        <w:fldChar w:fldCharType="begin" w:fldLock="1"/>
      </w:r>
      <w:r w:rsidRPr="00097CA5">
        <w:rPr>
          <w:rFonts w:ascii="Calibri" w:hAnsi="Calibri" w:cs="Times New Roman"/>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097CA5">
        <w:rPr>
          <w:rFonts w:ascii="Calibri" w:hAnsi="Calibri" w:cs="Times New Roman"/>
          <w:sz w:val="24"/>
          <w:szCs w:val="24"/>
        </w:rPr>
        <w:fldChar w:fldCharType="separate"/>
      </w:r>
      <w:r w:rsidRPr="00097CA5">
        <w:rPr>
          <w:rFonts w:ascii="Calibri" w:hAnsi="Calibri" w:cs="Times New Roman"/>
          <w:noProof/>
          <w:sz w:val="24"/>
          <w:szCs w:val="24"/>
        </w:rPr>
        <w:t>(Cazelles et al., 2008)</w:t>
      </w:r>
      <w:r w:rsidRPr="00097CA5">
        <w:rPr>
          <w:rFonts w:ascii="Calibri" w:hAnsi="Calibri" w:cs="Times New Roman"/>
          <w:sz w:val="24"/>
          <w:szCs w:val="24"/>
        </w:rPr>
        <w:fldChar w:fldCharType="end"/>
      </w:r>
      <w:r w:rsidRPr="00097CA5">
        <w:rPr>
          <w:rFonts w:ascii="Calibri" w:hAnsi="Calibri" w:cs="Times New Roman"/>
          <w:sz w:val="24"/>
          <w:szCs w:val="24"/>
        </w:rPr>
        <w:t xml:space="preserve">, is equivalent to using a moving window on the death rate time series and analysing periodicity in each window using a short-form Fourier transform, hence generating a dynamic spectral analysis, which allows measuring dynamic seasonal patterns, in which the periodicity of death rates may disappear, emerge, or change over time. In addition to coefficients that measure the frequency of periodicity, wavelet analysis estimates the probability of whether the data are different from the null situation of random fluctuations that can be represented with white (an independent random process) or red (autoregressive of order 1 process) noise.  For each age-sex group, we calculated the p-values of the presence of 12-month seasonality for the comparison of wavelet power spectra of the entire study period (1980-2016) with 100 simulations against a white noise spectrum, which represents random fluctuations. We used the R package WaveletComp (version 1.0) for the wavelet analysis. Before analysis, we de-trended death </w:t>
      </w:r>
      <w:r w:rsidRPr="00097CA5">
        <w:rPr>
          <w:rFonts w:ascii="Calibri" w:hAnsi="Calibri" w:cs="Times New Roman"/>
          <w:sz w:val="24"/>
          <w:szCs w:val="24"/>
        </w:rPr>
        <w:lastRenderedPageBreak/>
        <w:t>rates using a polynomial regression, and rescaled each death rate time series so as to range between 1 and -1.</w:t>
      </w:r>
    </w:p>
    <w:p w14:paraId="102BBC8B" w14:textId="0135AC72" w:rsidR="006675AE" w:rsidRPr="00097CA5" w:rsidRDefault="006675AE" w:rsidP="005660AA">
      <w:pPr>
        <w:spacing w:line="480" w:lineRule="auto"/>
        <w:jc w:val="both"/>
        <w:rPr>
          <w:noProof/>
          <w:sz w:val="24"/>
          <w:szCs w:val="24"/>
        </w:rPr>
      </w:pPr>
      <w:r w:rsidRPr="00097CA5">
        <w:rPr>
          <w:sz w:val="24"/>
          <w:szCs w:val="24"/>
        </w:rPr>
        <w:t xml:space="preserve">To identify the months of maximum and minimum death rates, we calculated the centre of gravity and the negative centre of gravity of monthly death rates. Centre of gravity was calculated as a weighted average of months of deaths, with each month weighted by its death rate; negative centre of gravity was also calculated as a weighted average of months of deaths, but with each month was weighted by the difference between its death rate and the year’s maximum death rate. In taking the weighted average, we allowed </w:t>
      </w:r>
      <w:r w:rsidRPr="00097CA5">
        <w:rPr>
          <w:noProof/>
          <w:sz w:val="24"/>
          <w:szCs w:val="24"/>
        </w:rPr>
        <w:t xml:space="preserve">December (month 12) to neighbour January (month 1), representing each month by an angle subtended from 12 equally-spaced points around a unit circle. Using a technique called circular statistics, a mean </w:t>
      </w:r>
      <m:oMath>
        <m:r>
          <w:rPr>
            <w:rFonts w:ascii="Cambria Math" w:eastAsiaTheme="minorEastAsia" w:hAnsi="Cambria Math"/>
            <w:noProof/>
            <w:sz w:val="24"/>
            <w:szCs w:val="24"/>
          </w:rPr>
          <m:t>(</m:t>
        </m:r>
        <m:acc>
          <m:accPr>
            <m:chr m:val="̅"/>
            <m:ctrlPr>
              <w:rPr>
                <w:rFonts w:ascii="Cambria Math" w:hAnsi="Cambria Math"/>
                <w:i/>
                <w:noProof/>
                <w:sz w:val="24"/>
                <w:szCs w:val="24"/>
              </w:rPr>
            </m:ctrlPr>
          </m:accPr>
          <m:e>
            <m:r>
              <w:rPr>
                <w:rFonts w:ascii="Cambria Math" w:hAnsi="Cambria Math"/>
                <w:noProof/>
                <w:sz w:val="24"/>
                <w:szCs w:val="24"/>
              </w:rPr>
              <m:t>θ</m:t>
            </m:r>
          </m:e>
        </m:acc>
        <m:r>
          <w:rPr>
            <w:rFonts w:ascii="Cambria Math" w:hAnsi="Cambria Math"/>
            <w:noProof/>
            <w:sz w:val="24"/>
            <w:szCs w:val="24"/>
          </w:rPr>
          <m:t>)</m:t>
        </m:r>
      </m:oMath>
      <w:r w:rsidRPr="00097CA5">
        <w:rPr>
          <w:noProof/>
          <w:sz w:val="24"/>
          <w:szCs w:val="24"/>
        </w:rPr>
        <w:t>of the angles (</w:t>
      </w:r>
      <m:oMath>
        <m:sSub>
          <m:sSubPr>
            <m:ctrlPr>
              <w:rPr>
                <w:rFonts w:ascii="Cambria Math" w:hAnsi="Cambria Math"/>
                <w:i/>
                <w:noProof/>
                <w:sz w:val="24"/>
                <w:szCs w:val="24"/>
              </w:rPr>
            </m:ctrlPr>
          </m:sSubPr>
          <m:e>
            <m:r>
              <w:rPr>
                <w:rFonts w:ascii="Cambria Math" w:hAnsi="Cambria Math"/>
                <w:noProof/>
                <w:sz w:val="24"/>
                <w:szCs w:val="24"/>
              </w:rPr>
              <m:t>θ</m:t>
            </m:r>
          </m:e>
          <m:sub>
            <m:r>
              <w:rPr>
                <w:rFonts w:ascii="Cambria Math" w:hAnsi="Cambria Math"/>
                <w:noProof/>
                <w:sz w:val="24"/>
                <w:szCs w:val="24"/>
              </w:rPr>
              <m:t>1</m:t>
            </m:r>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θ</m:t>
            </m:r>
          </m:e>
          <m:sub>
            <m:r>
              <w:rPr>
                <w:rFonts w:ascii="Cambria Math" w:hAnsi="Cambria Math"/>
                <w:noProof/>
                <w:sz w:val="24"/>
                <w:szCs w:val="24"/>
              </w:rPr>
              <m:t>2</m:t>
            </m:r>
          </m:sub>
        </m:sSub>
        <m:sSub>
          <m:sSubPr>
            <m:ctrlPr>
              <w:rPr>
                <w:rFonts w:ascii="Cambria Math" w:hAnsi="Cambria Math"/>
                <w:i/>
                <w:noProof/>
                <w:sz w:val="24"/>
                <w:szCs w:val="24"/>
              </w:rPr>
            </m:ctrlPr>
          </m:sSubPr>
          <m:e>
            <m:r>
              <w:rPr>
                <w:rFonts w:ascii="Cambria Math" w:hAnsi="Cambria Math"/>
                <w:noProof/>
                <w:sz w:val="24"/>
                <w:szCs w:val="24"/>
              </w:rPr>
              <m:t>,θ</m:t>
            </m:r>
          </m:e>
          <m:sub>
            <m:r>
              <w:rPr>
                <w:rFonts w:ascii="Cambria Math" w:hAnsi="Cambria Math"/>
                <w:noProof/>
                <w:sz w:val="24"/>
                <w:szCs w:val="24"/>
              </w:rPr>
              <m:t>3</m:t>
            </m:r>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,θ</m:t>
            </m:r>
          </m:e>
          <m:sub>
            <m:r>
              <w:rPr>
                <w:rFonts w:ascii="Cambria Math" w:hAnsi="Cambria Math"/>
                <w:noProof/>
                <w:sz w:val="24"/>
                <w:szCs w:val="24"/>
              </w:rPr>
              <m:t>n,</m:t>
            </m:r>
          </m:sub>
        </m:sSub>
      </m:oMath>
      <w:r w:rsidRPr="00097CA5">
        <w:rPr>
          <w:noProof/>
          <w:sz w:val="24"/>
          <w:szCs w:val="24"/>
        </w:rPr>
        <w:t xml:space="preserve">) representing the deaths (with n the total number of deaths in an age-sex group for a particular cause of death) is found using the relation </w:t>
      </w:r>
      <w:r w:rsidR="00F52118" w:rsidRPr="00097CA5">
        <w:rPr>
          <w:noProof/>
          <w:sz w:val="24"/>
          <w:szCs w:val="24"/>
        </w:rPr>
        <w:t xml:space="preserve">in </w:t>
      </w:r>
      <w:r w:rsidR="006E6706" w:rsidRPr="00097CA5">
        <w:rPr>
          <w:noProof/>
          <w:sz w:val="24"/>
          <w:szCs w:val="24"/>
        </w:rPr>
        <w:fldChar w:fldCharType="begin"/>
      </w:r>
      <w:r w:rsidR="006E6706" w:rsidRPr="00097CA5">
        <w:rPr>
          <w:noProof/>
          <w:sz w:val="24"/>
          <w:szCs w:val="24"/>
        </w:rPr>
        <w:instrText xml:space="preserve"> REF _Ref6058114 \h </w:instrText>
      </w:r>
      <w:r w:rsidR="006E6706" w:rsidRPr="00097CA5">
        <w:rPr>
          <w:noProof/>
          <w:sz w:val="24"/>
          <w:szCs w:val="24"/>
        </w:rPr>
      </w:r>
      <w:r w:rsidR="00097CA5">
        <w:rPr>
          <w:noProof/>
          <w:sz w:val="24"/>
          <w:szCs w:val="24"/>
        </w:rPr>
        <w:instrText xml:space="preserve"> \* MERGEFORMAT </w:instrText>
      </w:r>
      <w:r w:rsidR="006E6706" w:rsidRPr="00097CA5">
        <w:rPr>
          <w:noProof/>
          <w:sz w:val="24"/>
          <w:szCs w:val="24"/>
        </w:rPr>
        <w:fldChar w:fldCharType="separate"/>
      </w:r>
      <w:r w:rsidR="006E6706" w:rsidRPr="00097CA5">
        <w:rPr>
          <w:b/>
          <w:sz w:val="24"/>
          <w:szCs w:val="24"/>
        </w:rPr>
        <w:t xml:space="preserve">Equation </w:t>
      </w:r>
      <w:r w:rsidR="006E6706" w:rsidRPr="00097CA5">
        <w:rPr>
          <w:b/>
          <w:noProof/>
          <w:sz w:val="24"/>
          <w:szCs w:val="24"/>
        </w:rPr>
        <w:t>1</w:t>
      </w:r>
      <w:r w:rsidR="006E6706" w:rsidRPr="00097CA5">
        <w:rPr>
          <w:noProof/>
          <w:sz w:val="24"/>
          <w:szCs w:val="24"/>
        </w:rPr>
        <w:fldChar w:fldCharType="end"/>
      </w:r>
      <w:r w:rsidR="006E6706" w:rsidRPr="00097CA5">
        <w:rPr>
          <w:noProof/>
          <w:sz w:val="24"/>
          <w:szCs w:val="24"/>
        </w:rPr>
        <w:t xml:space="preserve"> below</w:t>
      </w:r>
      <w:r w:rsidRPr="00097CA5">
        <w:rPr>
          <w:noProof/>
          <w:sz w:val="24"/>
          <w:szCs w:val="24"/>
        </w:rPr>
        <w:t xml:space="preserve">: </w:t>
      </w:r>
    </w:p>
    <w:p w14:paraId="78ECE5E0" w14:textId="77777777" w:rsidR="006675AE" w:rsidRPr="00097CA5" w:rsidRDefault="006675AE" w:rsidP="005660AA">
      <w:pPr>
        <w:pStyle w:val="CommentText"/>
        <w:spacing w:line="480" w:lineRule="auto"/>
        <w:jc w:val="both"/>
        <w:rPr>
          <w:rFonts w:ascii="Calibri" w:eastAsiaTheme="minorEastAsia" w:hAnsi="Calibri"/>
          <w:noProof/>
          <w:sz w:val="24"/>
          <w:szCs w:val="24"/>
        </w:rPr>
      </w:pPr>
      <m:oMathPara>
        <m:oMath>
          <m:acc>
            <m:accPr>
              <m:chr m:val="̅"/>
              <m:ctrlPr>
                <w:rPr>
                  <w:rFonts w:ascii="Cambria Math" w:hAnsi="Cambria Math"/>
                  <w:noProof/>
                  <w:sz w:val="24"/>
                  <w:szCs w:val="24"/>
                </w:rPr>
              </m:ctrlPr>
            </m:accPr>
            <m:e>
              <m:r>
                <w:rPr>
                  <w:rFonts w:ascii="Cambria Math" w:hAnsi="Cambria Math"/>
                  <w:noProof/>
                  <w:sz w:val="24"/>
                  <w:szCs w:val="24"/>
                </w:rPr>
                <m:t>θ</m:t>
              </m:r>
            </m:e>
          </m:acc>
          <m:r>
            <m:rPr>
              <m:sty m:val="p"/>
            </m:rPr>
            <w:rPr>
              <w:rFonts w:ascii="Cambria Math" w:hAnsi="Cambria Math"/>
              <w:noProof/>
              <w:sz w:val="24"/>
              <w:szCs w:val="24"/>
            </w:rPr>
            <m:t>=</m:t>
          </m:r>
          <m:r>
            <w:rPr>
              <w:rFonts w:ascii="Cambria Math" w:hAnsi="Cambria Math"/>
              <w:noProof/>
              <w:sz w:val="24"/>
              <w:szCs w:val="24"/>
            </w:rPr>
            <m:t>arg</m:t>
          </m:r>
          <m:d>
            <m:dPr>
              <m:begChr m:val="{"/>
              <m:endChr m:val="}"/>
              <m:ctrlPr>
                <w:rPr>
                  <w:rFonts w:ascii="Cambria Math" w:hAnsi="Cambria Math"/>
                  <w:noProof/>
                  <w:sz w:val="24"/>
                  <w:szCs w:val="24"/>
                </w:rPr>
              </m:ctrlPr>
            </m:dPr>
            <m:e>
              <m:nary>
                <m:naryPr>
                  <m:chr m:val="∑"/>
                  <m:limLoc m:val="undOvr"/>
                  <m:ctrlPr>
                    <w:rPr>
                      <w:rFonts w:ascii="Cambria Math" w:hAnsi="Cambria Math"/>
                      <w:noProof/>
                      <w:sz w:val="24"/>
                      <w:szCs w:val="24"/>
                    </w:rPr>
                  </m:ctrlPr>
                </m:naryPr>
                <m:sub>
                  <m:r>
                    <w:rPr>
                      <w:rFonts w:ascii="Cambria Math" w:hAnsi="Cambria Math"/>
                      <w:noProof/>
                      <w:sz w:val="24"/>
                      <w:szCs w:val="24"/>
                    </w:rPr>
                    <m:t>j</m:t>
                  </m:r>
                  <m:r>
                    <m:rPr>
                      <m:sty m:val="p"/>
                    </m:rPr>
                    <w:rPr>
                      <w:rFonts w:ascii="Cambria Math" w:hAnsi="Cambria Math"/>
                      <w:noProof/>
                      <w:sz w:val="24"/>
                      <w:szCs w:val="24"/>
                    </w:rPr>
                    <m:t>=1</m:t>
                  </m:r>
                </m:sub>
                <m:sup>
                  <m:r>
                    <w:rPr>
                      <w:rFonts w:ascii="Cambria Math" w:hAnsi="Cambria Math"/>
                      <w:noProof/>
                      <w:sz w:val="24"/>
                      <w:szCs w:val="24"/>
                    </w:rPr>
                    <m:t>n</m:t>
                  </m:r>
                </m:sup>
                <m:e>
                  <m:r>
                    <m:rPr>
                      <m:sty m:val="p"/>
                    </m:rPr>
                    <w:rPr>
                      <w:rFonts w:ascii="Cambria Math" w:hAnsi="Cambria Math"/>
                      <w:noProof/>
                      <w:sz w:val="24"/>
                      <w:szCs w:val="24"/>
                    </w:rPr>
                    <m:t>exp⁡(i</m:t>
                  </m:r>
                  <m:sSub>
                    <m:sSubPr>
                      <m:ctrlPr>
                        <w:rPr>
                          <w:rFonts w:ascii="Cambria Math" w:hAnsi="Cambria Math"/>
                          <w:noProof/>
                          <w:sz w:val="24"/>
                          <w:szCs w:val="24"/>
                        </w:rPr>
                      </m:ctrlPr>
                    </m:sSubPr>
                    <m:e>
                      <m:r>
                        <w:rPr>
                          <w:rFonts w:ascii="Cambria Math" w:hAnsi="Cambria Math"/>
                          <w:noProof/>
                          <w:sz w:val="24"/>
                          <w:szCs w:val="24"/>
                        </w:rPr>
                        <m:t>θ</m:t>
                      </m:r>
                    </m:e>
                    <m:sub>
                      <m:r>
                        <w:rPr>
                          <w:rFonts w:ascii="Cambria Math" w:hAnsi="Cambria Math"/>
                          <w:noProof/>
                          <w:sz w:val="24"/>
                          <w:szCs w:val="24"/>
                        </w:rPr>
                        <m:t>j</m:t>
                      </m:r>
                    </m:sub>
                  </m:sSub>
                  <m:r>
                    <m:rPr>
                      <m:sty m:val="p"/>
                    </m:rPr>
                    <w:rPr>
                      <w:rFonts w:ascii="Cambria Math" w:hAnsi="Cambria Math"/>
                      <w:noProof/>
                      <w:sz w:val="24"/>
                      <w:szCs w:val="24"/>
                    </w:rPr>
                    <m:t>)</m:t>
                  </m:r>
                </m:e>
              </m:nary>
            </m:e>
          </m:d>
          <m:r>
            <m:rPr>
              <m:sty m:val="p"/>
            </m:rPr>
            <w:rPr>
              <w:rFonts w:ascii="Cambria Math" w:hAnsi="Cambria Math"/>
              <w:noProof/>
              <w:sz w:val="24"/>
              <w:szCs w:val="24"/>
            </w:rPr>
            <m:t>,</m:t>
          </m:r>
        </m:oMath>
      </m:oMathPara>
    </w:p>
    <w:p w14:paraId="333BCA39" w14:textId="00745651" w:rsidR="006675AE" w:rsidRPr="00097CA5" w:rsidRDefault="006675AE" w:rsidP="005660AA">
      <w:pPr>
        <w:spacing w:line="480" w:lineRule="auto"/>
        <w:jc w:val="center"/>
        <w:rPr>
          <w:noProof/>
          <w:sz w:val="24"/>
          <w:szCs w:val="24"/>
        </w:rPr>
      </w:pPr>
      <w:bookmarkStart w:id="16" w:name="_Ref6058114"/>
      <w:bookmarkStart w:id="17" w:name="_Toc6058237"/>
      <w:r w:rsidRPr="00097CA5">
        <w:rPr>
          <w:b/>
          <w:sz w:val="24"/>
          <w:szCs w:val="24"/>
        </w:rPr>
        <w:t xml:space="preserve">Equation </w:t>
      </w:r>
      <w:r w:rsidRPr="00097CA5">
        <w:rPr>
          <w:b/>
          <w:sz w:val="24"/>
          <w:szCs w:val="24"/>
        </w:rPr>
        <w:fldChar w:fldCharType="begin"/>
      </w:r>
      <w:r w:rsidRPr="00097CA5">
        <w:rPr>
          <w:b/>
          <w:sz w:val="24"/>
          <w:szCs w:val="24"/>
        </w:rPr>
        <w:instrText xml:space="preserve"> SEQ Equation \* ARABIC </w:instrText>
      </w:r>
      <w:r w:rsidRPr="00097CA5">
        <w:rPr>
          <w:b/>
          <w:sz w:val="24"/>
          <w:szCs w:val="24"/>
        </w:rPr>
        <w:fldChar w:fldCharType="separate"/>
      </w:r>
      <w:r w:rsidRPr="00097CA5">
        <w:rPr>
          <w:b/>
          <w:noProof/>
          <w:sz w:val="24"/>
          <w:szCs w:val="24"/>
        </w:rPr>
        <w:t>1</w:t>
      </w:r>
      <w:r w:rsidRPr="00097CA5">
        <w:rPr>
          <w:b/>
          <w:sz w:val="24"/>
          <w:szCs w:val="24"/>
        </w:rPr>
        <w:fldChar w:fldCharType="end"/>
      </w:r>
      <w:bookmarkEnd w:id="16"/>
      <w:r w:rsidRPr="00097CA5">
        <w:rPr>
          <w:sz w:val="24"/>
          <w:szCs w:val="24"/>
        </w:rPr>
        <w:t>. Circular mean calculation.</w:t>
      </w:r>
      <w:bookmarkEnd w:id="17"/>
    </w:p>
    <w:p w14:paraId="17C9AC53" w14:textId="77777777" w:rsidR="006675AE" w:rsidRPr="00097CA5" w:rsidRDefault="006675AE" w:rsidP="005660AA">
      <w:pPr>
        <w:spacing w:line="480" w:lineRule="auto"/>
        <w:jc w:val="both"/>
        <w:rPr>
          <w:noProof/>
          <w:sz w:val="24"/>
          <w:szCs w:val="24"/>
        </w:rPr>
      </w:pPr>
      <w:r w:rsidRPr="00097CA5">
        <w:rPr>
          <w:sz w:val="24"/>
          <w:szCs w:val="24"/>
        </w:rPr>
        <w:t xml:space="preserve">where </w:t>
      </w:r>
      <m:oMath>
        <m:r>
          <w:rPr>
            <w:rFonts w:ascii="Cambria Math" w:hAnsi="Cambria Math"/>
            <w:noProof/>
            <w:sz w:val="24"/>
            <w:szCs w:val="24"/>
          </w:rPr>
          <m:t>arg</m:t>
        </m:r>
      </m:oMath>
      <w:r w:rsidRPr="00097CA5">
        <w:rPr>
          <w:sz w:val="24"/>
          <w:szCs w:val="24"/>
        </w:rPr>
        <w:t xml:space="preserve"> denotes the complex number argument and </w:t>
      </w:r>
      <m:oMath>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j</m:t>
            </m:r>
          </m:sub>
        </m:sSub>
      </m:oMath>
      <w:r w:rsidRPr="00097CA5">
        <w:rPr>
          <w:sz w:val="24"/>
          <w:szCs w:val="24"/>
        </w:rPr>
        <w:t xml:space="preserve"> denotes the month of death in angular form for a particular death </w:t>
      </w:r>
      <m:oMath>
        <m:r>
          <w:rPr>
            <w:rFonts w:ascii="Cambria Math" w:hAnsi="Cambria Math"/>
            <w:sz w:val="24"/>
            <w:szCs w:val="24"/>
          </w:rPr>
          <m:t>j</m:t>
        </m:r>
      </m:oMath>
      <w:r w:rsidRPr="00097CA5">
        <w:rPr>
          <w:sz w:val="24"/>
          <w:szCs w:val="24"/>
        </w:rPr>
        <w:t xml:space="preserve">. The outcome of this calculation is then converted back into a month value </w:t>
      </w:r>
      <w:r w:rsidRPr="00097CA5">
        <w:rPr>
          <w:sz w:val="24"/>
          <w:szCs w:val="24"/>
        </w:rPr>
        <w:fldChar w:fldCharType="begin" w:fldLock="1"/>
      </w:r>
      <w:r w:rsidRPr="00097CA5">
        <w:rPr>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Pr="00097CA5">
        <w:rPr>
          <w:sz w:val="24"/>
          <w:szCs w:val="24"/>
        </w:rPr>
        <w:fldChar w:fldCharType="separate"/>
      </w:r>
      <w:r w:rsidRPr="00097CA5">
        <w:rPr>
          <w:noProof/>
          <w:sz w:val="24"/>
          <w:szCs w:val="24"/>
        </w:rPr>
        <w:t>(Fisher, 1995)</w:t>
      </w:r>
      <w:r w:rsidRPr="00097CA5">
        <w:rPr>
          <w:sz w:val="24"/>
          <w:szCs w:val="24"/>
        </w:rPr>
        <w:fldChar w:fldCharType="end"/>
      </w:r>
      <w:r w:rsidRPr="00097CA5">
        <w:rPr>
          <w:sz w:val="24"/>
          <w:szCs w:val="24"/>
        </w:rPr>
        <w:t>. Along with each circular mean, a 95% confidence interval (CI) was calculated by using 1000 bootstrap samples. The R package CircStats (version 0.2.4) was used for this analysis.</w:t>
      </w:r>
    </w:p>
    <w:p w14:paraId="2EE4A7CC" w14:textId="19B710E3" w:rsidR="006675AE" w:rsidRPr="00097CA5" w:rsidRDefault="006675AE" w:rsidP="005660AA">
      <w:pPr>
        <w:spacing w:line="480" w:lineRule="auto"/>
        <w:jc w:val="both"/>
        <w:rPr>
          <w:sz w:val="24"/>
          <w:szCs w:val="24"/>
        </w:rPr>
      </w:pPr>
      <w:r w:rsidRPr="00097CA5">
        <w:rPr>
          <w:sz w:val="24"/>
          <w:szCs w:val="24"/>
        </w:rPr>
        <w:t xml:space="preserve">For each age-sex group and cause of death, and for each year, we calculated the percent difference in death rates between the maximum and minimum mortality months. We fitted </w:t>
      </w:r>
      <w:r w:rsidRPr="00097CA5">
        <w:rPr>
          <w:sz w:val="24"/>
          <w:szCs w:val="24"/>
        </w:rPr>
        <w:lastRenderedPageBreak/>
        <w:t>a linear regression to the time series of seasonal differences from 1980 to 2016</w:t>
      </w:r>
      <w:r w:rsidR="00E85491" w:rsidRPr="00097CA5">
        <w:rPr>
          <w:sz w:val="24"/>
          <w:szCs w:val="24"/>
        </w:rPr>
        <w:t xml:space="preserve"> </w:t>
      </w:r>
      <w:r w:rsidRPr="00097CA5">
        <w:rPr>
          <w:sz w:val="24"/>
          <w:szCs w:val="24"/>
        </w:rPr>
        <w:t>and used the fitted trend line to estimate how much the percentage difference in death rates between the maximum and minimum mortality months had changed from 1980 to 2016. We weighted seasonal difference by the inverse of the square of its standard error, which was calculated using a Poisson model to take population size of each age-sex group through time into account. This method gives us a p-value for the change in seasonal difference per year, which we used to calculate the seasonal difference at the start (1980) and end (2016) of the period of study. Our method of analysing seasonal differences avoids assuming that any specific month or group of months represent highest and lowest number of deaths for a particular cause of death, which is the approach taken by the traditional measure of Excess Winter Deaths. It also allows the maximum and minimum mortality months to vary by age group, sex and cause of death.</w:t>
      </w:r>
    </w:p>
    <w:p w14:paraId="15060711" w14:textId="7191FA2B" w:rsidR="006675AE" w:rsidRPr="00127064" w:rsidRDefault="006675AE" w:rsidP="006675AE">
      <w:pPr>
        <w:pStyle w:val="Heading2"/>
      </w:pPr>
      <w:bookmarkStart w:id="18" w:name="_Toc6045010"/>
      <w:bookmarkStart w:id="19" w:name="_Toc6058598"/>
      <w:r w:rsidRPr="00127064">
        <w:t>Results</w:t>
      </w:r>
      <w:bookmarkEnd w:id="18"/>
      <w:bookmarkEnd w:id="19"/>
    </w:p>
    <w:p w14:paraId="2349D55E" w14:textId="77777777" w:rsidR="006675AE" w:rsidRPr="00097CA5" w:rsidRDefault="006675AE" w:rsidP="00B86210">
      <w:pPr>
        <w:spacing w:line="480" w:lineRule="auto"/>
        <w:jc w:val="both"/>
        <w:rPr>
          <w:sz w:val="24"/>
          <w:szCs w:val="24"/>
        </w:rPr>
      </w:pPr>
      <w:r w:rsidRPr="00097CA5">
        <w:rPr>
          <w:sz w:val="24"/>
          <w:szCs w:val="24"/>
        </w:rPr>
        <w:t>Table 1 presents number of deaths by cause of death and sex. Deaths from cardiorespiratory diseases make up nearly half of all deaths (48.1%), with most deaths from cardiovascular diseases. Next highest during the study period were deaths from cancers (23.2%), followed by injuries (6.8%), with two thirds of those being from unintentional injuries.</w:t>
      </w:r>
    </w:p>
    <w:p w14:paraId="628B47D8" w14:textId="77777777" w:rsidR="006675AE" w:rsidRPr="00097CA5" w:rsidRDefault="006675AE" w:rsidP="00B86210">
      <w:pPr>
        <w:spacing w:line="480" w:lineRule="auto"/>
        <w:jc w:val="both"/>
        <w:rPr>
          <w:sz w:val="24"/>
          <w:szCs w:val="24"/>
        </w:rPr>
      </w:pPr>
      <w:r w:rsidRPr="00097CA5">
        <w:rPr>
          <w:sz w:val="24"/>
          <w:szCs w:val="24"/>
        </w:rPr>
        <w:t xml:space="preserve">All-cause mortality in males had a 12-month seasonality in all age groups, except ages 35-44 years, for whom there was periodicity at 6 months (Figure 2). In females, there was 12-month seasonality in all groups except 5-14 and 25-34 years (p-values=0.21 and 0.25, respectively) (Figure 3). While seasonality persisted throughout the entire analysis period in older ages, it largely disappeared after late 1990s in children aged 0-4 years in both sexes and in women aged 15-24 years. </w:t>
      </w:r>
    </w:p>
    <w:p w14:paraId="14501B5D" w14:textId="77777777" w:rsidR="006675AE" w:rsidRPr="00097CA5" w:rsidRDefault="006675AE" w:rsidP="00B86210">
      <w:pPr>
        <w:spacing w:line="480" w:lineRule="auto"/>
        <w:jc w:val="both"/>
        <w:rPr>
          <w:sz w:val="24"/>
          <w:szCs w:val="24"/>
        </w:rPr>
      </w:pPr>
      <w:r w:rsidRPr="00097CA5">
        <w:rPr>
          <w:sz w:val="24"/>
          <w:szCs w:val="24"/>
        </w:rPr>
        <w:lastRenderedPageBreak/>
        <w:t xml:space="preserve">Deaths from all causes of death were seasonal in older adults (above 65 or 75 years depending on cause, p-values&lt;0.06) (Figures 2-11 and respective figure supplements), except for intentional injuries and substance use disorders. Deaths from cardiorespiratory diseases, and within </w:t>
      </w:r>
      <w:proofErr w:type="gramStart"/>
      <w:r w:rsidRPr="00097CA5">
        <w:rPr>
          <w:sz w:val="24"/>
          <w:szCs w:val="24"/>
        </w:rPr>
        <w:t>it</w:t>
      </w:r>
      <w:proofErr w:type="gramEnd"/>
      <w:r w:rsidRPr="00097CA5">
        <w:rPr>
          <w:sz w:val="24"/>
          <w:szCs w:val="24"/>
        </w:rPr>
        <w:t xml:space="preserve"> respiratory infections, exhibited seasonality throughout the life-course (p-values&lt;0.06) except for males aged 5-24 years and females aged 15-24 years (p-values&gt;0.11). In addition to older ages, injury deaths were seasonal from childhood through 44 years in women and through 64 years in men (p-values&lt;0.09). Unintentional injuries drove the seasonality of injury deaths for females, whereas both unintentional and intentional injuries were seasonal in males in most ages, with the exception of below 15 years and above 85 years when intentional injuries were not seasonal (Figure 8-figure supplement 1). Consistent seasonality in cancer deaths (Figures 3 and 4) only appeared after 55 years of age (p-values&lt;0.05). No consistent seasonality was evident in substance use disorders (Figure 10-supplementary figure 5 and Figure 11-supplementary figure 5) or maternal conditions (Figure 11-supplementary figure 6). </w:t>
      </w:r>
    </w:p>
    <w:p w14:paraId="603675DB" w14:textId="77777777" w:rsidR="006675AE" w:rsidRPr="00097CA5" w:rsidRDefault="006675AE" w:rsidP="00B86210">
      <w:pPr>
        <w:spacing w:line="480" w:lineRule="auto"/>
        <w:jc w:val="both"/>
        <w:rPr>
          <w:sz w:val="24"/>
          <w:szCs w:val="24"/>
        </w:rPr>
      </w:pPr>
      <w:r w:rsidRPr="00097CA5">
        <w:rPr>
          <w:sz w:val="24"/>
          <w:szCs w:val="24"/>
        </w:rPr>
        <w:t xml:space="preserve">Centre of gravity analysis showed that death rates in men aged ≥45 years and women aged ≥35 years peaked in December, January or February and were lowest in June to August, for all-cause mortality as well as for all non-injury and non-maternal causes of death (Figure 12 and respective figure supplements). Deaths from cardiorespiratory diseases, including cardiovascular diseases, chronic respiratory diseases and respiratory infections, were also consistently highest in January and February and lowest in July and August across all ages, except for chronic respiratory diseases in ages 5-24 years where there are few deaths from this cause leading to unstable estimates (p-values for seasonality from wavelet analysis ranged from 0.35 to 0.48 for these ages). A similar temporal pattern was seen for all-cause </w:t>
      </w:r>
      <w:r w:rsidRPr="00097CA5">
        <w:rPr>
          <w:sz w:val="24"/>
          <w:szCs w:val="24"/>
        </w:rPr>
        <w:lastRenderedPageBreak/>
        <w:t>and non-injury mortality in children younger than five years of age, whose all-cause death rate was highest in February and lowest in August. In contrast, among males aged 5-34 years, all-cause mortality peaked in June or July, as did deaths from injuries, which generally had a summer peak in males and females below 45 years of age.</w:t>
      </w:r>
    </w:p>
    <w:p w14:paraId="24543FCE" w14:textId="77777777" w:rsidR="006675AE" w:rsidRPr="00097CA5" w:rsidRDefault="006675AE" w:rsidP="00B86210">
      <w:pPr>
        <w:spacing w:line="480" w:lineRule="auto"/>
        <w:jc w:val="both"/>
        <w:rPr>
          <w:sz w:val="24"/>
          <w:szCs w:val="24"/>
        </w:rPr>
      </w:pPr>
      <w:r w:rsidRPr="00097CA5">
        <w:rPr>
          <w:sz w:val="24"/>
          <w:szCs w:val="24"/>
        </w:rPr>
        <w:t>From 1980 to 2016, the proportional (percent) difference in all-cause death rates between peak and minimum months declined little for people older than 45 years of age (by less than eight percentage points with p-values for declining trend&gt;0.1) (Figure 13). In contrast, the difference between peak (summer) and minimum (winter) death rates declined in younger ages, by over 25 percentage points in males aged 5-14 years and 15-24 years (p-values&lt;0.01), largely driven in the declining difference between summer and winter injury deaths. Under five years of age, percent seasonal difference in all-cause death rates declined by 13 percentage points (p-value&lt;0.01) for boys but only 5 percentage points (p-value=0.12) for girls. These declines in seasonality of child deaths were a net effect of declining winter-summer difference in cardiorespiratory diseases deaths and increasing summer-winter difference in injury deaths, itself driven by increasing difference in non-intentional injuries (Figure 13-figure supplement 2). Within specific cardiorespiratory diseases in under-five children, percent difference declined for cardiorespiratory diseases, cardiovascular diseases, and chronic respiratory diseases while increasing for respiratory infections.</w:t>
      </w:r>
    </w:p>
    <w:p w14:paraId="4F20953B" w14:textId="77777777" w:rsidR="006675AE" w:rsidRPr="00097CA5" w:rsidRDefault="006675AE" w:rsidP="00B86210">
      <w:pPr>
        <w:spacing w:line="480" w:lineRule="auto"/>
        <w:jc w:val="both"/>
        <w:rPr>
          <w:sz w:val="24"/>
          <w:szCs w:val="24"/>
        </w:rPr>
      </w:pPr>
      <w:r w:rsidRPr="00097CA5">
        <w:rPr>
          <w:sz w:val="24"/>
          <w:szCs w:val="24"/>
        </w:rPr>
        <w:t>The subnational centre of gravity analysis showed that all-cause mortality peaks and minima in different climate regions are consistent with the national ones (Figures 14-17), indicating the seasonality is largely independent of geography. The relative homogeneity of the timing of maximum and minimum mortality contrasts with the large variation in seasonal temperatures among climate regions. For example, in men and women aged 65-74 years, all-</w:t>
      </w:r>
      <w:r w:rsidRPr="00097CA5">
        <w:rPr>
          <w:sz w:val="24"/>
          <w:szCs w:val="24"/>
        </w:rPr>
        <w:lastRenderedPageBreak/>
        <w:t xml:space="preserve">cause mortality peaked in February in the Northeast and Southeast, even though the average temperatures for those regions were different by over 13 degrees Celsius (9.3 in the Southeast compared with -3.8 in the Northeast). Furthermore, above 45 years of age, there was little inter-region variation in the percent seasonal difference in all-cause mortality, despite the large variation in temperature difference between the peak and minimum months (Figure 18). </w:t>
      </w:r>
    </w:p>
    <w:p w14:paraId="3009D8A5" w14:textId="11865CEA" w:rsidR="006675AE" w:rsidRPr="00127064" w:rsidRDefault="006675AE" w:rsidP="006675AE">
      <w:pPr>
        <w:pStyle w:val="Heading2"/>
      </w:pPr>
      <w:bookmarkStart w:id="20" w:name="_Toc6045011"/>
      <w:bookmarkStart w:id="21" w:name="_Toc6058599"/>
      <w:r w:rsidRPr="00127064">
        <w:t>Strengths and limitations</w:t>
      </w:r>
      <w:bookmarkEnd w:id="20"/>
      <w:bookmarkEnd w:id="21"/>
    </w:p>
    <w:p w14:paraId="04C8EE1D" w14:textId="77777777" w:rsidR="006675AE" w:rsidRPr="00097CA5" w:rsidRDefault="006675AE" w:rsidP="00B86210">
      <w:pPr>
        <w:spacing w:line="480" w:lineRule="auto"/>
        <w:jc w:val="both"/>
        <w:rPr>
          <w:sz w:val="24"/>
          <w:szCs w:val="24"/>
        </w:rPr>
      </w:pPr>
      <w:r w:rsidRPr="00097CA5">
        <w:rPr>
          <w:sz w:val="24"/>
          <w:szCs w:val="24"/>
        </w:rPr>
        <w:t xml:space="preserve">The strengths of our study are its innovative methods of characterizing seasonality of mortality dynamically over space and time, by age group and cause of death; using wavelet and centre of gravity analyses; using ERA-Interim data output to compare the association between seasonality of death rates and regional temperature. A limitation of our study is that we did not investigate seasonality of mortality by socioeconomic characteristics which may help with understanding its determinants and planning responses. </w:t>
      </w:r>
    </w:p>
    <w:p w14:paraId="2B637C8B" w14:textId="5FECE443" w:rsidR="006675AE" w:rsidRPr="00127064" w:rsidRDefault="006675AE" w:rsidP="006675AE">
      <w:pPr>
        <w:pStyle w:val="Heading2"/>
      </w:pPr>
      <w:bookmarkStart w:id="22" w:name="_Toc6045012"/>
      <w:bookmarkStart w:id="23" w:name="_Toc6058600"/>
      <w:r w:rsidRPr="00127064">
        <w:t>Discussion</w:t>
      </w:r>
      <w:bookmarkEnd w:id="22"/>
      <w:bookmarkEnd w:id="23"/>
    </w:p>
    <w:p w14:paraId="22ADA834" w14:textId="77777777" w:rsidR="006675AE" w:rsidRPr="00097CA5" w:rsidRDefault="006675AE" w:rsidP="00B86210">
      <w:pPr>
        <w:spacing w:line="480" w:lineRule="auto"/>
        <w:jc w:val="both"/>
        <w:rPr>
          <w:sz w:val="24"/>
          <w:szCs w:val="24"/>
        </w:rPr>
      </w:pPr>
      <w:r w:rsidRPr="00097CA5">
        <w:rPr>
          <w:sz w:val="24"/>
          <w:szCs w:val="24"/>
        </w:rPr>
        <w:t xml:space="preserve">We used wavelet and centre of gravity analyses, which allowed systematically identifying and characterizing seasonality of total and cause-specific mortality in the USA and examining how seasonality has changed over time. We identified distinct seasonal patterns in relation to age and sex, including higher all-cause summer mortality in young men </w:t>
      </w:r>
      <w:r w:rsidRPr="00097CA5">
        <w:rPr>
          <w:sz w:val="24"/>
          <w:szCs w:val="24"/>
        </w:rPr>
        <w:fldChar w:fldCharType="begin" w:fldLock="1"/>
      </w:r>
      <w:r w:rsidRPr="00097CA5">
        <w:rPr>
          <w:sz w:val="24"/>
          <w:szCs w:val="24"/>
        </w:rPr>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Pr="00097CA5">
        <w:rPr>
          <w:sz w:val="24"/>
          <w:szCs w:val="24"/>
        </w:rPr>
        <w:fldChar w:fldCharType="separate"/>
      </w:r>
      <w:r w:rsidRPr="00097CA5">
        <w:rPr>
          <w:noProof/>
          <w:sz w:val="24"/>
          <w:szCs w:val="24"/>
        </w:rPr>
        <w:t>(Feinstein, 2002; Rau et al., 2018)</w:t>
      </w:r>
      <w:r w:rsidRPr="00097CA5">
        <w:rPr>
          <w:sz w:val="24"/>
          <w:szCs w:val="24"/>
        </w:rPr>
        <w:fldChar w:fldCharType="end"/>
      </w:r>
      <w:r w:rsidRPr="00097CA5">
        <w:rPr>
          <w:sz w:val="24"/>
          <w:szCs w:val="24"/>
        </w:rPr>
        <w:t xml:space="preserve">. Importantly, we also showed that all-cause and cause-specific mortality seasonality is largely similar in terms of both timing and magnitude across diverse climatic regions with substantially different summer and winter temperatures. Insights of this kind would not have been possible analysing data averaged over time or nationally or fixed to pre-specified frequencies. </w:t>
      </w:r>
    </w:p>
    <w:p w14:paraId="7B1AA635" w14:textId="77777777" w:rsidR="006675AE" w:rsidRPr="00097CA5" w:rsidRDefault="006675AE" w:rsidP="00B86210">
      <w:pPr>
        <w:spacing w:line="480" w:lineRule="auto"/>
        <w:jc w:val="both"/>
        <w:rPr>
          <w:sz w:val="24"/>
          <w:szCs w:val="24"/>
        </w:rPr>
      </w:pPr>
      <w:r w:rsidRPr="00097CA5">
        <w:rPr>
          <w:sz w:val="24"/>
          <w:szCs w:val="24"/>
        </w:rPr>
        <w:lastRenderedPageBreak/>
        <w:t xml:space="preserve">Prior studies have noted seasonality of mortality for all-cause mortality and for specific causes of death in the USA </w:t>
      </w:r>
      <w:r w:rsidRPr="00097CA5">
        <w:rPr>
          <w:sz w:val="24"/>
          <w:szCs w:val="24"/>
        </w:rPr>
        <w:fldChar w:fldCharType="begin" w:fldLock="1"/>
      </w:r>
      <w:r w:rsidRPr="00097CA5">
        <w:rPr>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Pr="00097CA5">
        <w:rPr>
          <w:sz w:val="24"/>
          <w:szCs w:val="24"/>
        </w:rPr>
        <w:fldChar w:fldCharType="separate"/>
      </w:r>
      <w:r w:rsidRPr="00097CA5">
        <w:rPr>
          <w:noProof/>
          <w:sz w:val="24"/>
          <w:szCs w:val="24"/>
        </w:rPr>
        <w:t>(Feinstein, 2002; Kalkstein, 2013; Rau, 2004; Rau et al., 2018; Rosenwaike, 1966; Seretakis, 1997)</w:t>
      </w:r>
      <w:r w:rsidRPr="00097CA5">
        <w:rPr>
          <w:sz w:val="24"/>
          <w:szCs w:val="24"/>
        </w:rPr>
        <w:fldChar w:fldCharType="end"/>
      </w:r>
      <w:r w:rsidRPr="00097CA5">
        <w:rPr>
          <w:sz w:val="24"/>
          <w:szCs w:val="24"/>
        </w:rPr>
        <w:t xml:space="preserve">. Few of these studies have done consistent national and subnational analyses, and none has done so over time, for a comprehensive set of age groups and causes of death, and in relation to regional temperature differences. Our results on strong seasonality of cardiorespiratory diseases deaths and weak seasonality of cancer deaths, restricted to older ages, are broadly consistent with these studies </w:t>
      </w:r>
      <w:r w:rsidRPr="00097CA5">
        <w:rPr>
          <w:sz w:val="24"/>
          <w:szCs w:val="24"/>
        </w:rPr>
        <w:fldChar w:fldCharType="begin" w:fldLock="1"/>
      </w:r>
      <w:r w:rsidRPr="00097CA5">
        <w:rPr>
          <w:sz w:val="24"/>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Pr="00097CA5">
        <w:rPr>
          <w:sz w:val="24"/>
          <w:szCs w:val="24"/>
        </w:rPr>
        <w:fldChar w:fldCharType="separate"/>
      </w:r>
      <w:r w:rsidRPr="00097CA5">
        <w:rPr>
          <w:noProof/>
          <w:sz w:val="24"/>
          <w:szCs w:val="24"/>
        </w:rPr>
        <w:t>(Feinstein, 2002; Rau et al., 2018; Rosenwaike, 1966; Seretakis, 1997)</w:t>
      </w:r>
      <w:r w:rsidRPr="00097CA5">
        <w:rPr>
          <w:sz w:val="24"/>
          <w:szCs w:val="24"/>
        </w:rPr>
        <w:fldChar w:fldCharType="end"/>
      </w:r>
      <w:r w:rsidRPr="00097CA5">
        <w:rPr>
          <w:sz w:val="24"/>
          <w:szCs w:val="24"/>
        </w:rPr>
        <w:t xml:space="preserve">, which had limited analysis on how seasonality changes over time and geography </w:t>
      </w:r>
      <w:r w:rsidRPr="00097CA5">
        <w:rPr>
          <w:sz w:val="24"/>
          <w:szCs w:val="24"/>
        </w:rPr>
        <w:fldChar w:fldCharType="begin" w:fldLock="1"/>
      </w:r>
      <w:r w:rsidRPr="00097CA5">
        <w:rPr>
          <w:sz w:val="24"/>
          <w:szCs w:val="24"/>
        </w:rPr>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Pr="00097CA5">
        <w:rPr>
          <w:sz w:val="24"/>
          <w:szCs w:val="24"/>
        </w:rPr>
        <w:fldChar w:fldCharType="separate"/>
      </w:r>
      <w:r w:rsidRPr="00097CA5">
        <w:rPr>
          <w:noProof/>
          <w:sz w:val="24"/>
          <w:szCs w:val="24"/>
        </w:rPr>
        <w:t>(Feinstein, 2002; Rau et al., 2018; Rosenwaike, 1966)</w:t>
      </w:r>
      <w:r w:rsidRPr="00097CA5">
        <w:rPr>
          <w:sz w:val="24"/>
          <w:szCs w:val="24"/>
        </w:rPr>
        <w:fldChar w:fldCharType="end"/>
      </w:r>
      <w:r w:rsidRPr="00097CA5">
        <w:rPr>
          <w:sz w:val="24"/>
          <w:szCs w:val="24"/>
        </w:rPr>
        <w:t xml:space="preserve">. Similarly, our results on seasonality of injury deaths are supported by a few prior studies </w:t>
      </w:r>
      <w:r w:rsidRPr="00097CA5">
        <w:rPr>
          <w:sz w:val="24"/>
          <w:szCs w:val="24"/>
        </w:rPr>
        <w:fldChar w:fldCharType="begin" w:fldLock="1"/>
      </w:r>
      <w:r w:rsidRPr="00097CA5">
        <w:rPr>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Pr="00097CA5">
        <w:rPr>
          <w:sz w:val="24"/>
          <w:szCs w:val="24"/>
        </w:rPr>
        <w:fldChar w:fldCharType="separate"/>
      </w:r>
      <w:r w:rsidRPr="00097CA5">
        <w:rPr>
          <w:noProof/>
          <w:sz w:val="24"/>
          <w:szCs w:val="24"/>
        </w:rPr>
        <w:t>(Feinstein, 2002; Rau et al., 2018; Rosenwaike, 1966)</w:t>
      </w:r>
      <w:r w:rsidRPr="00097CA5">
        <w:rPr>
          <w:sz w:val="24"/>
          <w:szCs w:val="24"/>
        </w:rPr>
        <w:fldChar w:fldCharType="end"/>
      </w:r>
      <w:r w:rsidRPr="00097CA5">
        <w:rPr>
          <w:sz w:val="24"/>
          <w:szCs w:val="24"/>
        </w:rPr>
        <w:t>, but our subnational analysis over three decades revealed variations in when injury deaths peaked and in how seasonal differences in these deaths have changed over time in relation to age group which had not been reported before.</w:t>
      </w:r>
    </w:p>
    <w:p w14:paraId="48673EDB" w14:textId="77777777" w:rsidR="006675AE" w:rsidRPr="00097CA5" w:rsidRDefault="006675AE" w:rsidP="00B86210">
      <w:pPr>
        <w:spacing w:line="480" w:lineRule="auto"/>
        <w:jc w:val="both"/>
        <w:rPr>
          <w:rFonts w:eastAsia="Times New Roman"/>
          <w:sz w:val="24"/>
          <w:szCs w:val="24"/>
        </w:rPr>
      </w:pPr>
      <w:r w:rsidRPr="00097CA5">
        <w:rPr>
          <w:sz w:val="24"/>
          <w:szCs w:val="24"/>
        </w:rPr>
        <w:t xml:space="preserve">A study of 36 cities in the USA, aggregated across age groups and over time, also found that </w:t>
      </w:r>
      <w:r w:rsidRPr="00097CA5">
        <w:rPr>
          <w:rFonts w:eastAsia="Times New Roman"/>
          <w:sz w:val="24"/>
          <w:szCs w:val="24"/>
        </w:rPr>
        <w:t>excess mortality was not associated with seasonal temperature range</w:t>
      </w:r>
      <w:r w:rsidRPr="00097CA5">
        <w:rPr>
          <w:sz w:val="24"/>
          <w:szCs w:val="24"/>
        </w:rPr>
        <w:t xml:space="preserve"> </w:t>
      </w:r>
      <w:r w:rsidRPr="00097CA5">
        <w:rPr>
          <w:sz w:val="24"/>
          <w:szCs w:val="24"/>
        </w:rPr>
        <w:fldChar w:fldCharType="begin" w:fldLock="1"/>
      </w:r>
      <w:r w:rsidRPr="00097CA5">
        <w:rPr>
          <w:sz w:val="24"/>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Pr="00097CA5">
        <w:rPr>
          <w:sz w:val="24"/>
          <w:szCs w:val="24"/>
        </w:rPr>
        <w:fldChar w:fldCharType="separate"/>
      </w:r>
      <w:r w:rsidRPr="00097CA5">
        <w:rPr>
          <w:noProof/>
          <w:sz w:val="24"/>
          <w:szCs w:val="24"/>
        </w:rPr>
        <w:t>(Kinney et al., 2015)</w:t>
      </w:r>
      <w:r w:rsidRPr="00097CA5">
        <w:rPr>
          <w:sz w:val="24"/>
          <w:szCs w:val="24"/>
        </w:rPr>
        <w:fldChar w:fldCharType="end"/>
      </w:r>
      <w:r w:rsidRPr="00097CA5">
        <w:rPr>
          <w:sz w:val="24"/>
          <w:szCs w:val="24"/>
        </w:rPr>
        <w:t xml:space="preserve">. In contrast, a European study found that the difference between winter and summer mortality was lower in the colder Nordic countries than in warmer southern European nations </w:t>
      </w:r>
      <w:r w:rsidRPr="00097CA5">
        <w:rPr>
          <w:sz w:val="24"/>
          <w:szCs w:val="24"/>
        </w:rPr>
        <w:fldChar w:fldCharType="begin" w:fldLock="1"/>
      </w:r>
      <w:r w:rsidRPr="00097CA5">
        <w:rPr>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Pr="00097CA5">
        <w:rPr>
          <w:sz w:val="24"/>
          <w:szCs w:val="24"/>
        </w:rPr>
        <w:fldChar w:fldCharType="separate"/>
      </w:r>
      <w:r w:rsidRPr="00097CA5">
        <w:rPr>
          <w:noProof/>
          <w:sz w:val="24"/>
          <w:szCs w:val="24"/>
        </w:rPr>
        <w:t>(Healy, 2003; McKee, 1989)</w:t>
      </w:r>
      <w:r w:rsidRPr="00097CA5">
        <w:rPr>
          <w:sz w:val="24"/>
          <w:szCs w:val="24"/>
        </w:rPr>
        <w:fldChar w:fldCharType="end"/>
      </w:r>
      <w:r w:rsidRPr="00097CA5">
        <w:rPr>
          <w:sz w:val="24"/>
          <w:szCs w:val="24"/>
        </w:rPr>
        <w:t xml:space="preserve">(the study’s measure of temperature was mean annual temperature which differed from the temperature difference between maximum and minimum mortality used in our analysis although the two measures are correlated). The absence of variation in the magnitude of mortality seasonality indicates that different regions in the USA are similarly adapted to temperature seasonality, whereas Nordic countries may have better </w:t>
      </w:r>
      <w:r w:rsidRPr="00097CA5">
        <w:rPr>
          <w:sz w:val="24"/>
          <w:szCs w:val="24"/>
        </w:rPr>
        <w:lastRenderedPageBreak/>
        <w:t>environmental (e.g., housing insulation and heating) and health system measures to counter the effects of cold winters than those in southern Europe. If the observed absence of association between the magnitude of mortality seasonality and seasonal temperature difference across the climate regions also persists over time, the changes in temperature as a result of global climate change are unlikely to affect the winter-summer mortality difference.</w:t>
      </w:r>
    </w:p>
    <w:p w14:paraId="3BE33E49" w14:textId="77777777" w:rsidR="006675AE" w:rsidRPr="00097CA5" w:rsidRDefault="006675AE" w:rsidP="00B86210">
      <w:pPr>
        <w:spacing w:line="480" w:lineRule="auto"/>
        <w:jc w:val="both"/>
        <w:rPr>
          <w:sz w:val="24"/>
          <w:szCs w:val="24"/>
        </w:rPr>
      </w:pPr>
      <w:r w:rsidRPr="00097CA5">
        <w:rPr>
          <w:sz w:val="24"/>
          <w:szCs w:val="24"/>
        </w:rPr>
        <w:t xml:space="preserve">The cause-specific analysis showed that the substantial decline in seasonal mortality differences in adolescents and young adults was related to the diminishing seasonality of (unintentional) injuries, especially from road traffic crashes, which are more likely to occur in the summer months </w:t>
      </w:r>
      <w:r w:rsidRPr="00097CA5">
        <w:rPr>
          <w:sz w:val="24"/>
          <w:szCs w:val="24"/>
        </w:rPr>
        <w:fldChar w:fldCharType="begin" w:fldLock="1"/>
      </w:r>
      <w:r w:rsidRPr="00097CA5">
        <w:rPr>
          <w:sz w:val="24"/>
          <w:szCs w:val="24"/>
        </w:rPr>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Pr="00097CA5">
        <w:rPr>
          <w:sz w:val="24"/>
          <w:szCs w:val="24"/>
        </w:rPr>
        <w:fldChar w:fldCharType="separate"/>
      </w:r>
      <w:r w:rsidRPr="00097CA5">
        <w:rPr>
          <w:noProof/>
          <w:sz w:val="24"/>
          <w:szCs w:val="24"/>
        </w:rPr>
        <w:t>(National Highway Traffic Safety Administration, 2005)</w:t>
      </w:r>
      <w:r w:rsidRPr="00097CA5">
        <w:rPr>
          <w:sz w:val="24"/>
          <w:szCs w:val="24"/>
        </w:rPr>
        <w:fldChar w:fldCharType="end"/>
      </w:r>
      <w:r w:rsidRPr="00097CA5">
        <w:rPr>
          <w:sz w:val="24"/>
          <w:szCs w:val="24"/>
        </w:rPr>
        <w:t xml:space="preserve"> and are more common in men. The weakening of seasonality in boys under five years of age was related to two phenomena: first, the seasonality of death from cardiorespiratory diseases declined, and second, the proportion of deaths from perinatal conditions, which exhibit limited seasonality (Figure 10-figure supplement 4 and Figure 11-figure supplement 4), increased </w:t>
      </w:r>
      <w:r w:rsidRPr="00097CA5">
        <w:rPr>
          <w:sz w:val="24"/>
          <w:szCs w:val="24"/>
        </w:rPr>
        <w:fldChar w:fldCharType="begin" w:fldLock="1"/>
      </w:r>
      <w:r w:rsidRPr="00097CA5">
        <w:rPr>
          <w:sz w:val="24"/>
          <w:szCs w:val="24"/>
        </w:rPr>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Pr="00097CA5">
        <w:rPr>
          <w:sz w:val="24"/>
          <w:szCs w:val="24"/>
        </w:rPr>
        <w:fldChar w:fldCharType="separate"/>
      </w:r>
      <w:r w:rsidRPr="00097CA5">
        <w:rPr>
          <w:noProof/>
          <w:sz w:val="24"/>
          <w:szCs w:val="24"/>
        </w:rPr>
        <w:t>(MacDorman &amp; Gregory, 2015)</w:t>
      </w:r>
      <w:r w:rsidRPr="00097CA5">
        <w:rPr>
          <w:sz w:val="24"/>
          <w:szCs w:val="24"/>
        </w:rPr>
        <w:fldChar w:fldCharType="end"/>
      </w:r>
      <w:r w:rsidRPr="00097CA5">
        <w:rPr>
          <w:sz w:val="24"/>
          <w:szCs w:val="24"/>
        </w:rPr>
        <w:t>.</w:t>
      </w:r>
    </w:p>
    <w:p w14:paraId="17D9517C" w14:textId="77777777" w:rsidR="006675AE" w:rsidRPr="00097CA5" w:rsidRDefault="006675AE" w:rsidP="00B86210">
      <w:pPr>
        <w:spacing w:line="480" w:lineRule="auto"/>
        <w:jc w:val="both"/>
        <w:rPr>
          <w:sz w:val="24"/>
          <w:szCs w:val="24"/>
        </w:rPr>
      </w:pPr>
      <w:r w:rsidRPr="00097CA5">
        <w:rPr>
          <w:sz w:val="24"/>
          <w:szCs w:val="24"/>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of such interventions include enhancing the availability of both environmental and medical protective factors, such as better insulation of </w:t>
      </w:r>
      <w:r w:rsidRPr="00097CA5">
        <w:rPr>
          <w:sz w:val="24"/>
          <w:szCs w:val="24"/>
        </w:rPr>
        <w:lastRenderedPageBreak/>
        <w:t xml:space="preserve">homes, winter heating provision and flu vaccinations, for the vulnerable older population </w:t>
      </w:r>
      <w:r w:rsidRPr="00097CA5">
        <w:rPr>
          <w:sz w:val="24"/>
          <w:szCs w:val="24"/>
        </w:rPr>
        <w:fldChar w:fldCharType="begin" w:fldLock="1"/>
      </w:r>
      <w:r w:rsidRPr="00097CA5">
        <w:rPr>
          <w:sz w:val="24"/>
          <w:szCs w:val="24"/>
        </w:rPr>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Pr="00097CA5">
        <w:rPr>
          <w:sz w:val="24"/>
          <w:szCs w:val="24"/>
        </w:rPr>
        <w:fldChar w:fldCharType="separate"/>
      </w:r>
      <w:r w:rsidRPr="00097CA5">
        <w:rPr>
          <w:noProof/>
          <w:sz w:val="24"/>
          <w:szCs w:val="24"/>
        </w:rPr>
        <w:t>(Public Health England, 2017)</w:t>
      </w:r>
      <w:r w:rsidRPr="00097CA5">
        <w:rPr>
          <w:sz w:val="24"/>
          <w:szCs w:val="24"/>
        </w:rPr>
        <w:fldChar w:fldCharType="end"/>
      </w:r>
      <w:r w:rsidRPr="00097CA5">
        <w:rPr>
          <w:sz w:val="24"/>
          <w:szCs w:val="24"/>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 </w:t>
      </w:r>
      <w:r w:rsidRPr="00097CA5">
        <w:rPr>
          <w:sz w:val="24"/>
          <w:szCs w:val="24"/>
        </w:rPr>
        <w:fldChar w:fldCharType="begin" w:fldLock="1"/>
      </w:r>
      <w:r w:rsidRPr="00097CA5">
        <w:rPr>
          <w:sz w:val="24"/>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Pr="00097CA5">
        <w:rPr>
          <w:sz w:val="24"/>
          <w:szCs w:val="24"/>
        </w:rPr>
        <w:fldChar w:fldCharType="separate"/>
      </w:r>
      <w:r w:rsidRPr="00097CA5">
        <w:rPr>
          <w:noProof/>
          <w:sz w:val="24"/>
          <w:szCs w:val="24"/>
        </w:rPr>
        <w:t>(Healy, 2003; Lerchl, 1998; Public Health England, 2017)</w:t>
      </w:r>
      <w:r w:rsidRPr="00097CA5">
        <w:rPr>
          <w:sz w:val="24"/>
          <w:szCs w:val="24"/>
        </w:rPr>
        <w:fldChar w:fldCharType="end"/>
      </w:r>
      <w:r w:rsidRPr="00097CA5">
        <w:rPr>
          <w:sz w:val="24"/>
          <w:szCs w:val="24"/>
        </w:rPr>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 </w:t>
      </w:r>
      <w:r w:rsidRPr="00097CA5">
        <w:rPr>
          <w:sz w:val="24"/>
          <w:szCs w:val="24"/>
        </w:rPr>
        <w:fldChar w:fldCharType="begin" w:fldLock="1"/>
      </w:r>
      <w:r w:rsidRPr="00097CA5">
        <w:rPr>
          <w:sz w:val="24"/>
          <w:szCs w:val="24"/>
        </w:rPr>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Pr="00097CA5">
        <w:rPr>
          <w:sz w:val="24"/>
          <w:szCs w:val="24"/>
        </w:rPr>
        <w:fldChar w:fldCharType="separate"/>
      </w:r>
      <w:r w:rsidRPr="00097CA5">
        <w:rPr>
          <w:noProof/>
          <w:sz w:val="24"/>
          <w:szCs w:val="24"/>
        </w:rPr>
        <w:t>(Morris, 2013)</w:t>
      </w:r>
      <w:r w:rsidRPr="00097CA5">
        <w:rPr>
          <w:sz w:val="24"/>
          <w:szCs w:val="24"/>
        </w:rPr>
        <w:fldChar w:fldCharType="end"/>
      </w:r>
      <w:r w:rsidRPr="00097CA5">
        <w:rPr>
          <w:sz w:val="24"/>
          <w:szCs w:val="24"/>
        </w:rPr>
        <w:t xml:space="preserve">. Such interventions are important </w:t>
      </w:r>
      <w:proofErr w:type="gramStart"/>
      <w:r w:rsidRPr="00097CA5">
        <w:rPr>
          <w:sz w:val="24"/>
          <w:szCs w:val="24"/>
        </w:rPr>
        <w:t>today, and</w:t>
      </w:r>
      <w:proofErr w:type="gramEnd"/>
      <w:r w:rsidRPr="00097CA5">
        <w:rPr>
          <w:sz w:val="24"/>
          <w:szCs w:val="24"/>
        </w:rPr>
        <w:t xml:space="preserve"> will remain so as the population ages and climate change increases the within- and between-season weather variability.</w:t>
      </w:r>
    </w:p>
    <w:p w14:paraId="0717C928" w14:textId="77777777" w:rsidR="006675AE" w:rsidRPr="00097CA5" w:rsidRDefault="006675AE" w:rsidP="00097CA5">
      <w:pPr>
        <w:jc w:val="both"/>
        <w:rPr>
          <w:sz w:val="24"/>
          <w:szCs w:val="24"/>
        </w:rPr>
      </w:pPr>
    </w:p>
    <w:p w14:paraId="368CC578" w14:textId="77777777" w:rsidR="006675AE" w:rsidRPr="00127064" w:rsidRDefault="006675AE" w:rsidP="006675AE">
      <w:pPr>
        <w:pStyle w:val="Heading2"/>
      </w:pPr>
      <w:r w:rsidRPr="00127064">
        <w:br w:type="page"/>
      </w:r>
      <w:bookmarkStart w:id="24" w:name="_Toc6045013"/>
      <w:bookmarkStart w:id="25" w:name="_Toc6058601"/>
      <w:r w:rsidRPr="00127064">
        <w:lastRenderedPageBreak/>
        <w:t>References</w:t>
      </w:r>
      <w:bookmarkEnd w:id="24"/>
      <w:bookmarkEnd w:id="25"/>
    </w:p>
    <w:p w14:paraId="51806070" w14:textId="77777777" w:rsidR="006675AE" w:rsidRPr="00127064" w:rsidRDefault="006675AE" w:rsidP="006675AE">
      <w:pPr>
        <w:spacing w:line="240" w:lineRule="auto"/>
        <w:rPr>
          <w:noProof/>
        </w:rPr>
      </w:pPr>
      <w:r w:rsidRPr="00127064">
        <w:rPr>
          <w:b/>
        </w:rPr>
        <w:fldChar w:fldCharType="begin" w:fldLock="1"/>
      </w:r>
      <w:r w:rsidRPr="00127064">
        <w:rPr>
          <w:b/>
        </w:rPr>
        <w:instrText xml:space="preserve">ADDIN Mendeley Bibliography CSL_BIBLIOGRAPHY </w:instrText>
      </w:r>
      <w:r w:rsidRPr="00127064">
        <w:rPr>
          <w:b/>
        </w:rPr>
        <w:fldChar w:fldCharType="separate"/>
      </w:r>
      <w:r w:rsidRPr="00127064">
        <w:rPr>
          <w:noProof/>
        </w:rPr>
        <w:t xml:space="preserve">Basu, R. (2009). High ambient temperature and mortality: A review of epidemiologic studies from 2001 to 2008. </w:t>
      </w:r>
      <w:r w:rsidRPr="00127064">
        <w:rPr>
          <w:i/>
          <w:iCs/>
          <w:noProof/>
        </w:rPr>
        <w:t>Environmental Health: A Global Access Science Source</w:t>
      </w:r>
      <w:r w:rsidRPr="00127064">
        <w:rPr>
          <w:noProof/>
        </w:rPr>
        <w:t>. https://doi.org/10.1186/1476-069X-8-40</w:t>
      </w:r>
    </w:p>
    <w:p w14:paraId="45008C58" w14:textId="77777777" w:rsidR="006675AE" w:rsidRPr="00127064" w:rsidRDefault="006675AE" w:rsidP="006675AE">
      <w:pPr>
        <w:spacing w:line="240" w:lineRule="auto"/>
        <w:rPr>
          <w:noProof/>
        </w:rPr>
      </w:pPr>
      <w:r w:rsidRPr="00127064">
        <w:rPr>
          <w:noProof/>
        </w:rPr>
        <w:t xml:space="preserve">Basu, R., &amp; Samet, J. M. (2002). Relation between elevated ambient temperature and mortality: A review of the epidemiologic evidence. </w:t>
      </w:r>
      <w:r w:rsidRPr="00127064">
        <w:rPr>
          <w:i/>
          <w:iCs/>
          <w:noProof/>
        </w:rPr>
        <w:t>Epidemiologic Reviews</w:t>
      </w:r>
      <w:r w:rsidRPr="00127064">
        <w:rPr>
          <w:noProof/>
        </w:rPr>
        <w:t>. https://doi.org/10.1093/epirev/mxf007</w:t>
      </w:r>
    </w:p>
    <w:p w14:paraId="4114D5C6" w14:textId="77777777" w:rsidR="006675AE" w:rsidRPr="00127064" w:rsidRDefault="006675AE" w:rsidP="006675AE">
      <w:pPr>
        <w:spacing w:line="240" w:lineRule="auto"/>
        <w:rPr>
          <w:noProof/>
        </w:rPr>
      </w:pPr>
      <w:r w:rsidRPr="00127064">
        <w:rPr>
          <w:noProof/>
        </w:rPr>
        <w:t xml:space="preserve">Bennett, J. E., Blangiardo, M., Fecht, D., Elliott, P., &amp; Ezzati, M. (2014). Vulnerability to the mortality effects of warm temperature in the districts of England and Wales. </w:t>
      </w:r>
      <w:r w:rsidRPr="00127064">
        <w:rPr>
          <w:i/>
          <w:iCs/>
          <w:noProof/>
        </w:rPr>
        <w:t>Nature Climate Change</w:t>
      </w:r>
      <w:r w:rsidRPr="00127064">
        <w:rPr>
          <w:noProof/>
        </w:rPr>
        <w:t xml:space="preserve">, </w:t>
      </w:r>
      <w:r w:rsidRPr="00127064">
        <w:rPr>
          <w:i/>
          <w:iCs/>
          <w:noProof/>
        </w:rPr>
        <w:t>4</w:t>
      </w:r>
      <w:r w:rsidRPr="00127064">
        <w:rPr>
          <w:noProof/>
        </w:rPr>
        <w:t>(4), 269–273. https://doi.org/10.1038/nclimate2123</w:t>
      </w:r>
    </w:p>
    <w:p w14:paraId="5759E38C" w14:textId="77777777" w:rsidR="006675AE" w:rsidRPr="00127064" w:rsidRDefault="006675AE" w:rsidP="006675AE">
      <w:pPr>
        <w:spacing w:line="240" w:lineRule="auto"/>
        <w:rPr>
          <w:noProof/>
        </w:rPr>
      </w:pPr>
      <w:r w:rsidRPr="00127064">
        <w:rPr>
          <w:noProof/>
        </w:rPr>
        <w:t xml:space="preserve">Bobb, J. F., Peng, R. D., Bell, M. L., &amp; Dominici, F. (2014). Heat-related mortality and adaptation to heat in the United States. </w:t>
      </w:r>
      <w:r w:rsidRPr="00127064">
        <w:rPr>
          <w:i/>
          <w:iCs/>
          <w:noProof/>
        </w:rPr>
        <w:t>Environmental Health Perspectives</w:t>
      </w:r>
      <w:r w:rsidRPr="00127064">
        <w:rPr>
          <w:noProof/>
        </w:rPr>
        <w:t xml:space="preserve">, </w:t>
      </w:r>
      <w:r w:rsidRPr="00127064">
        <w:rPr>
          <w:i/>
          <w:iCs/>
          <w:noProof/>
        </w:rPr>
        <w:t>122</w:t>
      </w:r>
      <w:r w:rsidRPr="00127064">
        <w:rPr>
          <w:noProof/>
        </w:rPr>
        <w:t>(8), 811–816. https://doi.org/10.1289/ehp.1307392</w:t>
      </w:r>
    </w:p>
    <w:p w14:paraId="2E7B4ACD" w14:textId="77777777" w:rsidR="006675AE" w:rsidRPr="00127064" w:rsidRDefault="006675AE" w:rsidP="006675AE">
      <w:pPr>
        <w:spacing w:line="240" w:lineRule="auto"/>
        <w:rPr>
          <w:noProof/>
        </w:rPr>
      </w:pPr>
      <w:r w:rsidRPr="00127064">
        <w:rPr>
          <w:noProof/>
        </w:rPr>
        <w:t xml:space="preserve">Braga, A. L. F., Zanobetti, A., &amp; Schwartz, J. (2002). The effect of weather on respiratory and cardiovascular deaths in 12 U.S. cities. </w:t>
      </w:r>
      <w:r w:rsidRPr="00127064">
        <w:rPr>
          <w:i/>
          <w:iCs/>
          <w:noProof/>
        </w:rPr>
        <w:t>Environmental Health Perspectives</w:t>
      </w:r>
      <w:r w:rsidRPr="00127064">
        <w:rPr>
          <w:noProof/>
        </w:rPr>
        <w:t xml:space="preserve">, </w:t>
      </w:r>
      <w:r w:rsidRPr="00127064">
        <w:rPr>
          <w:i/>
          <w:iCs/>
          <w:noProof/>
        </w:rPr>
        <w:t>110</w:t>
      </w:r>
      <w:r w:rsidRPr="00127064">
        <w:rPr>
          <w:noProof/>
        </w:rPr>
        <w:t>(9), 859–863. https://doi.org/10.1289/ehp.02110859</w:t>
      </w:r>
    </w:p>
    <w:p w14:paraId="4AF16540" w14:textId="77777777" w:rsidR="006675AE" w:rsidRPr="00127064" w:rsidRDefault="006675AE" w:rsidP="006675AE">
      <w:pPr>
        <w:spacing w:line="240" w:lineRule="auto"/>
        <w:rPr>
          <w:noProof/>
        </w:rPr>
      </w:pPr>
      <w:r w:rsidRPr="00127064">
        <w:rPr>
          <w:noProof/>
        </w:rPr>
        <w:t xml:space="preserve">Campbell, A. (2017). Excess winter mortality in England and Wales: 2016 to 2017 (provisional) and 2015 to 2016 (final). </w:t>
      </w:r>
      <w:r w:rsidRPr="00127064">
        <w:rPr>
          <w:i/>
          <w:iCs/>
          <w:noProof/>
        </w:rPr>
        <w:t>Statistical Bulletin, Office for National Statistics</w:t>
      </w:r>
      <w:r w:rsidRPr="00127064">
        <w:rPr>
          <w:noProof/>
        </w:rPr>
        <w:t>.</w:t>
      </w:r>
    </w:p>
    <w:p w14:paraId="29C62CBB" w14:textId="77777777" w:rsidR="006675AE" w:rsidRPr="00127064" w:rsidRDefault="006675AE" w:rsidP="006675AE">
      <w:pPr>
        <w:spacing w:line="240" w:lineRule="auto"/>
        <w:rPr>
          <w:noProof/>
        </w:rPr>
      </w:pPr>
      <w:r w:rsidRPr="00127064">
        <w:rPr>
          <w:noProof/>
        </w:rPr>
        <w:t xml:space="preserve">Carson, C., Hajat, S., Armstrong, B., &amp; Wilkinson, P. (2006). Declining vulnerability to temperature-related mortality in London over the 20th century. </w:t>
      </w:r>
      <w:r w:rsidRPr="00127064">
        <w:rPr>
          <w:i/>
          <w:iCs/>
          <w:noProof/>
        </w:rPr>
        <w:t>American Journal of Epidemiology</w:t>
      </w:r>
      <w:r w:rsidRPr="00127064">
        <w:rPr>
          <w:noProof/>
        </w:rPr>
        <w:t xml:space="preserve">, </w:t>
      </w:r>
      <w:r w:rsidRPr="00127064">
        <w:rPr>
          <w:i/>
          <w:iCs/>
          <w:noProof/>
        </w:rPr>
        <w:t>164</w:t>
      </w:r>
      <w:r w:rsidRPr="00127064">
        <w:rPr>
          <w:noProof/>
        </w:rPr>
        <w:t>(1), 77–84. https://doi.org/10.1093/aje/kwj147</w:t>
      </w:r>
    </w:p>
    <w:p w14:paraId="32AECBAA" w14:textId="77777777" w:rsidR="006675AE" w:rsidRPr="00127064" w:rsidRDefault="006675AE" w:rsidP="006675AE">
      <w:pPr>
        <w:spacing w:line="240" w:lineRule="auto"/>
        <w:rPr>
          <w:noProof/>
        </w:rPr>
      </w:pPr>
      <w:r w:rsidRPr="00127064">
        <w:rPr>
          <w:noProof/>
        </w:rPr>
        <w:t xml:space="preserve">Cazelles, B., Chavez, M., Berteaux, D., Ménard, F., Vik, J. O., Jenouvrier, S., &amp; Stenseth, N. C. (2008). Wavelet analysis of ecological time series. </w:t>
      </w:r>
      <w:r w:rsidRPr="00127064">
        <w:rPr>
          <w:i/>
          <w:iCs/>
          <w:noProof/>
        </w:rPr>
        <w:t>Oecologia</w:t>
      </w:r>
      <w:r w:rsidRPr="00127064">
        <w:rPr>
          <w:noProof/>
        </w:rPr>
        <w:t>. https://doi.org/10.1007/s00442-008-0993-2</w:t>
      </w:r>
    </w:p>
    <w:p w14:paraId="76C80867" w14:textId="77777777" w:rsidR="006675AE" w:rsidRPr="00127064" w:rsidRDefault="006675AE" w:rsidP="006675AE">
      <w:pPr>
        <w:spacing w:line="240" w:lineRule="auto"/>
        <w:rPr>
          <w:noProof/>
        </w:rPr>
      </w:pPr>
      <w:r w:rsidRPr="00127064">
        <w:rPr>
          <w:noProof/>
        </w:rPr>
        <w:t xml:space="preserve">Davis, R. E., Knappenberger, P. C., Michaels, P. J., &amp; Novicoff, W. M. (2004). Seasonality of climate-human mortality relationships in US cities and impacts of climate change. </w:t>
      </w:r>
      <w:r w:rsidRPr="00127064">
        <w:rPr>
          <w:i/>
          <w:iCs/>
          <w:noProof/>
        </w:rPr>
        <w:t>Climate Research</w:t>
      </w:r>
      <w:r w:rsidRPr="00127064">
        <w:rPr>
          <w:noProof/>
        </w:rPr>
        <w:t xml:space="preserve">, </w:t>
      </w:r>
      <w:r w:rsidRPr="00127064">
        <w:rPr>
          <w:i/>
          <w:iCs/>
          <w:noProof/>
        </w:rPr>
        <w:t>26</w:t>
      </w:r>
      <w:r w:rsidRPr="00127064">
        <w:rPr>
          <w:noProof/>
        </w:rPr>
        <w:t>(1), 61–76. Retrieved from internal-pdf://32.0.35.211/paper.pdf</w:t>
      </w:r>
    </w:p>
    <w:p w14:paraId="72F75AD7" w14:textId="77777777" w:rsidR="006675AE" w:rsidRPr="00127064" w:rsidRDefault="006675AE" w:rsidP="006675AE">
      <w:pPr>
        <w:spacing w:line="240" w:lineRule="auto"/>
        <w:rPr>
          <w:noProof/>
        </w:rPr>
      </w:pPr>
      <w:r w:rsidRPr="00127064">
        <w:rPr>
          <w:noProof/>
        </w:rPr>
        <w:t xml:space="preserve">Dee, D. P., Uppala, S. M., Simmons, A. J., Berrisford, P., Poli, P., Kobayashi, S., … Vitart, F. (2011). The ERA-Interim reanalysis: configuration and performance of the data assimilation system. </w:t>
      </w:r>
      <w:r w:rsidRPr="00127064">
        <w:rPr>
          <w:i/>
          <w:iCs/>
          <w:noProof/>
        </w:rPr>
        <w:t>Quarterly Journal of the Royal Meteorological Society</w:t>
      </w:r>
      <w:r w:rsidRPr="00127064">
        <w:rPr>
          <w:noProof/>
        </w:rPr>
        <w:t xml:space="preserve">, </w:t>
      </w:r>
      <w:r w:rsidRPr="00127064">
        <w:rPr>
          <w:i/>
          <w:iCs/>
          <w:noProof/>
        </w:rPr>
        <w:t>137</w:t>
      </w:r>
      <w:r w:rsidRPr="00127064">
        <w:rPr>
          <w:noProof/>
        </w:rPr>
        <w:t>(656), 553–597. https://doi.org/10.1002/qj.828</w:t>
      </w:r>
    </w:p>
    <w:p w14:paraId="1664DB06" w14:textId="77777777" w:rsidR="006675AE" w:rsidRPr="00127064" w:rsidRDefault="006675AE" w:rsidP="006675AE">
      <w:pPr>
        <w:spacing w:line="240" w:lineRule="auto"/>
        <w:rPr>
          <w:noProof/>
        </w:rPr>
      </w:pPr>
      <w:r w:rsidRPr="00127064">
        <w:rPr>
          <w:noProof/>
        </w:rPr>
        <w:t xml:space="preserve">Feinstein, C. A. (2002). Seasonality of deaths in the U.S. by age and cause. </w:t>
      </w:r>
      <w:r w:rsidRPr="00127064">
        <w:rPr>
          <w:i/>
          <w:iCs/>
          <w:noProof/>
        </w:rPr>
        <w:t>Demographic Research</w:t>
      </w:r>
      <w:r w:rsidRPr="00127064">
        <w:rPr>
          <w:noProof/>
        </w:rPr>
        <w:t xml:space="preserve">, </w:t>
      </w:r>
      <w:r w:rsidRPr="00127064">
        <w:rPr>
          <w:i/>
          <w:iCs/>
          <w:noProof/>
        </w:rPr>
        <w:t>6</w:t>
      </w:r>
      <w:r w:rsidRPr="00127064">
        <w:rPr>
          <w:noProof/>
        </w:rPr>
        <w:t>, 469–486. https://doi.org/10.4054/DemRes.2002.6.17</w:t>
      </w:r>
    </w:p>
    <w:p w14:paraId="363344D4" w14:textId="77777777" w:rsidR="006675AE" w:rsidRPr="00127064" w:rsidRDefault="006675AE" w:rsidP="006675AE">
      <w:pPr>
        <w:spacing w:line="240" w:lineRule="auto"/>
        <w:rPr>
          <w:noProof/>
        </w:rPr>
      </w:pPr>
      <w:r w:rsidRPr="00127064">
        <w:rPr>
          <w:noProof/>
        </w:rPr>
        <w:t xml:space="preserve">Ferreira Braga, A. L., Zanobetti, A., &amp; Schwartz, J. (2001). The time course of weather-related deaths. </w:t>
      </w:r>
      <w:r w:rsidRPr="00127064">
        <w:rPr>
          <w:i/>
          <w:iCs/>
          <w:noProof/>
        </w:rPr>
        <w:t>Epidemiology</w:t>
      </w:r>
      <w:r w:rsidRPr="00127064">
        <w:rPr>
          <w:noProof/>
        </w:rPr>
        <w:t xml:space="preserve">, </w:t>
      </w:r>
      <w:r w:rsidRPr="00127064">
        <w:rPr>
          <w:i/>
          <w:iCs/>
          <w:noProof/>
        </w:rPr>
        <w:t>12</w:t>
      </w:r>
      <w:r w:rsidRPr="00127064">
        <w:rPr>
          <w:noProof/>
        </w:rPr>
        <w:t>(6), 662–667. https://doi.org/10.1097/00001648-200111000-00014</w:t>
      </w:r>
    </w:p>
    <w:p w14:paraId="67E45613" w14:textId="77777777" w:rsidR="006675AE" w:rsidRPr="00127064" w:rsidRDefault="006675AE" w:rsidP="006675AE">
      <w:pPr>
        <w:spacing w:line="240" w:lineRule="auto"/>
        <w:rPr>
          <w:noProof/>
        </w:rPr>
      </w:pPr>
      <w:r w:rsidRPr="00127064">
        <w:rPr>
          <w:noProof/>
        </w:rPr>
        <w:t xml:space="preserve">Fisher, N. I. (1995). </w:t>
      </w:r>
      <w:r w:rsidRPr="00127064">
        <w:rPr>
          <w:i/>
          <w:iCs/>
          <w:noProof/>
        </w:rPr>
        <w:t>Statistical analysis of circular data</w:t>
      </w:r>
      <w:r w:rsidRPr="00127064">
        <w:rPr>
          <w:noProof/>
        </w:rPr>
        <w:t>. Cambridge University Press.</w:t>
      </w:r>
    </w:p>
    <w:p w14:paraId="3DC707AB" w14:textId="77777777" w:rsidR="006675AE" w:rsidRPr="00127064" w:rsidRDefault="006675AE" w:rsidP="006675AE">
      <w:pPr>
        <w:spacing w:line="240" w:lineRule="auto"/>
        <w:rPr>
          <w:noProof/>
        </w:rPr>
      </w:pPr>
      <w:r w:rsidRPr="00127064">
        <w:rPr>
          <w:noProof/>
        </w:rPr>
        <w:t xml:space="preserve">Fowler, T., Southgate, R. J., Waite, T., Harrell, R., Kovats, S., Bone, A., … Murray, V. (2015). Excess winter deaths in Europe: A multi-country descriptive analysis. </w:t>
      </w:r>
      <w:r w:rsidRPr="00127064">
        <w:rPr>
          <w:i/>
          <w:iCs/>
          <w:noProof/>
        </w:rPr>
        <w:t>European Journal of Public Health</w:t>
      </w:r>
      <w:r w:rsidRPr="00127064">
        <w:rPr>
          <w:noProof/>
        </w:rPr>
        <w:t xml:space="preserve">, </w:t>
      </w:r>
      <w:r w:rsidRPr="00127064">
        <w:rPr>
          <w:i/>
          <w:iCs/>
          <w:noProof/>
        </w:rPr>
        <w:t>25</w:t>
      </w:r>
      <w:r w:rsidRPr="00127064">
        <w:rPr>
          <w:noProof/>
        </w:rPr>
        <w:t>(2), 339–345. https://doi.org/10.1093/eurpub/cku073</w:t>
      </w:r>
    </w:p>
    <w:p w14:paraId="177E1320" w14:textId="77777777" w:rsidR="006675AE" w:rsidRPr="00127064" w:rsidRDefault="006675AE" w:rsidP="006675AE">
      <w:pPr>
        <w:spacing w:line="240" w:lineRule="auto"/>
        <w:rPr>
          <w:noProof/>
        </w:rPr>
      </w:pPr>
      <w:r w:rsidRPr="00127064">
        <w:rPr>
          <w:noProof/>
        </w:rPr>
        <w:t xml:space="preserve">Gasparrini, A., Guo, Y., Hashizume, M., Lavigne, E., Zanobetti, A., Schwartz, J., … Armstrong, B. (2015). Mortality risk attributable to high and low ambient temperature: A multicountry observational study. </w:t>
      </w:r>
      <w:r w:rsidRPr="00127064">
        <w:rPr>
          <w:i/>
          <w:iCs/>
          <w:noProof/>
        </w:rPr>
        <w:t>The Lancet</w:t>
      </w:r>
      <w:r w:rsidRPr="00127064">
        <w:rPr>
          <w:noProof/>
        </w:rPr>
        <w:t xml:space="preserve">, </w:t>
      </w:r>
      <w:r w:rsidRPr="00127064">
        <w:rPr>
          <w:i/>
          <w:iCs/>
          <w:noProof/>
        </w:rPr>
        <w:t>386</w:t>
      </w:r>
      <w:r w:rsidRPr="00127064">
        <w:rPr>
          <w:noProof/>
        </w:rPr>
        <w:t>(9991), 369–375. https://doi.org/10.1016/S0140-6736(14)62114-0</w:t>
      </w:r>
    </w:p>
    <w:p w14:paraId="5AB06A98" w14:textId="77777777" w:rsidR="006675AE" w:rsidRPr="00127064" w:rsidRDefault="006675AE" w:rsidP="006675AE">
      <w:pPr>
        <w:spacing w:line="240" w:lineRule="auto"/>
        <w:rPr>
          <w:noProof/>
        </w:rPr>
      </w:pPr>
      <w:r w:rsidRPr="00127064">
        <w:rPr>
          <w:noProof/>
        </w:rPr>
        <w:lastRenderedPageBreak/>
        <w:t xml:space="preserve">Grenfell, B. T., Bjørnstad, O. N., &amp; Kappey, J. (2001). Travelling waves and spatial hierarchies in measles epidemics. </w:t>
      </w:r>
      <w:r w:rsidRPr="00127064">
        <w:rPr>
          <w:i/>
          <w:iCs/>
          <w:noProof/>
        </w:rPr>
        <w:t>Nature</w:t>
      </w:r>
      <w:r w:rsidRPr="00127064">
        <w:rPr>
          <w:noProof/>
        </w:rPr>
        <w:t xml:space="preserve">, </w:t>
      </w:r>
      <w:r w:rsidRPr="00127064">
        <w:rPr>
          <w:i/>
          <w:iCs/>
          <w:noProof/>
        </w:rPr>
        <w:t>414</w:t>
      </w:r>
      <w:r w:rsidRPr="00127064">
        <w:rPr>
          <w:noProof/>
        </w:rPr>
        <w:t>(6865), 716–723. https://doi.org/10.1038/414716a</w:t>
      </w:r>
    </w:p>
    <w:p w14:paraId="3CF63D5C" w14:textId="77777777" w:rsidR="006675AE" w:rsidRPr="00127064" w:rsidRDefault="006675AE" w:rsidP="006675AE">
      <w:pPr>
        <w:spacing w:line="240" w:lineRule="auto"/>
        <w:rPr>
          <w:noProof/>
        </w:rPr>
      </w:pPr>
      <w:r w:rsidRPr="00127064">
        <w:rPr>
          <w:noProof/>
        </w:rPr>
        <w:t xml:space="preserve">Healy, J. D. (2003). Excess winter mortality in Europe: A cross country analysis identifying key risk factors. </w:t>
      </w:r>
      <w:r w:rsidRPr="00127064">
        <w:rPr>
          <w:i/>
          <w:iCs/>
          <w:noProof/>
        </w:rPr>
        <w:t>Journal of Epidemiology and Community Health</w:t>
      </w:r>
      <w:r w:rsidRPr="00127064">
        <w:rPr>
          <w:noProof/>
        </w:rPr>
        <w:t xml:space="preserve">, </w:t>
      </w:r>
      <w:r w:rsidRPr="00127064">
        <w:rPr>
          <w:i/>
          <w:iCs/>
          <w:noProof/>
        </w:rPr>
        <w:t>57</w:t>
      </w:r>
      <w:r w:rsidRPr="00127064">
        <w:rPr>
          <w:noProof/>
        </w:rPr>
        <w:t>(10), 784–789. https://doi.org/10.1136/jech.57.10.784</w:t>
      </w:r>
    </w:p>
    <w:p w14:paraId="4D9CBABA" w14:textId="77777777" w:rsidR="006675AE" w:rsidRPr="00127064" w:rsidRDefault="006675AE" w:rsidP="006675AE">
      <w:pPr>
        <w:spacing w:line="240" w:lineRule="auto"/>
        <w:rPr>
          <w:noProof/>
        </w:rPr>
      </w:pPr>
      <w:r w:rsidRPr="00127064">
        <w:rPr>
          <w:noProof/>
        </w:rPr>
        <w:t>Hubbard, B. B. (1998). The world according to wavelets: the story of a mathematical technique in the making. A K Peters/CRC Press.</w:t>
      </w:r>
    </w:p>
    <w:p w14:paraId="10B45647" w14:textId="77777777" w:rsidR="006675AE" w:rsidRPr="00127064" w:rsidRDefault="006675AE" w:rsidP="006675AE">
      <w:pPr>
        <w:spacing w:line="240" w:lineRule="auto"/>
        <w:rPr>
          <w:noProof/>
        </w:rPr>
      </w:pPr>
      <w:r w:rsidRPr="00127064">
        <w:rPr>
          <w:noProof/>
        </w:rPr>
        <w:t xml:space="preserve">Ingram, D. D., Parker, J. D., Schenker, N., Weed, J. A., Hamilton, B., Arias, E., &amp; Madans, J. H. (2003). United States Census 2000 population with bridged race categories. </w:t>
      </w:r>
      <w:r w:rsidRPr="00127064">
        <w:rPr>
          <w:i/>
          <w:iCs/>
          <w:noProof/>
        </w:rPr>
        <w:t>Vital and Health Statistics. Series 2, Data Evaluation and Methods Research</w:t>
      </w:r>
      <w:r w:rsidRPr="00127064">
        <w:rPr>
          <w:noProof/>
        </w:rPr>
        <w:t>, (135), 1–55. Retrieved from internal-pdf://103.99.132.94/paper.pdf</w:t>
      </w:r>
    </w:p>
    <w:p w14:paraId="715E9A10" w14:textId="77777777" w:rsidR="006675AE" w:rsidRPr="00127064" w:rsidRDefault="006675AE" w:rsidP="006675AE">
      <w:pPr>
        <w:spacing w:line="240" w:lineRule="auto"/>
        <w:rPr>
          <w:noProof/>
        </w:rPr>
      </w:pPr>
      <w:r w:rsidRPr="00127064">
        <w:rPr>
          <w:noProof/>
        </w:rPr>
        <w:t xml:space="preserve">Kalkstein, A. J. (2013). Regional Similarities in Seasonal Mortality across the United States: An Examination of 28 Metropolitan Statistical Areas. </w:t>
      </w:r>
      <w:r w:rsidRPr="00127064">
        <w:rPr>
          <w:i/>
          <w:iCs/>
          <w:noProof/>
        </w:rPr>
        <w:t>PLoS ONE</w:t>
      </w:r>
      <w:r w:rsidRPr="00127064">
        <w:rPr>
          <w:noProof/>
        </w:rPr>
        <w:t xml:space="preserve">, </w:t>
      </w:r>
      <w:r w:rsidRPr="00127064">
        <w:rPr>
          <w:i/>
          <w:iCs/>
          <w:noProof/>
        </w:rPr>
        <w:t>8</w:t>
      </w:r>
      <w:r w:rsidRPr="00127064">
        <w:rPr>
          <w:noProof/>
        </w:rPr>
        <w:t>(5). https://doi.org/10.1371/journal.pone.0063971</w:t>
      </w:r>
    </w:p>
    <w:p w14:paraId="55494176" w14:textId="77777777" w:rsidR="006675AE" w:rsidRPr="00127064" w:rsidRDefault="006675AE" w:rsidP="006675AE">
      <w:pPr>
        <w:spacing w:line="240" w:lineRule="auto"/>
        <w:rPr>
          <w:noProof/>
        </w:rPr>
      </w:pPr>
      <w:r w:rsidRPr="00127064">
        <w:rPr>
          <w:noProof/>
        </w:rPr>
        <w:t>Karl, T. R., &amp; Koss, W. J. (1984). Regional and national monthly, seasonal, and annual temperature weighted by area, 1895-1983.</w:t>
      </w:r>
    </w:p>
    <w:p w14:paraId="76612A33" w14:textId="77777777" w:rsidR="006675AE" w:rsidRPr="00127064" w:rsidRDefault="006675AE" w:rsidP="006675AE">
      <w:pPr>
        <w:spacing w:line="240" w:lineRule="auto"/>
        <w:rPr>
          <w:noProof/>
        </w:rPr>
      </w:pPr>
      <w:r w:rsidRPr="00127064">
        <w:rPr>
          <w:noProof/>
        </w:rPr>
        <w:t xml:space="preserve">Kinney, P. L., Schwartz, J., Pascal, M., Petkova, E., Tertre, A. Le, Medina, S., &amp; Vautard, R. (2015). Winter season mortality: Will climate warming bring benefits? </w:t>
      </w:r>
      <w:r w:rsidRPr="00127064">
        <w:rPr>
          <w:i/>
          <w:iCs/>
          <w:noProof/>
        </w:rPr>
        <w:t>Environmental Research Letters</w:t>
      </w:r>
      <w:r w:rsidRPr="00127064">
        <w:rPr>
          <w:noProof/>
        </w:rPr>
        <w:t xml:space="preserve">, </w:t>
      </w:r>
      <w:r w:rsidRPr="00127064">
        <w:rPr>
          <w:i/>
          <w:iCs/>
          <w:noProof/>
        </w:rPr>
        <w:t>10</w:t>
      </w:r>
      <w:r w:rsidRPr="00127064">
        <w:rPr>
          <w:noProof/>
        </w:rPr>
        <w:t>(6). https://doi.org/10.1088/1748-9326/10/6/064016</w:t>
      </w:r>
    </w:p>
    <w:p w14:paraId="089CDAAB" w14:textId="77777777" w:rsidR="006675AE" w:rsidRPr="00127064" w:rsidRDefault="006675AE" w:rsidP="006675AE">
      <w:pPr>
        <w:spacing w:line="240" w:lineRule="auto"/>
        <w:rPr>
          <w:noProof/>
        </w:rPr>
      </w:pPr>
      <w:r w:rsidRPr="00127064">
        <w:rPr>
          <w:noProof/>
        </w:rPr>
        <w:t xml:space="preserve">Langford, I. H., &amp; Bentham, G. (1995). The potential effects of climate change on winter mortality in England and Wales. </w:t>
      </w:r>
      <w:r w:rsidRPr="00127064">
        <w:rPr>
          <w:i/>
          <w:iCs/>
          <w:noProof/>
        </w:rPr>
        <w:t>Int J Biometeorol</w:t>
      </w:r>
      <w:r w:rsidRPr="00127064">
        <w:rPr>
          <w:noProof/>
        </w:rPr>
        <w:t xml:space="preserve">, </w:t>
      </w:r>
      <w:r w:rsidRPr="00127064">
        <w:rPr>
          <w:i/>
          <w:iCs/>
          <w:noProof/>
        </w:rPr>
        <w:t>38</w:t>
      </w:r>
      <w:r w:rsidRPr="00127064">
        <w:rPr>
          <w:noProof/>
        </w:rPr>
        <w:t>(3), 141–147. Retrieved from internal-pdf://189.27.88.183/art%253A10.1007%252FBF01208491.pdf</w:t>
      </w:r>
    </w:p>
    <w:p w14:paraId="047D9A95" w14:textId="77777777" w:rsidR="006675AE" w:rsidRPr="00127064" w:rsidRDefault="006675AE" w:rsidP="006675AE">
      <w:pPr>
        <w:spacing w:line="240" w:lineRule="auto"/>
        <w:rPr>
          <w:noProof/>
        </w:rPr>
      </w:pPr>
      <w:r w:rsidRPr="00127064">
        <w:rPr>
          <w:noProof/>
        </w:rPr>
        <w:t xml:space="preserve">Lerchl, A. (1998). Changes in the seasonality of mortality in Germany from 1946 to 1995: the role of temperature. </w:t>
      </w:r>
      <w:r w:rsidRPr="00127064">
        <w:rPr>
          <w:i/>
          <w:iCs/>
          <w:noProof/>
        </w:rPr>
        <w:t>International Journal of Biometeorology</w:t>
      </w:r>
      <w:r w:rsidRPr="00127064">
        <w:rPr>
          <w:noProof/>
        </w:rPr>
        <w:t xml:space="preserve">, </w:t>
      </w:r>
      <w:r w:rsidRPr="00127064">
        <w:rPr>
          <w:i/>
          <w:iCs/>
          <w:noProof/>
        </w:rPr>
        <w:t>42</w:t>
      </w:r>
      <w:r w:rsidRPr="00127064">
        <w:rPr>
          <w:noProof/>
        </w:rPr>
        <w:t>(2), 84–88. https://doi.org/10.1007/s004840050089</w:t>
      </w:r>
    </w:p>
    <w:p w14:paraId="619FEC0A" w14:textId="77777777" w:rsidR="006675AE" w:rsidRPr="00127064" w:rsidRDefault="006675AE" w:rsidP="006675AE">
      <w:pPr>
        <w:spacing w:line="240" w:lineRule="auto"/>
        <w:rPr>
          <w:noProof/>
        </w:rPr>
      </w:pPr>
      <w:r w:rsidRPr="00127064">
        <w:rPr>
          <w:noProof/>
        </w:rPr>
        <w:t xml:space="preserve">MacDorman, M. F., &amp; Gregory, E. (2015). Fetal and Perinatal Mortality: United States, 2013. </w:t>
      </w:r>
      <w:r w:rsidRPr="00127064">
        <w:rPr>
          <w:i/>
          <w:iCs/>
          <w:noProof/>
        </w:rPr>
        <w:t>National Vital Statistics Reports</w:t>
      </w:r>
      <w:r w:rsidRPr="00127064">
        <w:rPr>
          <w:noProof/>
        </w:rPr>
        <w:t xml:space="preserve">, </w:t>
      </w:r>
      <w:r w:rsidRPr="00127064">
        <w:rPr>
          <w:i/>
          <w:iCs/>
          <w:noProof/>
        </w:rPr>
        <w:t>64</w:t>
      </w:r>
      <w:r w:rsidRPr="00127064">
        <w:rPr>
          <w:noProof/>
        </w:rPr>
        <w:t>(8), 1–24.</w:t>
      </w:r>
    </w:p>
    <w:p w14:paraId="4F2F3863" w14:textId="77777777" w:rsidR="006675AE" w:rsidRPr="00127064" w:rsidRDefault="006675AE" w:rsidP="006675AE">
      <w:pPr>
        <w:spacing w:line="240" w:lineRule="auto"/>
        <w:rPr>
          <w:noProof/>
        </w:rPr>
      </w:pPr>
      <w:r w:rsidRPr="00127064">
        <w:rPr>
          <w:noProof/>
        </w:rPr>
        <w:t xml:space="preserve">Martens, W. J. (1998). Climate change, thermal stress and mortality changes. </w:t>
      </w:r>
      <w:r w:rsidRPr="00127064">
        <w:rPr>
          <w:i/>
          <w:iCs/>
          <w:noProof/>
        </w:rPr>
        <w:t>Soc Sci Med</w:t>
      </w:r>
      <w:r w:rsidRPr="00127064">
        <w:rPr>
          <w:noProof/>
        </w:rPr>
        <w:t xml:space="preserve">, </w:t>
      </w:r>
      <w:r w:rsidRPr="00127064">
        <w:rPr>
          <w:i/>
          <w:iCs/>
          <w:noProof/>
        </w:rPr>
        <w:t>46</w:t>
      </w:r>
      <w:r w:rsidRPr="00127064">
        <w:rPr>
          <w:noProof/>
        </w:rPr>
        <w:t>(3), 331–344. Retrieved from internal-pdf://57.13.130.132/1-s2.0-S0277953697001627-main.pdf</w:t>
      </w:r>
    </w:p>
    <w:p w14:paraId="6193185C" w14:textId="77777777" w:rsidR="006675AE" w:rsidRPr="00127064" w:rsidRDefault="006675AE" w:rsidP="006675AE">
      <w:pPr>
        <w:spacing w:line="240" w:lineRule="auto"/>
        <w:rPr>
          <w:noProof/>
        </w:rPr>
      </w:pPr>
      <w:r w:rsidRPr="00127064">
        <w:rPr>
          <w:noProof/>
        </w:rPr>
        <w:t xml:space="preserve">McKee, C. M. (1989). Deaths in winter: Can Britain learn from Europe? </w:t>
      </w:r>
      <w:r w:rsidRPr="00127064">
        <w:rPr>
          <w:i/>
          <w:iCs/>
          <w:noProof/>
        </w:rPr>
        <w:t>European Journal of Epidemiology</w:t>
      </w:r>
      <w:r w:rsidRPr="00127064">
        <w:rPr>
          <w:noProof/>
        </w:rPr>
        <w:t xml:space="preserve">, </w:t>
      </w:r>
      <w:r w:rsidRPr="00127064">
        <w:rPr>
          <w:i/>
          <w:iCs/>
          <w:noProof/>
        </w:rPr>
        <w:t>5</w:t>
      </w:r>
      <w:r w:rsidRPr="00127064">
        <w:rPr>
          <w:noProof/>
        </w:rPr>
        <w:t>(2), 178–182. https://doi.org/10.1007/BF00156826</w:t>
      </w:r>
    </w:p>
    <w:p w14:paraId="631A7EED" w14:textId="77777777" w:rsidR="006675AE" w:rsidRPr="00127064" w:rsidRDefault="006675AE" w:rsidP="006675AE">
      <w:pPr>
        <w:spacing w:line="240" w:lineRule="auto"/>
        <w:rPr>
          <w:noProof/>
        </w:rPr>
      </w:pPr>
      <w:r w:rsidRPr="00127064">
        <w:rPr>
          <w:noProof/>
        </w:rPr>
        <w:t xml:space="preserve">Medina-Ramón, M., &amp; Schwartz, J. (2007). Temperature, temperature extremes, and mortality: A study of acclimatisation and effect modification in 50 US cities. </w:t>
      </w:r>
      <w:r w:rsidRPr="00127064">
        <w:rPr>
          <w:i/>
          <w:iCs/>
          <w:noProof/>
        </w:rPr>
        <w:t>Occupational and Environmental Medicine</w:t>
      </w:r>
      <w:r w:rsidRPr="00127064">
        <w:rPr>
          <w:noProof/>
        </w:rPr>
        <w:t xml:space="preserve">, </w:t>
      </w:r>
      <w:r w:rsidRPr="00127064">
        <w:rPr>
          <w:i/>
          <w:iCs/>
          <w:noProof/>
        </w:rPr>
        <w:t>64</w:t>
      </w:r>
      <w:r w:rsidRPr="00127064">
        <w:rPr>
          <w:noProof/>
        </w:rPr>
        <w:t>(12), 827–833. https://doi.org/10.1136/oem.2007.033175</w:t>
      </w:r>
    </w:p>
    <w:p w14:paraId="0A842D75" w14:textId="77777777" w:rsidR="006675AE" w:rsidRPr="00127064" w:rsidRDefault="006675AE" w:rsidP="006675AE">
      <w:pPr>
        <w:spacing w:line="240" w:lineRule="auto"/>
        <w:rPr>
          <w:noProof/>
        </w:rPr>
      </w:pPr>
      <w:r w:rsidRPr="00127064">
        <w:rPr>
          <w:noProof/>
        </w:rPr>
        <w:t xml:space="preserve">Morris, M. E. (2013). Smart-Home Technologies to Assist Older People to Live Well at Home. </w:t>
      </w:r>
      <w:r w:rsidRPr="00127064">
        <w:rPr>
          <w:i/>
          <w:iCs/>
          <w:noProof/>
        </w:rPr>
        <w:t>Journal of Aging Science</w:t>
      </w:r>
      <w:r w:rsidRPr="00127064">
        <w:rPr>
          <w:noProof/>
        </w:rPr>
        <w:t xml:space="preserve">, </w:t>
      </w:r>
      <w:r w:rsidRPr="00127064">
        <w:rPr>
          <w:i/>
          <w:iCs/>
          <w:noProof/>
        </w:rPr>
        <w:t>01</w:t>
      </w:r>
      <w:r w:rsidRPr="00127064">
        <w:rPr>
          <w:noProof/>
        </w:rPr>
        <w:t>(01). https://doi.org/10.4172/2329-8847.1000101</w:t>
      </w:r>
    </w:p>
    <w:p w14:paraId="0BD08F70" w14:textId="77777777" w:rsidR="006675AE" w:rsidRPr="00127064" w:rsidRDefault="006675AE" w:rsidP="006675AE">
      <w:pPr>
        <w:spacing w:line="240" w:lineRule="auto"/>
        <w:rPr>
          <w:noProof/>
        </w:rPr>
      </w:pPr>
      <w:r w:rsidRPr="00127064">
        <w:rPr>
          <w:noProof/>
        </w:rPr>
        <w:t xml:space="preserve">Moy, C. M., Seltzer, G. O., Rodbell, D. T., &amp; Anderson, D. M. (2002). Variability of El Niño/Southern Oscillation activity at millennial timescales during the Holocene epoch. </w:t>
      </w:r>
      <w:r w:rsidRPr="00127064">
        <w:rPr>
          <w:i/>
          <w:iCs/>
          <w:noProof/>
        </w:rPr>
        <w:t>Nature</w:t>
      </w:r>
      <w:r w:rsidRPr="00127064">
        <w:rPr>
          <w:noProof/>
        </w:rPr>
        <w:t xml:space="preserve">, </w:t>
      </w:r>
      <w:r w:rsidRPr="00127064">
        <w:rPr>
          <w:i/>
          <w:iCs/>
          <w:noProof/>
        </w:rPr>
        <w:t>420</w:t>
      </w:r>
      <w:r w:rsidRPr="00127064">
        <w:rPr>
          <w:noProof/>
        </w:rPr>
        <w:t>(6912), 162–165. https://doi.org/10.1038/nature01194</w:t>
      </w:r>
    </w:p>
    <w:p w14:paraId="5B1B7C6D" w14:textId="77777777" w:rsidR="006675AE" w:rsidRPr="00127064" w:rsidRDefault="006675AE" w:rsidP="006675AE">
      <w:pPr>
        <w:spacing w:line="240" w:lineRule="auto"/>
        <w:rPr>
          <w:noProof/>
        </w:rPr>
      </w:pPr>
      <w:r w:rsidRPr="00127064">
        <w:rPr>
          <w:noProof/>
        </w:rPr>
        <w:lastRenderedPageBreak/>
        <w:t xml:space="preserve">National Highway Traffic Safety Administration. (2005). Trend and Pattern Analysis of Highway Crash Fatality By Month and Day. </w:t>
      </w:r>
      <w:r w:rsidRPr="00127064">
        <w:rPr>
          <w:i/>
          <w:iCs/>
          <w:noProof/>
        </w:rPr>
        <w:t>National Center for Statistics and Analysis (NCHS)</w:t>
      </w:r>
      <w:r w:rsidRPr="00127064">
        <w:rPr>
          <w:noProof/>
        </w:rPr>
        <w:t>, (March).</w:t>
      </w:r>
    </w:p>
    <w:p w14:paraId="4881390A" w14:textId="77777777" w:rsidR="006675AE" w:rsidRPr="00127064" w:rsidRDefault="006675AE" w:rsidP="006675AE">
      <w:pPr>
        <w:spacing w:line="240" w:lineRule="auto"/>
        <w:rPr>
          <w:noProof/>
        </w:rPr>
      </w:pPr>
      <w:r w:rsidRPr="00127064">
        <w:rPr>
          <w:noProof/>
        </w:rPr>
        <w:t xml:space="preserve">Public Health England. (2017). The Cold Weather Plan for England. </w:t>
      </w:r>
      <w:r w:rsidRPr="00127064">
        <w:rPr>
          <w:i/>
          <w:iCs/>
          <w:noProof/>
        </w:rPr>
        <w:t>Public Health England</w:t>
      </w:r>
      <w:r w:rsidRPr="00127064">
        <w:rPr>
          <w:noProof/>
        </w:rPr>
        <w:t>, (October).</w:t>
      </w:r>
    </w:p>
    <w:p w14:paraId="20760D80" w14:textId="77777777" w:rsidR="006675AE" w:rsidRPr="00127064" w:rsidRDefault="006675AE" w:rsidP="006675AE">
      <w:pPr>
        <w:spacing w:line="240" w:lineRule="auto"/>
        <w:rPr>
          <w:noProof/>
        </w:rPr>
      </w:pPr>
      <w:r w:rsidRPr="00127064">
        <w:rPr>
          <w:noProof/>
        </w:rPr>
        <w:t xml:space="preserve">Rau, R. (2004). Seasonality in Human Mortality.  A Demographic Approach. </w:t>
      </w:r>
      <w:r w:rsidRPr="00127064">
        <w:rPr>
          <w:i/>
          <w:iCs/>
          <w:noProof/>
        </w:rPr>
        <w:t>Wirtschafts- Und Sozialwissenschaftlichen Fakultät</w:t>
      </w:r>
      <w:r w:rsidRPr="00127064">
        <w:rPr>
          <w:noProof/>
        </w:rPr>
        <w:t xml:space="preserve">, </w:t>
      </w:r>
      <w:r w:rsidRPr="00127064">
        <w:rPr>
          <w:i/>
          <w:iCs/>
          <w:noProof/>
        </w:rPr>
        <w:t>PhD</w:t>
      </w:r>
      <w:r w:rsidRPr="00127064">
        <w:rPr>
          <w:noProof/>
        </w:rPr>
        <w:t>, 361. https://doi.org/10.1007/978-3-540-44902-7</w:t>
      </w:r>
    </w:p>
    <w:p w14:paraId="6BF0AB4F" w14:textId="77777777" w:rsidR="006675AE" w:rsidRPr="00127064" w:rsidRDefault="006675AE" w:rsidP="006675AE">
      <w:pPr>
        <w:spacing w:line="240" w:lineRule="auto"/>
        <w:rPr>
          <w:noProof/>
        </w:rPr>
      </w:pPr>
      <w:r w:rsidRPr="00127064">
        <w:rPr>
          <w:noProof/>
        </w:rPr>
        <w:t xml:space="preserve">Rau, R., Bohk-Ewald, C., Muszyńska, M. M., &amp; Vaupel, J. W. (2018). </w:t>
      </w:r>
      <w:r w:rsidRPr="00127064">
        <w:rPr>
          <w:i/>
          <w:iCs/>
          <w:noProof/>
        </w:rPr>
        <w:t>Visualizing Mortality Dynamics in the Lexis Diagram</w:t>
      </w:r>
      <w:r w:rsidRPr="00127064">
        <w:rPr>
          <w:noProof/>
        </w:rPr>
        <w:t>. https://doi.org/10.1007/978-3-319-64820-0</w:t>
      </w:r>
    </w:p>
    <w:p w14:paraId="0AE8DE4D" w14:textId="77777777" w:rsidR="006675AE" w:rsidRPr="00127064" w:rsidRDefault="006675AE" w:rsidP="006675AE">
      <w:pPr>
        <w:spacing w:line="240" w:lineRule="auto"/>
        <w:rPr>
          <w:noProof/>
        </w:rPr>
      </w:pPr>
      <w:r w:rsidRPr="00127064">
        <w:rPr>
          <w:noProof/>
        </w:rPr>
        <w:t xml:space="preserve">Rosenwaike, I. (1966). Seasonal Variation of Deaths in the United States, 1951–1960. </w:t>
      </w:r>
      <w:r w:rsidRPr="00127064">
        <w:rPr>
          <w:i/>
          <w:iCs/>
          <w:noProof/>
        </w:rPr>
        <w:t>Journal of the American Statistical Association</w:t>
      </w:r>
      <w:r w:rsidRPr="00127064">
        <w:rPr>
          <w:noProof/>
        </w:rPr>
        <w:t xml:space="preserve">, </w:t>
      </w:r>
      <w:r w:rsidRPr="00127064">
        <w:rPr>
          <w:i/>
          <w:iCs/>
          <w:noProof/>
        </w:rPr>
        <w:t>61</w:t>
      </w:r>
      <w:r w:rsidRPr="00127064">
        <w:rPr>
          <w:noProof/>
        </w:rPr>
        <w:t>(315), 706–719. https://doi.org/10.1080/01621459.1966.10480899</w:t>
      </w:r>
    </w:p>
    <w:p w14:paraId="22A4F954" w14:textId="77777777" w:rsidR="006675AE" w:rsidRPr="00127064" w:rsidRDefault="006675AE" w:rsidP="006675AE">
      <w:pPr>
        <w:spacing w:line="240" w:lineRule="auto"/>
        <w:rPr>
          <w:noProof/>
        </w:rPr>
      </w:pPr>
      <w:r w:rsidRPr="00127064">
        <w:rPr>
          <w:noProof/>
        </w:rPr>
        <w:t xml:space="preserve">Seretakis, D. (1997). Changing Seasonality of Mortality From Coronary Heart Disease. </w:t>
      </w:r>
      <w:r w:rsidRPr="00127064">
        <w:rPr>
          <w:i/>
          <w:iCs/>
          <w:noProof/>
        </w:rPr>
        <w:t>JAMA: The Journal of the American Medical Association</w:t>
      </w:r>
      <w:r w:rsidRPr="00127064">
        <w:rPr>
          <w:noProof/>
        </w:rPr>
        <w:t xml:space="preserve">, </w:t>
      </w:r>
      <w:r w:rsidRPr="00127064">
        <w:rPr>
          <w:i/>
          <w:iCs/>
          <w:noProof/>
        </w:rPr>
        <w:t>278</w:t>
      </w:r>
      <w:r w:rsidRPr="00127064">
        <w:rPr>
          <w:noProof/>
        </w:rPr>
        <w:t>(12), 1012. https://doi.org/10.1001/jama.1997.03550120072036</w:t>
      </w:r>
    </w:p>
    <w:p w14:paraId="2DFDDEB0" w14:textId="77777777" w:rsidR="006675AE" w:rsidRPr="00127064" w:rsidRDefault="006675AE" w:rsidP="006675AE">
      <w:pPr>
        <w:spacing w:line="240" w:lineRule="auto"/>
        <w:rPr>
          <w:noProof/>
        </w:rPr>
      </w:pPr>
      <w:r w:rsidRPr="00127064">
        <w:rPr>
          <w:noProof/>
        </w:rPr>
        <w:t xml:space="preserve">Sheridan, S. C., Kalkstein, A. J., &amp; Kalkstein, L. S. (2009). Trends in heat-related mortality in the United States, 1975-2004. </w:t>
      </w:r>
      <w:r w:rsidRPr="00127064">
        <w:rPr>
          <w:i/>
          <w:iCs/>
          <w:noProof/>
        </w:rPr>
        <w:t>Natural Hazards</w:t>
      </w:r>
      <w:r w:rsidRPr="00127064">
        <w:rPr>
          <w:noProof/>
        </w:rPr>
        <w:t xml:space="preserve">, </w:t>
      </w:r>
      <w:r w:rsidRPr="00127064">
        <w:rPr>
          <w:i/>
          <w:iCs/>
          <w:noProof/>
        </w:rPr>
        <w:t>50</w:t>
      </w:r>
      <w:r w:rsidRPr="00127064">
        <w:rPr>
          <w:noProof/>
        </w:rPr>
        <w:t>(1), 145–160. https://doi.org/10.1007/s11069-008-9327-2</w:t>
      </w:r>
    </w:p>
    <w:p w14:paraId="7F54D13D" w14:textId="77777777" w:rsidR="006675AE" w:rsidRPr="00127064" w:rsidRDefault="006675AE" w:rsidP="006675AE">
      <w:pPr>
        <w:spacing w:line="240" w:lineRule="auto"/>
        <w:rPr>
          <w:noProof/>
        </w:rPr>
      </w:pPr>
      <w:r w:rsidRPr="00127064">
        <w:rPr>
          <w:noProof/>
        </w:rPr>
        <w:t xml:space="preserve">Torrence, C., &amp; Compo, G. P. (1998). A Practical Guide to Wavelet Analysis. </w:t>
      </w:r>
      <w:r w:rsidRPr="00127064">
        <w:rPr>
          <w:i/>
          <w:iCs/>
          <w:noProof/>
        </w:rPr>
        <w:t>Bulletin of the American Meteorological Society</w:t>
      </w:r>
      <w:r w:rsidRPr="00127064">
        <w:rPr>
          <w:noProof/>
        </w:rPr>
        <w:t>. https://doi.org/10.1175/1520-0477(1998)079&lt;0061:APGTWA&gt;2.0.CO;2</w:t>
      </w:r>
    </w:p>
    <w:p w14:paraId="73EC000D" w14:textId="77777777" w:rsidR="006675AE" w:rsidRPr="00127064" w:rsidRDefault="006675AE" w:rsidP="006675AE">
      <w:pPr>
        <w:spacing w:line="240" w:lineRule="auto"/>
      </w:pPr>
      <w:r w:rsidRPr="00127064">
        <w:fldChar w:fldCharType="end"/>
      </w:r>
      <w:r w:rsidRPr="00127064">
        <w:br w:type="page"/>
      </w:r>
    </w:p>
    <w:p w14:paraId="3FCAEC55" w14:textId="77777777" w:rsidR="006675AE" w:rsidRPr="00127064" w:rsidRDefault="006675AE" w:rsidP="006675AE">
      <w:r w:rsidRPr="00127064">
        <w:rPr>
          <w:b/>
        </w:rPr>
        <w:lastRenderedPageBreak/>
        <w:t>Figure 1</w:t>
      </w:r>
      <w:r w:rsidRPr="00127064">
        <w:t>: Climate regions of the USA.</w:t>
      </w:r>
      <w:r w:rsidRPr="00127064">
        <w:rPr>
          <w:b/>
        </w:rPr>
        <w:br w:type="page"/>
      </w:r>
    </w:p>
    <w:p w14:paraId="66D94B39" w14:textId="77777777" w:rsidR="006675AE" w:rsidRPr="00127064" w:rsidRDefault="006675AE" w:rsidP="006675AE">
      <w:r w:rsidRPr="00127064">
        <w:rPr>
          <w:b/>
        </w:rPr>
        <w:lastRenderedPageBreak/>
        <w:t xml:space="preserve">Figure 2: </w:t>
      </w:r>
      <w:r w:rsidRPr="00127064">
        <w:t>Wavelet power spectra for national time series of all-cause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3927BB73" w14:textId="77777777" w:rsidR="006675AE" w:rsidRPr="00127064" w:rsidRDefault="006675AE" w:rsidP="006675AE">
      <w:r w:rsidRPr="00127064">
        <w:br w:type="page"/>
      </w:r>
    </w:p>
    <w:p w14:paraId="444EFA47" w14:textId="77777777" w:rsidR="006675AE" w:rsidRPr="00127064" w:rsidRDefault="006675AE" w:rsidP="006675AE">
      <w:r w:rsidRPr="00127064">
        <w:rPr>
          <w:b/>
        </w:rPr>
        <w:lastRenderedPageBreak/>
        <w:t xml:space="preserve">Figure 3: </w:t>
      </w:r>
      <w:r w:rsidRPr="00127064">
        <w:t>Wavelet power spectra for national time series of all-cause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24E444EB" w14:textId="77777777" w:rsidR="006675AE" w:rsidRPr="00127064" w:rsidRDefault="006675AE" w:rsidP="006675AE">
      <w:r w:rsidRPr="00127064">
        <w:br w:type="page"/>
      </w:r>
    </w:p>
    <w:p w14:paraId="6434BE04" w14:textId="77777777" w:rsidR="006675AE" w:rsidRPr="00127064" w:rsidRDefault="006675AE" w:rsidP="006675AE">
      <w:r w:rsidRPr="00127064">
        <w:rPr>
          <w:b/>
        </w:rPr>
        <w:lastRenderedPageBreak/>
        <w:t xml:space="preserve">Figure 4: </w:t>
      </w:r>
      <w:r w:rsidRPr="00127064">
        <w:t>Wavelet power spectra for national time series of cancer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566A86B4" w14:textId="77777777" w:rsidR="006675AE" w:rsidRPr="00127064" w:rsidRDefault="006675AE" w:rsidP="006675AE">
      <w:r w:rsidRPr="00127064">
        <w:br w:type="page"/>
      </w:r>
    </w:p>
    <w:p w14:paraId="4FBE8CC5" w14:textId="77777777" w:rsidR="006675AE" w:rsidRPr="00127064" w:rsidRDefault="006675AE" w:rsidP="006675AE">
      <w:r w:rsidRPr="00127064">
        <w:rPr>
          <w:b/>
        </w:rPr>
        <w:lastRenderedPageBreak/>
        <w:t xml:space="preserve">Figure 5: </w:t>
      </w:r>
      <w:r w:rsidRPr="00127064">
        <w:t>Wavelet power spectra for national time series of cancer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r w:rsidRPr="00127064">
        <w:rPr>
          <w:b/>
        </w:rPr>
        <w:br w:type="page"/>
      </w:r>
    </w:p>
    <w:p w14:paraId="5C2B3230" w14:textId="77777777" w:rsidR="006675AE" w:rsidRPr="00127064" w:rsidRDefault="006675AE" w:rsidP="006675AE">
      <w:r w:rsidRPr="00127064">
        <w:rPr>
          <w:b/>
        </w:rPr>
        <w:lastRenderedPageBreak/>
        <w:t xml:space="preserve">Figure 6: </w:t>
      </w:r>
      <w:r w:rsidRPr="00127064">
        <w:t>Wavelet power spectra for national time series of cardiorespiratory disease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0031465D" w14:textId="77777777" w:rsidR="006675AE" w:rsidRPr="00127064" w:rsidRDefault="006675AE" w:rsidP="006675AE"/>
    <w:p w14:paraId="7D6518FA" w14:textId="77777777" w:rsidR="006675AE" w:rsidRPr="00127064" w:rsidRDefault="006675AE" w:rsidP="006675AE">
      <w:r w:rsidRPr="00127064">
        <w:rPr>
          <w:b/>
        </w:rPr>
        <w:t xml:space="preserve">Figure 6-figure supplement 1: </w:t>
      </w:r>
      <w:r w:rsidRPr="00127064">
        <w:t>Wavelet power spectra for national time series of cardiovascular disease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2A7C1BB2" w14:textId="77777777" w:rsidR="006675AE" w:rsidRPr="00127064" w:rsidRDefault="006675AE" w:rsidP="006675AE"/>
    <w:p w14:paraId="763F3AAD" w14:textId="77777777" w:rsidR="006675AE" w:rsidRPr="00127064" w:rsidRDefault="006675AE" w:rsidP="006675AE">
      <w:r w:rsidRPr="00127064">
        <w:rPr>
          <w:b/>
        </w:rPr>
        <w:t xml:space="preserve">Figure 6-figure supplement 2: </w:t>
      </w:r>
      <w:r w:rsidRPr="00127064">
        <w:t>Wavelet power spectra for national time series of chronic respiratory disease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72BAF5D5" w14:textId="77777777" w:rsidR="006675AE" w:rsidRPr="00127064" w:rsidRDefault="006675AE" w:rsidP="006675AE"/>
    <w:p w14:paraId="0975D74E" w14:textId="77777777" w:rsidR="006675AE" w:rsidRPr="00127064" w:rsidRDefault="006675AE" w:rsidP="006675AE">
      <w:r w:rsidRPr="00127064">
        <w:rPr>
          <w:b/>
        </w:rPr>
        <w:t xml:space="preserve">Figure 6-figure supplement 3: </w:t>
      </w:r>
      <w:r w:rsidRPr="00127064">
        <w:t>Wavelet power spectra for national time series of respiratory infection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08D1869C" w14:textId="77777777" w:rsidR="006675AE" w:rsidRPr="00127064" w:rsidRDefault="006675AE" w:rsidP="006675AE"/>
    <w:p w14:paraId="6925B5C8" w14:textId="77777777" w:rsidR="006675AE" w:rsidRPr="00127064" w:rsidRDefault="006675AE" w:rsidP="006675AE"/>
    <w:p w14:paraId="66BBB2D0" w14:textId="77777777" w:rsidR="006675AE" w:rsidRPr="00127064" w:rsidRDefault="006675AE" w:rsidP="006675AE">
      <w:r w:rsidRPr="00127064">
        <w:rPr>
          <w:b/>
        </w:rPr>
        <w:t xml:space="preserve">Figure 7: </w:t>
      </w:r>
      <w:r w:rsidRPr="00127064">
        <w:t>Wavelet power spectra for national time series of cardiorespiratory disease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49C7CAC0" w14:textId="77777777" w:rsidR="006675AE" w:rsidRPr="00127064" w:rsidRDefault="006675AE" w:rsidP="006675AE"/>
    <w:p w14:paraId="10BA04E4" w14:textId="77777777" w:rsidR="006675AE" w:rsidRPr="00127064" w:rsidRDefault="006675AE" w:rsidP="006675AE">
      <w:r w:rsidRPr="00127064">
        <w:rPr>
          <w:b/>
        </w:rPr>
        <w:t xml:space="preserve">Figure 7-figure supplement 1: </w:t>
      </w:r>
      <w:r w:rsidRPr="00127064">
        <w:t>Wavelet power spectra for national time series of cardiovascular disease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4B5A49D6" w14:textId="77777777" w:rsidR="006675AE" w:rsidRPr="00127064" w:rsidRDefault="006675AE" w:rsidP="006675AE"/>
    <w:p w14:paraId="61CF7A9F" w14:textId="77777777" w:rsidR="006675AE" w:rsidRPr="00127064" w:rsidRDefault="006675AE" w:rsidP="006675AE">
      <w:r w:rsidRPr="00127064">
        <w:rPr>
          <w:b/>
        </w:rPr>
        <w:lastRenderedPageBreak/>
        <w:t xml:space="preserve">Figure 7-figure supplement 2: </w:t>
      </w:r>
      <w:r w:rsidRPr="00127064">
        <w:t>Wavelet power spectra for national time series of chronic respiratory disease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6FA00478" w14:textId="77777777" w:rsidR="006675AE" w:rsidRPr="00127064" w:rsidRDefault="006675AE" w:rsidP="006675AE"/>
    <w:p w14:paraId="68D86035" w14:textId="77777777" w:rsidR="006675AE" w:rsidRPr="00127064" w:rsidRDefault="006675AE" w:rsidP="006675AE">
      <w:r w:rsidRPr="00127064">
        <w:rPr>
          <w:b/>
        </w:rPr>
        <w:t xml:space="preserve">Figure 7-figure supplement 3: </w:t>
      </w:r>
      <w:r w:rsidRPr="00127064">
        <w:t>Wavelet power spectra for national time series of respiratory infection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4FEFD1C1" w14:textId="77777777" w:rsidR="006675AE" w:rsidRPr="00127064" w:rsidRDefault="006675AE" w:rsidP="006675AE"/>
    <w:p w14:paraId="3E4EC6A9" w14:textId="77777777" w:rsidR="006675AE" w:rsidRPr="00127064" w:rsidRDefault="006675AE" w:rsidP="006675AE"/>
    <w:p w14:paraId="6F280A4C" w14:textId="77777777" w:rsidR="006675AE" w:rsidRPr="00127064" w:rsidRDefault="006675AE" w:rsidP="006675AE">
      <w:r w:rsidRPr="00127064">
        <w:rPr>
          <w:b/>
        </w:rPr>
        <w:t xml:space="preserve">Figure 8: </w:t>
      </w:r>
      <w:r w:rsidRPr="00127064">
        <w:t>Wavelet power spectra for national time series of injury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6E1FFBB2" w14:textId="77777777" w:rsidR="006675AE" w:rsidRPr="00127064" w:rsidRDefault="006675AE" w:rsidP="006675AE"/>
    <w:p w14:paraId="5C07BFB1" w14:textId="77777777" w:rsidR="006675AE" w:rsidRPr="00127064" w:rsidRDefault="006675AE" w:rsidP="006675AE">
      <w:r w:rsidRPr="00127064">
        <w:rPr>
          <w:b/>
        </w:rPr>
        <w:t xml:space="preserve">Figure 8-figure supplement 1: </w:t>
      </w:r>
      <w:r w:rsidRPr="00127064">
        <w:t>Wavelet power spectra for national time series of intentional injury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3051D606" w14:textId="77777777" w:rsidR="006675AE" w:rsidRPr="00127064" w:rsidRDefault="006675AE" w:rsidP="006675AE"/>
    <w:p w14:paraId="4E8C6D29" w14:textId="77777777" w:rsidR="006675AE" w:rsidRPr="00127064" w:rsidRDefault="006675AE" w:rsidP="006675AE">
      <w:r w:rsidRPr="00127064">
        <w:rPr>
          <w:b/>
        </w:rPr>
        <w:t xml:space="preserve">Figure 8-figure supplement 2: </w:t>
      </w:r>
      <w:r w:rsidRPr="00127064">
        <w:t>Wavelet power spectra for national time series of unintentional injury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7C449495" w14:textId="77777777" w:rsidR="006675AE" w:rsidRPr="00127064" w:rsidRDefault="006675AE" w:rsidP="006675AE"/>
    <w:p w14:paraId="6E051E66" w14:textId="77777777" w:rsidR="006675AE" w:rsidRPr="00127064" w:rsidRDefault="006675AE" w:rsidP="006675AE">
      <w:r w:rsidRPr="00127064">
        <w:br w:type="page"/>
      </w:r>
    </w:p>
    <w:p w14:paraId="556C1C13" w14:textId="77777777" w:rsidR="006675AE" w:rsidRPr="00127064" w:rsidRDefault="006675AE" w:rsidP="006675AE">
      <w:r w:rsidRPr="00127064">
        <w:rPr>
          <w:b/>
        </w:rPr>
        <w:lastRenderedPageBreak/>
        <w:t xml:space="preserve">Figure 9: </w:t>
      </w:r>
      <w:r w:rsidRPr="00127064">
        <w:t>Wavelet power spectra for national time series of injury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2F7DE9D5" w14:textId="77777777" w:rsidR="006675AE" w:rsidRPr="00127064" w:rsidRDefault="006675AE" w:rsidP="006675AE"/>
    <w:p w14:paraId="0C805D8F" w14:textId="77777777" w:rsidR="006675AE" w:rsidRPr="00127064" w:rsidRDefault="006675AE" w:rsidP="006675AE">
      <w:r w:rsidRPr="00127064">
        <w:rPr>
          <w:b/>
        </w:rPr>
        <w:t xml:space="preserve">Figure 9-figure supplement 1: </w:t>
      </w:r>
      <w:r w:rsidRPr="00127064">
        <w:t>Wavelet power spectra for national time series of intentional injury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3391EDDF" w14:textId="77777777" w:rsidR="006675AE" w:rsidRPr="00127064" w:rsidRDefault="006675AE" w:rsidP="006675AE"/>
    <w:p w14:paraId="005F6353" w14:textId="77777777" w:rsidR="006675AE" w:rsidRPr="00127064" w:rsidRDefault="006675AE" w:rsidP="006675AE">
      <w:r w:rsidRPr="00127064">
        <w:rPr>
          <w:b/>
        </w:rPr>
        <w:t xml:space="preserve">Figure 9-figure supplement 2: </w:t>
      </w:r>
      <w:r w:rsidRPr="00127064">
        <w:t>Wavelet power spectra for national time series of unintentional injury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66721C6D" w14:textId="77777777" w:rsidR="006675AE" w:rsidRPr="00127064" w:rsidRDefault="006675AE" w:rsidP="006675AE"/>
    <w:p w14:paraId="42B9610F" w14:textId="77777777" w:rsidR="006675AE" w:rsidRPr="00127064" w:rsidRDefault="006675AE" w:rsidP="006675AE">
      <w:r w:rsidRPr="00127064">
        <w:br w:type="page"/>
      </w:r>
    </w:p>
    <w:p w14:paraId="5CCD4E0B" w14:textId="77777777" w:rsidR="006675AE" w:rsidRPr="00127064" w:rsidRDefault="006675AE" w:rsidP="006675AE">
      <w:r w:rsidRPr="00127064">
        <w:rPr>
          <w:b/>
        </w:rPr>
        <w:lastRenderedPageBreak/>
        <w:t xml:space="preserve">Figure 10: </w:t>
      </w:r>
      <w:r w:rsidRPr="00127064">
        <w:t>Wavelet power spectra for national time series of death rates from causes other than cancers, cardiorespiratory diseases and injuries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4B37F4C8" w14:textId="77777777" w:rsidR="006675AE" w:rsidRPr="00127064" w:rsidRDefault="006675AE" w:rsidP="006675AE"/>
    <w:p w14:paraId="3CB66F01" w14:textId="77777777" w:rsidR="006675AE" w:rsidRPr="00127064" w:rsidRDefault="006675AE" w:rsidP="006675AE">
      <w:r w:rsidRPr="00127064">
        <w:rPr>
          <w:b/>
        </w:rPr>
        <w:t xml:space="preserve">Figure 10-figure supplement 1: </w:t>
      </w:r>
      <w:r w:rsidRPr="00127064">
        <w:t>Wavelet power spectra for national time series of endocrine disorder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3DCD44BE" w14:textId="77777777" w:rsidR="006675AE" w:rsidRPr="00127064" w:rsidRDefault="006675AE" w:rsidP="006675AE"/>
    <w:p w14:paraId="06D2FC87" w14:textId="77777777" w:rsidR="006675AE" w:rsidRPr="00127064" w:rsidRDefault="006675AE" w:rsidP="006675AE">
      <w:r w:rsidRPr="00127064">
        <w:rPr>
          <w:b/>
        </w:rPr>
        <w:t xml:space="preserve">Figure 10-figure supplement 2: </w:t>
      </w:r>
      <w:r w:rsidRPr="00127064">
        <w:t>Wavelet power spectra for national time series of genitourinary disease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672E6FCD" w14:textId="77777777" w:rsidR="006675AE" w:rsidRPr="00127064" w:rsidRDefault="006675AE" w:rsidP="006675AE"/>
    <w:p w14:paraId="7B84047B" w14:textId="77777777" w:rsidR="006675AE" w:rsidRPr="00127064" w:rsidRDefault="006675AE" w:rsidP="006675AE">
      <w:r w:rsidRPr="00127064">
        <w:rPr>
          <w:b/>
        </w:rPr>
        <w:t xml:space="preserve">Figure 10-figure supplement 3: </w:t>
      </w:r>
      <w:r w:rsidRPr="00127064">
        <w:t>Wavelet power spectra for national time series of neuropsychiatric disorder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12ACC9F0" w14:textId="77777777" w:rsidR="006675AE" w:rsidRPr="00127064" w:rsidRDefault="006675AE" w:rsidP="006675AE"/>
    <w:p w14:paraId="09CBBB5B" w14:textId="77777777" w:rsidR="006675AE" w:rsidRPr="00127064" w:rsidRDefault="006675AE" w:rsidP="006675AE">
      <w:r w:rsidRPr="00127064">
        <w:rPr>
          <w:b/>
        </w:rPr>
        <w:t xml:space="preserve">Figure 10-figure supplement 4: </w:t>
      </w:r>
      <w:r w:rsidRPr="00127064">
        <w:t>Wavelet power spectra for national time series of perinatal condition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67DF4A41" w14:textId="77777777" w:rsidR="006675AE" w:rsidRPr="00127064" w:rsidRDefault="006675AE" w:rsidP="006675AE"/>
    <w:p w14:paraId="7C30824A" w14:textId="77777777" w:rsidR="006675AE" w:rsidRPr="00127064" w:rsidRDefault="006675AE" w:rsidP="006675AE">
      <w:r w:rsidRPr="00127064">
        <w:rPr>
          <w:b/>
        </w:rPr>
        <w:t xml:space="preserve">Figure 10-figure supplement 5: </w:t>
      </w:r>
      <w:r w:rsidRPr="00127064">
        <w:t>Wavelet power spectra for national time series of substance use disorder death rates for 1980-2016, by age group for 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6C03598D" w14:textId="77777777" w:rsidR="006675AE" w:rsidRPr="00127064" w:rsidRDefault="006675AE" w:rsidP="006675AE"/>
    <w:p w14:paraId="578F5C0D" w14:textId="77777777" w:rsidR="006675AE" w:rsidRPr="00127064" w:rsidRDefault="006675AE" w:rsidP="006675AE">
      <w:r w:rsidRPr="00127064">
        <w:br w:type="page"/>
      </w:r>
    </w:p>
    <w:p w14:paraId="31CB32DE" w14:textId="77777777" w:rsidR="006675AE" w:rsidRPr="00127064" w:rsidRDefault="006675AE" w:rsidP="006675AE">
      <w:r w:rsidRPr="00127064">
        <w:rPr>
          <w:b/>
        </w:rPr>
        <w:lastRenderedPageBreak/>
        <w:t xml:space="preserve">Figure 11: </w:t>
      </w:r>
      <w:r w:rsidRPr="00127064">
        <w:t>Wavelet power spectra for national time series of death rates from causes other than cancers, cardiorespiratory diseases and injuries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5B6B47D0" w14:textId="77777777" w:rsidR="006675AE" w:rsidRPr="00127064" w:rsidRDefault="006675AE" w:rsidP="006675AE"/>
    <w:p w14:paraId="3DAED63F" w14:textId="77777777" w:rsidR="006675AE" w:rsidRPr="00127064" w:rsidRDefault="006675AE" w:rsidP="006675AE">
      <w:r w:rsidRPr="00127064">
        <w:rPr>
          <w:b/>
        </w:rPr>
        <w:t xml:space="preserve">Figure 11-figure supplement 1: </w:t>
      </w:r>
      <w:r w:rsidRPr="00127064">
        <w:t>Wavelet power spectra for national time series of endocrine disorder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775E0700" w14:textId="77777777" w:rsidR="006675AE" w:rsidRPr="00127064" w:rsidRDefault="006675AE" w:rsidP="006675AE"/>
    <w:p w14:paraId="6D3F7C37" w14:textId="77777777" w:rsidR="006675AE" w:rsidRPr="00127064" w:rsidRDefault="006675AE" w:rsidP="006675AE">
      <w:r w:rsidRPr="00127064">
        <w:rPr>
          <w:b/>
        </w:rPr>
        <w:t xml:space="preserve">Figure 11-figure supplement 2: </w:t>
      </w:r>
      <w:r w:rsidRPr="00127064">
        <w:t>Wavelet power spectra for national time series of genitourinary disease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378D3581" w14:textId="77777777" w:rsidR="006675AE" w:rsidRPr="00127064" w:rsidRDefault="006675AE" w:rsidP="006675AE"/>
    <w:p w14:paraId="3F4A6284" w14:textId="77777777" w:rsidR="006675AE" w:rsidRPr="00127064" w:rsidRDefault="006675AE" w:rsidP="006675AE"/>
    <w:p w14:paraId="23B234D3" w14:textId="77777777" w:rsidR="006675AE" w:rsidRPr="00127064" w:rsidRDefault="006675AE" w:rsidP="006675AE">
      <w:r w:rsidRPr="00127064">
        <w:rPr>
          <w:b/>
        </w:rPr>
        <w:t xml:space="preserve">Figure 11-figure supplement 3: </w:t>
      </w:r>
      <w:r w:rsidRPr="00127064">
        <w:t>Wavelet power spectra for national time series of neuropsychiatric disorder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06A15873" w14:textId="77777777" w:rsidR="006675AE" w:rsidRPr="00127064" w:rsidRDefault="006675AE" w:rsidP="006675AE"/>
    <w:p w14:paraId="76CAE66D" w14:textId="77777777" w:rsidR="006675AE" w:rsidRPr="00127064" w:rsidRDefault="006675AE" w:rsidP="006675AE">
      <w:r w:rsidRPr="00127064">
        <w:rPr>
          <w:b/>
        </w:rPr>
        <w:t xml:space="preserve">Figure 11-figure supplement 4: </w:t>
      </w:r>
      <w:r w:rsidRPr="00127064">
        <w:t>Wavelet power spectra for national time series of perinatal condition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60F6DBB5" w14:textId="77777777" w:rsidR="006675AE" w:rsidRPr="00127064" w:rsidRDefault="006675AE" w:rsidP="006675AE"/>
    <w:p w14:paraId="79578F2F" w14:textId="77777777" w:rsidR="006675AE" w:rsidRPr="00127064" w:rsidRDefault="006675AE" w:rsidP="006675AE">
      <w:r w:rsidRPr="00127064">
        <w:rPr>
          <w:b/>
        </w:rPr>
        <w:t xml:space="preserve">Figure 11-figure supplement 5: </w:t>
      </w:r>
      <w:r w:rsidRPr="00127064">
        <w:t>Wavelet power spectra for national time series of substance use disorder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2F1CF583" w14:textId="77777777" w:rsidR="006675AE" w:rsidRPr="00127064" w:rsidRDefault="006675AE" w:rsidP="006675AE"/>
    <w:p w14:paraId="05036AC0" w14:textId="77777777" w:rsidR="006675AE" w:rsidRPr="00127064" w:rsidRDefault="006675AE" w:rsidP="006675AE">
      <w:r w:rsidRPr="00127064">
        <w:rPr>
          <w:b/>
        </w:rPr>
        <w:lastRenderedPageBreak/>
        <w:t xml:space="preserve">Figure 11-figure supplement 6: </w:t>
      </w:r>
      <w:r w:rsidRPr="00127064">
        <w:t>Wavelet power spectra for national time series of maternal condition death rates for 1980-2016, by age group for females. Wavelet power values increase from blue to red. The shaded regions at the left and right edge of each box indicate the cone of influence, where spectral analysis is less robust. P-values for the presence of 12-month seasonality are to the right of each figure at the 12-month line.</w:t>
      </w:r>
    </w:p>
    <w:p w14:paraId="6F22F827" w14:textId="77777777" w:rsidR="006675AE" w:rsidRPr="00127064" w:rsidRDefault="006675AE" w:rsidP="006675AE">
      <w:r w:rsidRPr="00127064">
        <w:br w:type="page"/>
      </w:r>
    </w:p>
    <w:p w14:paraId="2B96D70C" w14:textId="77777777" w:rsidR="006675AE" w:rsidRPr="00127064" w:rsidRDefault="006675AE" w:rsidP="006675AE">
      <w:r w:rsidRPr="00127064">
        <w:rPr>
          <w:b/>
        </w:rPr>
        <w:lastRenderedPageBreak/>
        <w:t xml:space="preserve">Figure 12: </w:t>
      </w:r>
      <w:r w:rsidRPr="00127064">
        <w:t>Mean timing of maximum and minimum all-cause and cause-specific mortality at the national level, by sex and age group for 1980-2016. Red arrows indicate the month of maximum mortality, and green arrows that of minimum mortality. The size of the arrow is inversely proportional to its respective variance.</w:t>
      </w:r>
    </w:p>
    <w:p w14:paraId="54C4A9F8" w14:textId="77777777" w:rsidR="006675AE" w:rsidRPr="00127064" w:rsidRDefault="006675AE" w:rsidP="006675AE"/>
    <w:p w14:paraId="17B97B4B" w14:textId="77777777" w:rsidR="006675AE" w:rsidRPr="00127064" w:rsidRDefault="006675AE" w:rsidP="006675AE">
      <w:r w:rsidRPr="00127064">
        <w:rPr>
          <w:b/>
        </w:rPr>
        <w:t xml:space="preserve">Figure 12-figure supplement 1: </w:t>
      </w:r>
      <w:r w:rsidRPr="00127064">
        <w:t>Mean timing of maximum and minimum mortality for specific cardiorespiratory diseases at the national level, by sex and age group for 1980-2016. Red arrows indicate the month of maximum mortality, and green arrows that of minimum mortality. The size of the arrow is inversely proportional to its respective variance.</w:t>
      </w:r>
    </w:p>
    <w:p w14:paraId="41BBAAD0" w14:textId="77777777" w:rsidR="006675AE" w:rsidRPr="00127064" w:rsidRDefault="006675AE" w:rsidP="006675AE"/>
    <w:p w14:paraId="5794BABD" w14:textId="77777777" w:rsidR="006675AE" w:rsidRPr="00127064" w:rsidRDefault="006675AE" w:rsidP="006675AE">
      <w:r w:rsidRPr="00127064">
        <w:rPr>
          <w:b/>
        </w:rPr>
        <w:t xml:space="preserve">Figure 12-figure supplement 2: </w:t>
      </w:r>
      <w:r w:rsidRPr="00127064">
        <w:t>Mean timing of maximum and minimum mortality for specific injuries at the national level, by sex and age group for 1980-2016. Red arrows indicate the month of maximum mortality, and green arrows that of minimum mortality. The size of the arrow is inversely proportional to its respective variance.</w:t>
      </w:r>
    </w:p>
    <w:p w14:paraId="7FCCC1F1" w14:textId="77777777" w:rsidR="006675AE" w:rsidRPr="00127064" w:rsidRDefault="006675AE" w:rsidP="006675AE"/>
    <w:p w14:paraId="6D394038" w14:textId="77777777" w:rsidR="006675AE" w:rsidRPr="00127064" w:rsidRDefault="006675AE" w:rsidP="006675AE">
      <w:r w:rsidRPr="00127064">
        <w:rPr>
          <w:b/>
        </w:rPr>
        <w:t xml:space="preserve">Figure 12-figure supplement 3: </w:t>
      </w:r>
      <w:r w:rsidRPr="00127064">
        <w:t>Mean timing of maximum and minimum mortality for the cluster of causes other than cancers, cardiorespiratory diseases and injuries</w:t>
      </w:r>
      <w:r w:rsidRPr="00127064" w:rsidDel="00110ED7">
        <w:t xml:space="preserve"> </w:t>
      </w:r>
      <w:r w:rsidRPr="00127064">
        <w:t>at the national level, by sex and age group for 1980-2016. Red arrows indicate the month of maximum mortality, and green arrows that of minimum mortality. The size of the arrow is inversely proportional to its respective variance.</w:t>
      </w:r>
      <w:r w:rsidRPr="00127064">
        <w:rPr>
          <w:b/>
        </w:rPr>
        <w:br w:type="page"/>
      </w:r>
    </w:p>
    <w:p w14:paraId="4861A658" w14:textId="77777777" w:rsidR="006675AE" w:rsidRPr="00127064" w:rsidRDefault="006675AE" w:rsidP="006675AE">
      <w:r w:rsidRPr="00127064">
        <w:rPr>
          <w:b/>
        </w:rPr>
        <w:lastRenderedPageBreak/>
        <w:t>Figure 13:</w:t>
      </w:r>
      <w:r w:rsidRPr="00127064">
        <w:t xml:space="preserve"> National percent difference in death rates between the maximum and minimum mortality months for all-cause and cause-specific mortality</w:t>
      </w:r>
      <w:r w:rsidRPr="00127064" w:rsidDel="00F84E39">
        <w:t xml:space="preserve"> </w:t>
      </w:r>
      <w:r w:rsidRPr="00127064">
        <w:t>in 2016 versus 1980, by sex and age group.</w:t>
      </w:r>
    </w:p>
    <w:p w14:paraId="65375D80" w14:textId="77777777" w:rsidR="006675AE" w:rsidRPr="00127064" w:rsidRDefault="006675AE" w:rsidP="006675AE"/>
    <w:p w14:paraId="180AE80C" w14:textId="77777777" w:rsidR="006675AE" w:rsidRPr="00127064" w:rsidRDefault="006675AE" w:rsidP="006675AE">
      <w:r w:rsidRPr="00127064">
        <w:rPr>
          <w:b/>
        </w:rPr>
        <w:t>Figure 13-figure supplement 1:</w:t>
      </w:r>
      <w:r w:rsidRPr="00127064">
        <w:t xml:space="preserve"> National percent difference in death rates between the maximum and minimum mortality months for specific cardiorespiratory diseases in 2016 versus 1980, by sex and age group.</w:t>
      </w:r>
    </w:p>
    <w:p w14:paraId="7574C117" w14:textId="77777777" w:rsidR="006675AE" w:rsidRPr="00127064" w:rsidRDefault="006675AE" w:rsidP="006675AE"/>
    <w:p w14:paraId="1B207A0E" w14:textId="77777777" w:rsidR="006675AE" w:rsidRPr="00127064" w:rsidRDefault="006675AE" w:rsidP="006675AE">
      <w:r w:rsidRPr="00127064">
        <w:rPr>
          <w:b/>
        </w:rPr>
        <w:t>Figure 13-figure supplement 2:</w:t>
      </w:r>
      <w:r w:rsidRPr="00127064">
        <w:t xml:space="preserve"> National percent difference in death rates between the maximum and minimum mortality months for specific injuries in 2016 versus 1980, by sex and age group.</w:t>
      </w:r>
    </w:p>
    <w:p w14:paraId="47F737BD" w14:textId="77777777" w:rsidR="006675AE" w:rsidRPr="00127064" w:rsidRDefault="006675AE" w:rsidP="006675AE"/>
    <w:p w14:paraId="72222087" w14:textId="77777777" w:rsidR="006675AE" w:rsidRPr="00127064" w:rsidRDefault="006675AE" w:rsidP="006675AE">
      <w:r w:rsidRPr="00127064">
        <w:rPr>
          <w:b/>
        </w:rPr>
        <w:t>Figure 13-figure supplement 3:</w:t>
      </w:r>
      <w:r w:rsidRPr="00127064">
        <w:t xml:space="preserve"> National percent difference in death rates between the maximum and minimum mortality months for the cluster of causes other than cancers, cardiorespiratory diseases and injuries</w:t>
      </w:r>
      <w:r w:rsidRPr="00127064" w:rsidDel="00110ED7">
        <w:t xml:space="preserve"> </w:t>
      </w:r>
      <w:r w:rsidRPr="00127064">
        <w:t>in 2016 versus 1980, by sex and age group.</w:t>
      </w:r>
      <w:r w:rsidRPr="00127064">
        <w:rPr>
          <w:b/>
        </w:rPr>
        <w:br w:type="page"/>
      </w:r>
    </w:p>
    <w:p w14:paraId="2246D734" w14:textId="77777777" w:rsidR="006675AE" w:rsidRPr="00127064" w:rsidRDefault="006675AE" w:rsidP="006675AE">
      <w:r w:rsidRPr="00127064">
        <w:rPr>
          <w:b/>
        </w:rPr>
        <w:lastRenderedPageBreak/>
        <w:t>Figure 14:</w:t>
      </w:r>
      <w:r w:rsidRPr="00127064">
        <w:t xml:space="preserve"> Mean timing of maximum all-cause mortality for 1980-2016, by climate region and age group for males. Average temperatures (in degrees Celsius) are included in white for the corresponding month of maximum and minimum mortality for each climate region. </w:t>
      </w:r>
      <w:r w:rsidRPr="00127064">
        <w:rPr>
          <w:b/>
        </w:rPr>
        <w:br w:type="page"/>
      </w:r>
    </w:p>
    <w:p w14:paraId="12BA989F" w14:textId="77777777" w:rsidR="006675AE" w:rsidRPr="00127064" w:rsidRDefault="006675AE" w:rsidP="006675AE">
      <w:r w:rsidRPr="00127064">
        <w:rPr>
          <w:b/>
        </w:rPr>
        <w:lastRenderedPageBreak/>
        <w:t>Figure 15:</w:t>
      </w:r>
      <w:r w:rsidRPr="00127064">
        <w:t xml:space="preserve"> Mean timing of minimum all-cause mortality for 1980-2016, by climate region and age group for males. Average temperatures (in degrees Celsius) are included in white for the corresponding month of maximum and minimum mortality for each climate region. </w:t>
      </w:r>
      <w:r w:rsidRPr="00127064">
        <w:br w:type="page"/>
      </w:r>
    </w:p>
    <w:p w14:paraId="1B7DBE1E" w14:textId="77777777" w:rsidR="006675AE" w:rsidRPr="00127064" w:rsidRDefault="006675AE" w:rsidP="006675AE">
      <w:r w:rsidRPr="00127064">
        <w:rPr>
          <w:b/>
        </w:rPr>
        <w:lastRenderedPageBreak/>
        <w:t>Figure 16:</w:t>
      </w:r>
      <w:r w:rsidRPr="00127064">
        <w:t xml:space="preserve"> Mean timing of maximum all-cause mortality for 1980-2016, by climate region and age group for females. Average temperatures (in degrees Celsius) are included in white for the corresponding month of maximum and minimum mortality for each climate region. </w:t>
      </w:r>
      <w:r w:rsidRPr="00127064">
        <w:rPr>
          <w:b/>
        </w:rPr>
        <w:br w:type="page"/>
      </w:r>
    </w:p>
    <w:p w14:paraId="41F33AC6" w14:textId="77777777" w:rsidR="006675AE" w:rsidRPr="00127064" w:rsidRDefault="006675AE" w:rsidP="006675AE">
      <w:r w:rsidRPr="00127064">
        <w:rPr>
          <w:b/>
        </w:rPr>
        <w:lastRenderedPageBreak/>
        <w:t>Figure 17:</w:t>
      </w:r>
      <w:r w:rsidRPr="00127064">
        <w:t xml:space="preserve"> Mean timing of minimum all-cause mortality for 1980-2016, by climate region and age group for females. Average temperatures (in degrees Celsius) are included in white for the corresponding month of maximum and minimum mortality for each climate region. </w:t>
      </w:r>
      <w:r w:rsidRPr="00127064">
        <w:rPr>
          <w:b/>
        </w:rPr>
        <w:br w:type="page"/>
      </w:r>
    </w:p>
    <w:p w14:paraId="2B228869" w14:textId="77777777" w:rsidR="006675AE" w:rsidRPr="00127064" w:rsidRDefault="006675AE" w:rsidP="006675AE">
      <w:r w:rsidRPr="00127064">
        <w:rPr>
          <w:b/>
        </w:rPr>
        <w:lastRenderedPageBreak/>
        <w:t>Figure 18:</w:t>
      </w:r>
      <w:r w:rsidRPr="00127064">
        <w:t xml:space="preserve"> The relationship between percent difference in all-cause death rates and temperature difference between months with maximum and minimum mortality across climate regions, by sex and age group in 2016. </w:t>
      </w:r>
      <w:r w:rsidRPr="00127064">
        <w:br w:type="page"/>
      </w:r>
    </w:p>
    <w:p w14:paraId="66D7ECBF" w14:textId="77777777" w:rsidR="006675AE" w:rsidRPr="00127064" w:rsidRDefault="006675AE" w:rsidP="006675AE">
      <w:pPr>
        <w:rPr>
          <w:b/>
        </w:rPr>
      </w:pPr>
      <w:r w:rsidRPr="00127064">
        <w:rPr>
          <w:b/>
        </w:rPr>
        <w:lastRenderedPageBreak/>
        <w:t xml:space="preserve">Table 1: </w:t>
      </w:r>
      <w:r w:rsidRPr="00127064">
        <w:t xml:space="preserve">Number of deaths, by cause of death and sex from 1980 to 2016. </w:t>
      </w:r>
      <w:r w:rsidRPr="00127064">
        <w:rPr>
          <w:b/>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6675AE" w:rsidRPr="001C1998" w14:paraId="433F0AD2" w14:textId="77777777" w:rsidTr="006E6706">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A25BF8" w14:textId="77777777" w:rsidR="006675AE" w:rsidRPr="001C1998" w:rsidRDefault="006675AE" w:rsidP="006E6706">
            <w:pPr>
              <w:rPr>
                <w:strike/>
              </w:rPr>
            </w:pPr>
            <w:r w:rsidRPr="001C1998">
              <w:rPr>
                <w:strike/>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63AEE0E1" w14:textId="77777777" w:rsidR="006675AE" w:rsidRPr="001C1998" w:rsidRDefault="006675AE" w:rsidP="006E6706">
            <w:pPr>
              <w:rPr>
                <w:strike/>
              </w:rPr>
            </w:pPr>
            <w:r w:rsidRPr="001C1998">
              <w:rPr>
                <w:strike/>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46F602E3" w14:textId="77777777" w:rsidR="006675AE" w:rsidRPr="001C1998" w:rsidRDefault="006675AE" w:rsidP="006E6706">
            <w:pPr>
              <w:rPr>
                <w:strike/>
              </w:rPr>
            </w:pPr>
            <w:r w:rsidRPr="001C1998">
              <w:rPr>
                <w:strike/>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66D98E90" w14:textId="77777777" w:rsidR="006675AE" w:rsidRPr="001C1998" w:rsidRDefault="006675AE" w:rsidP="006E6706">
            <w:pPr>
              <w:rPr>
                <w:strike/>
              </w:rPr>
            </w:pPr>
            <w:r w:rsidRPr="001C1998">
              <w:rPr>
                <w:strike/>
              </w:rPr>
              <w:t>Total</w:t>
            </w:r>
          </w:p>
        </w:tc>
      </w:tr>
      <w:tr w:rsidR="006675AE" w:rsidRPr="001C1998" w14:paraId="4ACEB3C8" w14:textId="77777777" w:rsidTr="006E6706">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8EF254" w14:textId="77777777" w:rsidR="006675AE" w:rsidRPr="001C1998" w:rsidRDefault="006675AE" w:rsidP="006E6706">
            <w:pPr>
              <w:rPr>
                <w:strike/>
              </w:rPr>
            </w:pPr>
            <w:r w:rsidRPr="001C1998">
              <w:rPr>
                <w:strike/>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5AF36AC3" w14:textId="77777777" w:rsidR="006675AE" w:rsidRPr="001C1998" w:rsidRDefault="006675AE" w:rsidP="006E6706">
            <w:pPr>
              <w:rPr>
                <w:strike/>
              </w:rPr>
            </w:pPr>
            <w:r w:rsidRPr="001C1998">
              <w:rPr>
                <w:strike/>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753AA68" w14:textId="77777777" w:rsidR="006675AE" w:rsidRPr="001C1998" w:rsidRDefault="006675AE" w:rsidP="006E6706">
            <w:pPr>
              <w:rPr>
                <w:strike/>
              </w:rPr>
            </w:pPr>
            <w:r w:rsidRPr="001C1998">
              <w:rPr>
                <w:strike/>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6FBD4360" w14:textId="77777777" w:rsidR="006675AE" w:rsidRPr="001C1998" w:rsidRDefault="006675AE" w:rsidP="006E6706">
            <w:pPr>
              <w:rPr>
                <w:strike/>
              </w:rPr>
            </w:pPr>
            <w:r w:rsidRPr="001C1998">
              <w:rPr>
                <w:strike/>
              </w:rPr>
              <w:t>85,854,176</w:t>
            </w:r>
          </w:p>
        </w:tc>
      </w:tr>
      <w:tr w:rsidR="006675AE" w:rsidRPr="001C1998" w14:paraId="79CD0A46" w14:textId="77777777" w:rsidTr="006E6706">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76D3EDDF" w14:textId="77777777" w:rsidR="006675AE" w:rsidRPr="001C1998" w:rsidRDefault="006675AE" w:rsidP="006E6706">
            <w:pPr>
              <w:rPr>
                <w:strike/>
              </w:rPr>
            </w:pPr>
            <w:r w:rsidRPr="001C1998">
              <w:rPr>
                <w:strike/>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B598BA2" w14:textId="77777777" w:rsidR="006675AE" w:rsidRPr="001C1998" w:rsidRDefault="006675AE" w:rsidP="006E6706">
            <w:pPr>
              <w:rPr>
                <w:strike/>
              </w:rPr>
            </w:pPr>
            <w:r w:rsidRPr="001C1998">
              <w:rPr>
                <w:strike/>
              </w:rPr>
              <w:t>Cancers</w:t>
            </w:r>
          </w:p>
        </w:tc>
        <w:tc>
          <w:tcPr>
            <w:tcW w:w="1559" w:type="dxa"/>
            <w:tcBorders>
              <w:top w:val="nil"/>
              <w:left w:val="nil"/>
              <w:bottom w:val="single" w:sz="4" w:space="0" w:color="auto"/>
              <w:right w:val="single" w:sz="4" w:space="0" w:color="auto"/>
            </w:tcBorders>
            <w:shd w:val="clear" w:color="auto" w:fill="auto"/>
            <w:noWrap/>
            <w:vAlign w:val="bottom"/>
            <w:hideMark/>
          </w:tcPr>
          <w:p w14:paraId="754E96FF" w14:textId="77777777" w:rsidR="006675AE" w:rsidRPr="001C1998" w:rsidRDefault="006675AE" w:rsidP="006E6706">
            <w:pPr>
              <w:rPr>
                <w:strike/>
              </w:rPr>
            </w:pPr>
            <w:r w:rsidRPr="001C1998">
              <w:rPr>
                <w:strike/>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6303A9F9" w14:textId="77777777" w:rsidR="006675AE" w:rsidRPr="001C1998" w:rsidRDefault="006675AE" w:rsidP="006E6706">
            <w:pPr>
              <w:rPr>
                <w:strike/>
              </w:rPr>
            </w:pPr>
            <w:r w:rsidRPr="001C1998">
              <w:rPr>
                <w:strike/>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1E9CA0AF" w14:textId="77777777" w:rsidR="006675AE" w:rsidRPr="001C1998" w:rsidRDefault="006675AE" w:rsidP="006E6706">
            <w:pPr>
              <w:rPr>
                <w:strike/>
              </w:rPr>
            </w:pPr>
            <w:r w:rsidRPr="001C1998">
              <w:rPr>
                <w:strike/>
              </w:rPr>
              <w:t>19,958,112</w:t>
            </w:r>
          </w:p>
        </w:tc>
      </w:tr>
      <w:tr w:rsidR="006675AE" w:rsidRPr="001C1998" w14:paraId="0BD5F02C" w14:textId="77777777" w:rsidTr="006E6706">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A10222E" w14:textId="77777777" w:rsidR="006675AE" w:rsidRPr="001C1998" w:rsidRDefault="006675AE" w:rsidP="006E6706">
            <w:pPr>
              <w:rPr>
                <w:strike/>
              </w:rPr>
            </w:pPr>
            <w:r w:rsidRPr="001C1998">
              <w:rPr>
                <w:strike/>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7FC1733" w14:textId="77777777" w:rsidR="006675AE" w:rsidRPr="001C1998" w:rsidRDefault="006675AE" w:rsidP="006E6706">
            <w:pPr>
              <w:rPr>
                <w:strike/>
              </w:rPr>
            </w:pPr>
            <w:r w:rsidRPr="001C1998">
              <w:rPr>
                <w:strike/>
              </w:rPr>
              <w:t>Cardiorespiratory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4D12ED39" w14:textId="77777777" w:rsidR="006675AE" w:rsidRPr="001C1998" w:rsidRDefault="006675AE" w:rsidP="006E6706">
            <w:pPr>
              <w:rPr>
                <w:strike/>
              </w:rPr>
            </w:pPr>
            <w:r w:rsidRPr="001C1998">
              <w:rPr>
                <w:strike/>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6A237A8C" w14:textId="77777777" w:rsidR="006675AE" w:rsidRPr="001C1998" w:rsidRDefault="006675AE" w:rsidP="006E6706">
            <w:pPr>
              <w:rPr>
                <w:strike/>
              </w:rPr>
            </w:pPr>
            <w:r w:rsidRPr="001C1998">
              <w:rPr>
                <w:strike/>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6E213AB4" w14:textId="77777777" w:rsidR="006675AE" w:rsidRPr="001C1998" w:rsidRDefault="006675AE" w:rsidP="006E6706">
            <w:pPr>
              <w:rPr>
                <w:strike/>
              </w:rPr>
            </w:pPr>
            <w:r w:rsidRPr="001C1998">
              <w:rPr>
                <w:strike/>
              </w:rPr>
              <w:t>41,277,574</w:t>
            </w:r>
          </w:p>
        </w:tc>
      </w:tr>
      <w:tr w:rsidR="006675AE" w:rsidRPr="001C1998" w14:paraId="2EC16F0C" w14:textId="77777777" w:rsidTr="006E6706">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296B874D" w14:textId="77777777" w:rsidR="006675AE" w:rsidRPr="001C1998" w:rsidRDefault="006675AE" w:rsidP="006E6706">
            <w:pPr>
              <w:rPr>
                <w:strike/>
              </w:rPr>
            </w:pPr>
            <w:r w:rsidRPr="001C1998">
              <w:rPr>
                <w:strike/>
              </w:rPr>
              <w:t> </w:t>
            </w:r>
          </w:p>
        </w:tc>
        <w:tc>
          <w:tcPr>
            <w:tcW w:w="283" w:type="dxa"/>
            <w:tcBorders>
              <w:top w:val="nil"/>
              <w:left w:val="nil"/>
              <w:bottom w:val="single" w:sz="4" w:space="0" w:color="auto"/>
              <w:right w:val="single" w:sz="4" w:space="0" w:color="auto"/>
            </w:tcBorders>
            <w:shd w:val="clear" w:color="auto" w:fill="auto"/>
            <w:noWrap/>
            <w:vAlign w:val="bottom"/>
            <w:hideMark/>
          </w:tcPr>
          <w:p w14:paraId="1D325B1C" w14:textId="77777777" w:rsidR="006675AE" w:rsidRPr="001C1998" w:rsidRDefault="006675AE" w:rsidP="006E6706">
            <w:pPr>
              <w:rPr>
                <w:strike/>
              </w:rPr>
            </w:pPr>
            <w:r w:rsidRPr="001C1998">
              <w:rPr>
                <w:strike/>
              </w:rPr>
              <w:t> </w:t>
            </w:r>
          </w:p>
        </w:tc>
        <w:tc>
          <w:tcPr>
            <w:tcW w:w="3370" w:type="dxa"/>
            <w:tcBorders>
              <w:top w:val="nil"/>
              <w:left w:val="nil"/>
              <w:bottom w:val="single" w:sz="4" w:space="0" w:color="auto"/>
              <w:right w:val="single" w:sz="4" w:space="0" w:color="auto"/>
            </w:tcBorders>
            <w:shd w:val="clear" w:color="auto" w:fill="auto"/>
            <w:noWrap/>
            <w:vAlign w:val="bottom"/>
            <w:hideMark/>
          </w:tcPr>
          <w:p w14:paraId="2FDDF540" w14:textId="77777777" w:rsidR="006675AE" w:rsidRPr="001C1998" w:rsidRDefault="006675AE" w:rsidP="006E6706">
            <w:pPr>
              <w:rPr>
                <w:strike/>
              </w:rPr>
            </w:pPr>
            <w:r w:rsidRPr="001C1998">
              <w:rPr>
                <w:strike/>
              </w:rPr>
              <w:t>Cardiovascular diseases</w:t>
            </w:r>
          </w:p>
        </w:tc>
        <w:tc>
          <w:tcPr>
            <w:tcW w:w="1559" w:type="dxa"/>
            <w:tcBorders>
              <w:top w:val="nil"/>
              <w:left w:val="nil"/>
              <w:bottom w:val="single" w:sz="4" w:space="0" w:color="auto"/>
              <w:right w:val="single" w:sz="4" w:space="0" w:color="auto"/>
            </w:tcBorders>
            <w:shd w:val="clear" w:color="auto" w:fill="auto"/>
            <w:noWrap/>
            <w:vAlign w:val="bottom"/>
            <w:hideMark/>
          </w:tcPr>
          <w:p w14:paraId="711654F0" w14:textId="77777777" w:rsidR="006675AE" w:rsidRPr="001C1998" w:rsidRDefault="006675AE" w:rsidP="006E6706">
            <w:pPr>
              <w:rPr>
                <w:strike/>
              </w:rPr>
            </w:pPr>
            <w:r w:rsidRPr="001C1998">
              <w:rPr>
                <w:strike/>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0C58057" w14:textId="77777777" w:rsidR="006675AE" w:rsidRPr="001C1998" w:rsidRDefault="006675AE" w:rsidP="006E6706">
            <w:pPr>
              <w:rPr>
                <w:strike/>
              </w:rPr>
            </w:pPr>
            <w:r w:rsidRPr="001C1998">
              <w:rPr>
                <w:strike/>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33D9348A" w14:textId="77777777" w:rsidR="006675AE" w:rsidRPr="001C1998" w:rsidRDefault="006675AE" w:rsidP="006E6706">
            <w:pPr>
              <w:rPr>
                <w:strike/>
              </w:rPr>
            </w:pPr>
            <w:r w:rsidRPr="001C1998">
              <w:rPr>
                <w:strike/>
              </w:rPr>
              <w:t>33,448,900</w:t>
            </w:r>
          </w:p>
        </w:tc>
      </w:tr>
      <w:tr w:rsidR="006675AE" w:rsidRPr="001C1998" w14:paraId="135BFE1D" w14:textId="77777777" w:rsidTr="006E6706">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DCDE754" w14:textId="77777777" w:rsidR="006675AE" w:rsidRPr="001C1998" w:rsidRDefault="006675AE" w:rsidP="006E6706">
            <w:pPr>
              <w:rPr>
                <w:strike/>
              </w:rPr>
            </w:pPr>
            <w:r w:rsidRPr="001C1998">
              <w:rPr>
                <w:strike/>
              </w:rPr>
              <w:t> </w:t>
            </w:r>
          </w:p>
        </w:tc>
        <w:tc>
          <w:tcPr>
            <w:tcW w:w="283" w:type="dxa"/>
            <w:tcBorders>
              <w:top w:val="nil"/>
              <w:left w:val="nil"/>
              <w:bottom w:val="single" w:sz="4" w:space="0" w:color="auto"/>
              <w:right w:val="single" w:sz="4" w:space="0" w:color="auto"/>
            </w:tcBorders>
            <w:shd w:val="clear" w:color="auto" w:fill="auto"/>
            <w:noWrap/>
            <w:vAlign w:val="bottom"/>
            <w:hideMark/>
          </w:tcPr>
          <w:p w14:paraId="6F305A0A" w14:textId="77777777" w:rsidR="006675AE" w:rsidRPr="001C1998" w:rsidRDefault="006675AE" w:rsidP="006E6706">
            <w:pPr>
              <w:rPr>
                <w:strike/>
              </w:rPr>
            </w:pPr>
            <w:r w:rsidRPr="001C1998">
              <w:rPr>
                <w:strike/>
              </w:rPr>
              <w:t> </w:t>
            </w:r>
          </w:p>
        </w:tc>
        <w:tc>
          <w:tcPr>
            <w:tcW w:w="3370" w:type="dxa"/>
            <w:tcBorders>
              <w:top w:val="nil"/>
              <w:left w:val="nil"/>
              <w:bottom w:val="single" w:sz="4" w:space="0" w:color="auto"/>
              <w:right w:val="single" w:sz="4" w:space="0" w:color="auto"/>
            </w:tcBorders>
            <w:shd w:val="clear" w:color="auto" w:fill="auto"/>
            <w:noWrap/>
            <w:vAlign w:val="bottom"/>
            <w:hideMark/>
          </w:tcPr>
          <w:p w14:paraId="2CFB35F5" w14:textId="77777777" w:rsidR="006675AE" w:rsidRPr="001C1998" w:rsidRDefault="006675AE" w:rsidP="006E6706">
            <w:pPr>
              <w:rPr>
                <w:strike/>
              </w:rPr>
            </w:pPr>
            <w:r w:rsidRPr="001C1998">
              <w:rPr>
                <w:strike/>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3C51C974" w14:textId="77777777" w:rsidR="006675AE" w:rsidRPr="001C1998" w:rsidRDefault="006675AE" w:rsidP="006E6706">
            <w:pPr>
              <w:rPr>
                <w:strike/>
              </w:rPr>
            </w:pPr>
            <w:r w:rsidRPr="001C1998">
              <w:rPr>
                <w:strike/>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28AA2BA0" w14:textId="77777777" w:rsidR="006675AE" w:rsidRPr="001C1998" w:rsidRDefault="006675AE" w:rsidP="006E6706">
            <w:pPr>
              <w:rPr>
                <w:strike/>
              </w:rPr>
            </w:pPr>
            <w:r w:rsidRPr="001C1998">
              <w:rPr>
                <w:strike/>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235873B7" w14:textId="77777777" w:rsidR="006675AE" w:rsidRPr="001C1998" w:rsidRDefault="006675AE" w:rsidP="006E6706">
            <w:pPr>
              <w:rPr>
                <w:strike/>
              </w:rPr>
            </w:pPr>
            <w:r w:rsidRPr="001C1998">
              <w:rPr>
                <w:strike/>
              </w:rPr>
              <w:t>5,387,602</w:t>
            </w:r>
          </w:p>
        </w:tc>
      </w:tr>
      <w:tr w:rsidR="006675AE" w:rsidRPr="001C1998" w14:paraId="1E2B73BF" w14:textId="77777777" w:rsidTr="006E6706">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B304EB7" w14:textId="77777777" w:rsidR="006675AE" w:rsidRPr="001C1998" w:rsidRDefault="006675AE" w:rsidP="006E6706">
            <w:pPr>
              <w:rPr>
                <w:strike/>
              </w:rPr>
            </w:pPr>
            <w:r w:rsidRPr="001C1998">
              <w:rPr>
                <w:strike/>
              </w:rPr>
              <w:t> </w:t>
            </w:r>
          </w:p>
        </w:tc>
        <w:tc>
          <w:tcPr>
            <w:tcW w:w="283" w:type="dxa"/>
            <w:tcBorders>
              <w:top w:val="nil"/>
              <w:left w:val="nil"/>
              <w:bottom w:val="single" w:sz="4" w:space="0" w:color="auto"/>
              <w:right w:val="single" w:sz="4" w:space="0" w:color="auto"/>
            </w:tcBorders>
            <w:shd w:val="clear" w:color="auto" w:fill="auto"/>
            <w:noWrap/>
            <w:vAlign w:val="bottom"/>
            <w:hideMark/>
          </w:tcPr>
          <w:p w14:paraId="17489474" w14:textId="77777777" w:rsidR="006675AE" w:rsidRPr="001C1998" w:rsidRDefault="006675AE" w:rsidP="006E6706">
            <w:pPr>
              <w:rPr>
                <w:strike/>
              </w:rPr>
            </w:pPr>
            <w:r w:rsidRPr="001C1998">
              <w:rPr>
                <w:strike/>
              </w:rPr>
              <w:t> </w:t>
            </w:r>
          </w:p>
        </w:tc>
        <w:tc>
          <w:tcPr>
            <w:tcW w:w="3370" w:type="dxa"/>
            <w:tcBorders>
              <w:top w:val="nil"/>
              <w:left w:val="nil"/>
              <w:bottom w:val="single" w:sz="4" w:space="0" w:color="auto"/>
              <w:right w:val="single" w:sz="4" w:space="0" w:color="auto"/>
            </w:tcBorders>
            <w:shd w:val="clear" w:color="auto" w:fill="auto"/>
            <w:noWrap/>
            <w:vAlign w:val="bottom"/>
            <w:hideMark/>
          </w:tcPr>
          <w:p w14:paraId="5673F50A" w14:textId="77777777" w:rsidR="006675AE" w:rsidRPr="001C1998" w:rsidRDefault="006675AE" w:rsidP="006E6706">
            <w:pPr>
              <w:rPr>
                <w:strike/>
              </w:rPr>
            </w:pPr>
            <w:r w:rsidRPr="001C1998">
              <w:rPr>
                <w:strike/>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398C64BD" w14:textId="77777777" w:rsidR="006675AE" w:rsidRPr="001C1998" w:rsidRDefault="006675AE" w:rsidP="006E6706">
            <w:pPr>
              <w:rPr>
                <w:strike/>
              </w:rPr>
            </w:pPr>
            <w:r w:rsidRPr="001C1998">
              <w:rPr>
                <w:strike/>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5A0173E9" w14:textId="77777777" w:rsidR="006675AE" w:rsidRPr="001C1998" w:rsidRDefault="006675AE" w:rsidP="006E6706">
            <w:pPr>
              <w:rPr>
                <w:strike/>
              </w:rPr>
            </w:pPr>
            <w:r w:rsidRPr="001C1998">
              <w:rPr>
                <w:strike/>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04C895E7" w14:textId="77777777" w:rsidR="006675AE" w:rsidRPr="001C1998" w:rsidRDefault="006675AE" w:rsidP="006E6706">
            <w:pPr>
              <w:rPr>
                <w:strike/>
              </w:rPr>
            </w:pPr>
            <w:r w:rsidRPr="001C1998">
              <w:rPr>
                <w:strike/>
              </w:rPr>
              <w:t>2,441,072</w:t>
            </w:r>
          </w:p>
        </w:tc>
      </w:tr>
      <w:tr w:rsidR="006675AE" w:rsidRPr="001C1998" w14:paraId="7CF1C6E3" w14:textId="77777777" w:rsidTr="006E6706">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4041C0A" w14:textId="77777777" w:rsidR="006675AE" w:rsidRPr="001C1998" w:rsidRDefault="006675AE" w:rsidP="006E6706">
            <w:pPr>
              <w:rPr>
                <w:strike/>
              </w:rPr>
            </w:pPr>
            <w:r w:rsidRPr="001C1998">
              <w:rPr>
                <w:strike/>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2CB46135" w14:textId="77777777" w:rsidR="006675AE" w:rsidRPr="001C1998" w:rsidRDefault="006675AE" w:rsidP="006E6706">
            <w:pPr>
              <w:rPr>
                <w:strike/>
              </w:rPr>
            </w:pPr>
            <w:r w:rsidRPr="001C1998">
              <w:rPr>
                <w:strike/>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1F02033A" w14:textId="77777777" w:rsidR="006675AE" w:rsidRPr="001C1998" w:rsidRDefault="006675AE" w:rsidP="006E6706">
            <w:pPr>
              <w:rPr>
                <w:strike/>
              </w:rPr>
            </w:pPr>
            <w:r w:rsidRPr="001C1998">
              <w:rPr>
                <w:strike/>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2B427ACC" w14:textId="77777777" w:rsidR="006675AE" w:rsidRPr="001C1998" w:rsidRDefault="006675AE" w:rsidP="006E6706">
            <w:pPr>
              <w:rPr>
                <w:strike/>
              </w:rPr>
            </w:pPr>
            <w:r w:rsidRPr="001C1998">
              <w:rPr>
                <w:strike/>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06DBCD3" w14:textId="77777777" w:rsidR="006675AE" w:rsidRPr="001C1998" w:rsidRDefault="006675AE" w:rsidP="006E6706">
            <w:pPr>
              <w:rPr>
                <w:strike/>
              </w:rPr>
            </w:pPr>
            <w:r w:rsidRPr="001C1998">
              <w:rPr>
                <w:strike/>
              </w:rPr>
              <w:t>5,803,046</w:t>
            </w:r>
          </w:p>
        </w:tc>
      </w:tr>
      <w:tr w:rsidR="006675AE" w:rsidRPr="001C1998" w14:paraId="0370BAFD" w14:textId="77777777" w:rsidTr="006E6706">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267E34E" w14:textId="77777777" w:rsidR="006675AE" w:rsidRPr="001C1998" w:rsidRDefault="006675AE" w:rsidP="006E6706">
            <w:pPr>
              <w:rPr>
                <w:strike/>
              </w:rPr>
            </w:pPr>
            <w:r w:rsidRPr="001C1998">
              <w:rPr>
                <w:strike/>
              </w:rPr>
              <w:t> </w:t>
            </w:r>
          </w:p>
        </w:tc>
        <w:tc>
          <w:tcPr>
            <w:tcW w:w="283" w:type="dxa"/>
            <w:tcBorders>
              <w:top w:val="nil"/>
              <w:left w:val="nil"/>
              <w:bottom w:val="single" w:sz="4" w:space="0" w:color="auto"/>
              <w:right w:val="single" w:sz="4" w:space="0" w:color="auto"/>
            </w:tcBorders>
            <w:shd w:val="clear" w:color="auto" w:fill="auto"/>
            <w:noWrap/>
            <w:vAlign w:val="bottom"/>
            <w:hideMark/>
          </w:tcPr>
          <w:p w14:paraId="46881674" w14:textId="77777777" w:rsidR="006675AE" w:rsidRPr="001C1998" w:rsidRDefault="006675AE" w:rsidP="006E6706">
            <w:pPr>
              <w:rPr>
                <w:strike/>
              </w:rPr>
            </w:pPr>
            <w:r w:rsidRPr="001C1998">
              <w:rPr>
                <w:strike/>
              </w:rPr>
              <w:t> </w:t>
            </w:r>
          </w:p>
        </w:tc>
        <w:tc>
          <w:tcPr>
            <w:tcW w:w="3370" w:type="dxa"/>
            <w:tcBorders>
              <w:top w:val="nil"/>
              <w:left w:val="nil"/>
              <w:bottom w:val="single" w:sz="4" w:space="0" w:color="auto"/>
              <w:right w:val="single" w:sz="4" w:space="0" w:color="auto"/>
            </w:tcBorders>
            <w:shd w:val="clear" w:color="auto" w:fill="auto"/>
            <w:noWrap/>
            <w:vAlign w:val="bottom"/>
            <w:hideMark/>
          </w:tcPr>
          <w:p w14:paraId="6DD2484A" w14:textId="77777777" w:rsidR="006675AE" w:rsidRPr="001C1998" w:rsidRDefault="006675AE" w:rsidP="006E6706">
            <w:pPr>
              <w:rPr>
                <w:strike/>
              </w:rPr>
            </w:pPr>
            <w:r w:rsidRPr="001C1998">
              <w:rPr>
                <w:strike/>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372C2B28" w14:textId="77777777" w:rsidR="006675AE" w:rsidRPr="001C1998" w:rsidRDefault="006675AE" w:rsidP="006E6706">
            <w:pPr>
              <w:rPr>
                <w:strike/>
              </w:rPr>
            </w:pPr>
            <w:r w:rsidRPr="001C1998">
              <w:rPr>
                <w:strike/>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34806324" w14:textId="77777777" w:rsidR="006675AE" w:rsidRPr="001C1998" w:rsidRDefault="006675AE" w:rsidP="006E6706">
            <w:pPr>
              <w:rPr>
                <w:strike/>
              </w:rPr>
            </w:pPr>
            <w:r w:rsidRPr="001C1998">
              <w:rPr>
                <w:strike/>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3C682C1A" w14:textId="77777777" w:rsidR="006675AE" w:rsidRPr="001C1998" w:rsidRDefault="006675AE" w:rsidP="006E6706">
            <w:pPr>
              <w:rPr>
                <w:strike/>
              </w:rPr>
            </w:pPr>
            <w:r w:rsidRPr="001C1998">
              <w:rPr>
                <w:strike/>
              </w:rPr>
              <w:t>3,837,329</w:t>
            </w:r>
          </w:p>
        </w:tc>
      </w:tr>
      <w:tr w:rsidR="006675AE" w:rsidRPr="001C1998" w14:paraId="153C5DB4" w14:textId="77777777" w:rsidTr="006E6706">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6C231B6" w14:textId="77777777" w:rsidR="006675AE" w:rsidRPr="001C1998" w:rsidRDefault="006675AE" w:rsidP="006E6706">
            <w:pPr>
              <w:rPr>
                <w:strike/>
              </w:rPr>
            </w:pPr>
            <w:r w:rsidRPr="001C1998">
              <w:rPr>
                <w:strike/>
              </w:rPr>
              <w:t> </w:t>
            </w:r>
          </w:p>
        </w:tc>
        <w:tc>
          <w:tcPr>
            <w:tcW w:w="283" w:type="dxa"/>
            <w:tcBorders>
              <w:top w:val="nil"/>
              <w:left w:val="nil"/>
              <w:bottom w:val="single" w:sz="4" w:space="0" w:color="auto"/>
              <w:right w:val="single" w:sz="4" w:space="0" w:color="auto"/>
            </w:tcBorders>
            <w:shd w:val="clear" w:color="auto" w:fill="auto"/>
            <w:noWrap/>
            <w:vAlign w:val="bottom"/>
            <w:hideMark/>
          </w:tcPr>
          <w:p w14:paraId="32F9D6A1" w14:textId="77777777" w:rsidR="006675AE" w:rsidRPr="001C1998" w:rsidRDefault="006675AE" w:rsidP="006E6706">
            <w:pPr>
              <w:rPr>
                <w:strike/>
              </w:rPr>
            </w:pPr>
            <w:r w:rsidRPr="001C1998">
              <w:rPr>
                <w:strike/>
              </w:rPr>
              <w:t> </w:t>
            </w:r>
          </w:p>
        </w:tc>
        <w:tc>
          <w:tcPr>
            <w:tcW w:w="3370" w:type="dxa"/>
            <w:tcBorders>
              <w:top w:val="nil"/>
              <w:left w:val="nil"/>
              <w:bottom w:val="single" w:sz="4" w:space="0" w:color="auto"/>
              <w:right w:val="single" w:sz="4" w:space="0" w:color="auto"/>
            </w:tcBorders>
            <w:shd w:val="clear" w:color="auto" w:fill="auto"/>
            <w:noWrap/>
            <w:vAlign w:val="bottom"/>
            <w:hideMark/>
          </w:tcPr>
          <w:p w14:paraId="35ABAB37" w14:textId="77777777" w:rsidR="006675AE" w:rsidRPr="001C1998" w:rsidRDefault="006675AE" w:rsidP="006E6706">
            <w:pPr>
              <w:rPr>
                <w:strike/>
              </w:rPr>
            </w:pPr>
            <w:r w:rsidRPr="001C1998">
              <w:rPr>
                <w:strike/>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5D436D3" w14:textId="77777777" w:rsidR="006675AE" w:rsidRPr="001C1998" w:rsidRDefault="006675AE" w:rsidP="006E6706">
            <w:pPr>
              <w:rPr>
                <w:strike/>
              </w:rPr>
            </w:pPr>
            <w:r w:rsidRPr="001C1998">
              <w:rPr>
                <w:strike/>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0947E7F7" w14:textId="77777777" w:rsidR="006675AE" w:rsidRPr="001C1998" w:rsidRDefault="006675AE" w:rsidP="006E6706">
            <w:pPr>
              <w:rPr>
                <w:strike/>
              </w:rPr>
            </w:pPr>
            <w:r w:rsidRPr="001C1998">
              <w:rPr>
                <w:strike/>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269AA1C2" w14:textId="77777777" w:rsidR="006675AE" w:rsidRPr="001C1998" w:rsidRDefault="006675AE" w:rsidP="006E6706">
            <w:pPr>
              <w:rPr>
                <w:strike/>
              </w:rPr>
            </w:pPr>
            <w:r w:rsidRPr="001C1998">
              <w:rPr>
                <w:strike/>
              </w:rPr>
              <w:t>1,965,717</w:t>
            </w:r>
          </w:p>
        </w:tc>
      </w:tr>
      <w:tr w:rsidR="006675AE" w:rsidRPr="001C1998" w14:paraId="0016331C" w14:textId="77777777" w:rsidTr="006E6706">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7E38E25" w14:textId="77777777" w:rsidR="006675AE" w:rsidRPr="001C1998" w:rsidRDefault="006675AE" w:rsidP="006E6706">
            <w:pPr>
              <w:rPr>
                <w:strike/>
              </w:rPr>
            </w:pPr>
            <w:r w:rsidRPr="001C1998">
              <w:rPr>
                <w:strike/>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FD0ED6A" w14:textId="77777777" w:rsidR="006675AE" w:rsidRPr="001C1998" w:rsidRDefault="006675AE" w:rsidP="006E6706">
            <w:pPr>
              <w:rPr>
                <w:strike/>
              </w:rPr>
            </w:pPr>
            <w:r w:rsidRPr="001C1998">
              <w:rPr>
                <w:strike/>
              </w:rPr>
              <w:t>Other causes</w:t>
            </w:r>
          </w:p>
        </w:tc>
        <w:tc>
          <w:tcPr>
            <w:tcW w:w="1559" w:type="dxa"/>
            <w:tcBorders>
              <w:top w:val="nil"/>
              <w:left w:val="nil"/>
              <w:bottom w:val="single" w:sz="4" w:space="0" w:color="auto"/>
              <w:right w:val="single" w:sz="4" w:space="0" w:color="auto"/>
            </w:tcBorders>
            <w:shd w:val="clear" w:color="auto" w:fill="auto"/>
            <w:noWrap/>
            <w:vAlign w:val="bottom"/>
            <w:hideMark/>
          </w:tcPr>
          <w:p w14:paraId="0D3102C2" w14:textId="77777777" w:rsidR="006675AE" w:rsidRPr="001C1998" w:rsidRDefault="006675AE" w:rsidP="006E6706">
            <w:pPr>
              <w:rPr>
                <w:strike/>
              </w:rPr>
            </w:pPr>
            <w:r w:rsidRPr="001C1998">
              <w:rPr>
                <w:strike/>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2C437AB5" w14:textId="77777777" w:rsidR="006675AE" w:rsidRPr="001C1998" w:rsidRDefault="006675AE" w:rsidP="006E6706">
            <w:pPr>
              <w:rPr>
                <w:strike/>
              </w:rPr>
            </w:pPr>
            <w:r w:rsidRPr="001C1998">
              <w:rPr>
                <w:strike/>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3C74E5E" w14:textId="77777777" w:rsidR="006675AE" w:rsidRPr="001C1998" w:rsidRDefault="006675AE" w:rsidP="006E6706">
            <w:pPr>
              <w:rPr>
                <w:strike/>
              </w:rPr>
            </w:pPr>
            <w:r w:rsidRPr="001C1998">
              <w:rPr>
                <w:strike/>
              </w:rPr>
              <w:t>18,815,444</w:t>
            </w:r>
          </w:p>
        </w:tc>
      </w:tr>
    </w:tbl>
    <w:p w14:paraId="6EB36D2B" w14:textId="77777777" w:rsidR="006675AE" w:rsidRPr="001C1998" w:rsidRDefault="006675AE" w:rsidP="006675AE">
      <w:pPr>
        <w:rPr>
          <w:strike/>
        </w:rPr>
      </w:pPr>
      <w:r w:rsidRPr="001C1998">
        <w:rPr>
          <w:strike/>
        </w:rPr>
        <w:br w:type="page"/>
      </w:r>
      <w:r w:rsidRPr="001C1998">
        <w:rPr>
          <w:b/>
          <w:strike/>
        </w:rPr>
        <w:lastRenderedPageBreak/>
        <w:t>Table 2</w:t>
      </w:r>
      <w:r w:rsidRPr="001C1998">
        <w:rPr>
          <w:strike/>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6675AE" w:rsidRPr="001C1998" w14:paraId="60B50606" w14:textId="77777777" w:rsidTr="006E6706">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700D12" w14:textId="77777777" w:rsidR="006675AE" w:rsidRPr="001C1998" w:rsidRDefault="006675AE" w:rsidP="006E6706">
            <w:pPr>
              <w:rPr>
                <w:strike/>
              </w:rPr>
            </w:pPr>
            <w:r w:rsidRPr="001C1998">
              <w:rPr>
                <w:strike/>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09B25C29" w14:textId="77777777" w:rsidR="006675AE" w:rsidRPr="001C1998" w:rsidRDefault="006675AE" w:rsidP="006E6706">
            <w:pPr>
              <w:rPr>
                <w:strike/>
              </w:rPr>
            </w:pPr>
            <w:r w:rsidRPr="001C1998">
              <w:rPr>
                <w:strike/>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1A8644AC" w14:textId="77777777" w:rsidR="006675AE" w:rsidRPr="001C1998" w:rsidRDefault="006675AE" w:rsidP="006E6706">
            <w:pPr>
              <w:rPr>
                <w:strike/>
              </w:rPr>
            </w:pPr>
            <w:r w:rsidRPr="001C1998">
              <w:rPr>
                <w:strike/>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2C0541AB" w14:textId="77777777" w:rsidR="006675AE" w:rsidRPr="001C1998" w:rsidRDefault="006675AE" w:rsidP="006E6706">
            <w:pPr>
              <w:rPr>
                <w:strike/>
              </w:rPr>
            </w:pPr>
            <w:r w:rsidRPr="001C1998">
              <w:rPr>
                <w:strike/>
              </w:rPr>
              <w:t>Mean annual temperature (1980-2016) (°C)</w:t>
            </w:r>
          </w:p>
        </w:tc>
      </w:tr>
      <w:tr w:rsidR="006675AE" w:rsidRPr="001C1998" w14:paraId="08CBCDE5" w14:textId="77777777" w:rsidTr="006E6706">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BB50A45" w14:textId="77777777" w:rsidR="006675AE" w:rsidRPr="001C1998" w:rsidRDefault="006675AE" w:rsidP="006E6706">
            <w:pPr>
              <w:rPr>
                <w:strike/>
              </w:rPr>
            </w:pPr>
            <w:r w:rsidRPr="001C1998">
              <w:rPr>
                <w:strike/>
              </w:rPr>
              <w:t>Central</w:t>
            </w:r>
          </w:p>
        </w:tc>
        <w:tc>
          <w:tcPr>
            <w:tcW w:w="3140" w:type="dxa"/>
            <w:tcBorders>
              <w:top w:val="nil"/>
              <w:left w:val="nil"/>
              <w:bottom w:val="single" w:sz="4" w:space="0" w:color="auto"/>
              <w:right w:val="single" w:sz="4" w:space="0" w:color="auto"/>
            </w:tcBorders>
            <w:shd w:val="clear" w:color="auto" w:fill="auto"/>
            <w:vAlign w:val="center"/>
            <w:hideMark/>
          </w:tcPr>
          <w:p w14:paraId="0B57B6BC" w14:textId="77777777" w:rsidR="006675AE" w:rsidRPr="001C1998" w:rsidRDefault="006675AE" w:rsidP="006E6706">
            <w:pPr>
              <w:rPr>
                <w:strike/>
              </w:rPr>
            </w:pPr>
            <w:r w:rsidRPr="001C1998">
              <w:rPr>
                <w:strike/>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3F0A1094" w14:textId="77777777" w:rsidR="006675AE" w:rsidRPr="001C1998" w:rsidRDefault="006675AE" w:rsidP="006E6706">
            <w:pPr>
              <w:rPr>
                <w:strike/>
              </w:rPr>
            </w:pPr>
            <w:r w:rsidRPr="001C1998">
              <w:rPr>
                <w:strike/>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002AE625" w14:textId="77777777" w:rsidR="006675AE" w:rsidRPr="001C1998" w:rsidRDefault="006675AE" w:rsidP="006E6706">
            <w:pPr>
              <w:rPr>
                <w:strike/>
              </w:rPr>
            </w:pPr>
            <w:r w:rsidRPr="001C1998">
              <w:rPr>
                <w:strike/>
              </w:rPr>
              <w:t>11.6</w:t>
            </w:r>
          </w:p>
        </w:tc>
      </w:tr>
      <w:tr w:rsidR="006675AE" w:rsidRPr="001C1998" w14:paraId="030A9E8F" w14:textId="77777777" w:rsidTr="006E6706">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DA6835E" w14:textId="77777777" w:rsidR="006675AE" w:rsidRPr="001C1998" w:rsidRDefault="006675AE" w:rsidP="006E6706">
            <w:pPr>
              <w:rPr>
                <w:strike/>
              </w:rPr>
            </w:pPr>
            <w:r w:rsidRPr="001C1998">
              <w:rPr>
                <w:strike/>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480A5F57" w14:textId="77777777" w:rsidR="006675AE" w:rsidRPr="001C1998" w:rsidRDefault="006675AE" w:rsidP="006E6706">
            <w:pPr>
              <w:rPr>
                <w:strike/>
              </w:rPr>
            </w:pPr>
            <w:r w:rsidRPr="001C1998">
              <w:rPr>
                <w:strike/>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50F87205" w14:textId="77777777" w:rsidR="006675AE" w:rsidRPr="001C1998" w:rsidRDefault="006675AE" w:rsidP="006E6706">
            <w:pPr>
              <w:rPr>
                <w:strike/>
              </w:rPr>
            </w:pPr>
            <w:r w:rsidRPr="001C1998">
              <w:rPr>
                <w:strike/>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663B1111" w14:textId="77777777" w:rsidR="006675AE" w:rsidRPr="001C1998" w:rsidRDefault="006675AE" w:rsidP="006E6706">
            <w:pPr>
              <w:rPr>
                <w:strike/>
              </w:rPr>
            </w:pPr>
            <w:r w:rsidRPr="001C1998">
              <w:rPr>
                <w:strike/>
              </w:rPr>
              <w:t>8</w:t>
            </w:r>
          </w:p>
        </w:tc>
      </w:tr>
      <w:tr w:rsidR="006675AE" w:rsidRPr="001C1998" w14:paraId="2ECA3BBC" w14:textId="77777777" w:rsidTr="006E6706">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9717E35" w14:textId="77777777" w:rsidR="006675AE" w:rsidRPr="001C1998" w:rsidRDefault="006675AE" w:rsidP="006E6706">
            <w:pPr>
              <w:rPr>
                <w:strike/>
              </w:rPr>
            </w:pPr>
            <w:r w:rsidRPr="001C1998">
              <w:rPr>
                <w:strike/>
              </w:rPr>
              <w:t>Northeast</w:t>
            </w:r>
          </w:p>
        </w:tc>
        <w:tc>
          <w:tcPr>
            <w:tcW w:w="3140" w:type="dxa"/>
            <w:tcBorders>
              <w:top w:val="nil"/>
              <w:left w:val="nil"/>
              <w:bottom w:val="single" w:sz="4" w:space="0" w:color="auto"/>
              <w:right w:val="single" w:sz="4" w:space="0" w:color="auto"/>
            </w:tcBorders>
            <w:shd w:val="clear" w:color="auto" w:fill="auto"/>
            <w:vAlign w:val="center"/>
            <w:hideMark/>
          </w:tcPr>
          <w:p w14:paraId="2203A22E" w14:textId="77777777" w:rsidR="006675AE" w:rsidRPr="001C1998" w:rsidRDefault="006675AE" w:rsidP="006E6706">
            <w:pPr>
              <w:rPr>
                <w:strike/>
              </w:rPr>
            </w:pPr>
            <w:r w:rsidRPr="001C1998">
              <w:rPr>
                <w:strike/>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007190E9" w14:textId="77777777" w:rsidR="006675AE" w:rsidRPr="001C1998" w:rsidRDefault="006675AE" w:rsidP="006E6706">
            <w:pPr>
              <w:rPr>
                <w:strike/>
              </w:rPr>
            </w:pPr>
            <w:r w:rsidRPr="001C1998">
              <w:rPr>
                <w:strike/>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1FD0F817" w14:textId="77777777" w:rsidR="006675AE" w:rsidRPr="001C1998" w:rsidRDefault="006675AE" w:rsidP="006E6706">
            <w:pPr>
              <w:rPr>
                <w:strike/>
              </w:rPr>
            </w:pPr>
            <w:r w:rsidRPr="001C1998">
              <w:rPr>
                <w:strike/>
              </w:rPr>
              <w:t>10.6</w:t>
            </w:r>
          </w:p>
        </w:tc>
      </w:tr>
      <w:tr w:rsidR="006675AE" w:rsidRPr="001C1998" w14:paraId="5E077111" w14:textId="77777777" w:rsidTr="006E6706">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F62752D" w14:textId="77777777" w:rsidR="006675AE" w:rsidRPr="001C1998" w:rsidRDefault="006675AE" w:rsidP="006E6706">
            <w:pPr>
              <w:rPr>
                <w:strike/>
              </w:rPr>
            </w:pPr>
            <w:r w:rsidRPr="001C1998">
              <w:rPr>
                <w:strike/>
              </w:rPr>
              <w:t>Northwest</w:t>
            </w:r>
          </w:p>
        </w:tc>
        <w:tc>
          <w:tcPr>
            <w:tcW w:w="3140" w:type="dxa"/>
            <w:tcBorders>
              <w:top w:val="nil"/>
              <w:left w:val="nil"/>
              <w:bottom w:val="single" w:sz="4" w:space="0" w:color="auto"/>
              <w:right w:val="single" w:sz="4" w:space="0" w:color="auto"/>
            </w:tcBorders>
            <w:shd w:val="clear" w:color="auto" w:fill="auto"/>
            <w:vAlign w:val="center"/>
            <w:hideMark/>
          </w:tcPr>
          <w:p w14:paraId="1F360153" w14:textId="77777777" w:rsidR="006675AE" w:rsidRPr="001C1998" w:rsidRDefault="006675AE" w:rsidP="006E6706">
            <w:pPr>
              <w:rPr>
                <w:strike/>
              </w:rPr>
            </w:pPr>
            <w:r w:rsidRPr="001C1998">
              <w:rPr>
                <w:strike/>
              </w:rPr>
              <w:t>Alaska, 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75DD914C" w14:textId="77777777" w:rsidR="006675AE" w:rsidRPr="001C1998" w:rsidRDefault="006675AE" w:rsidP="006E6706">
            <w:pPr>
              <w:rPr>
                <w:strike/>
              </w:rPr>
            </w:pPr>
            <w:r w:rsidRPr="001C1998">
              <w:rPr>
                <w:strike/>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501C0562" w14:textId="77777777" w:rsidR="006675AE" w:rsidRPr="001C1998" w:rsidRDefault="006675AE" w:rsidP="006E6706">
            <w:pPr>
              <w:rPr>
                <w:strike/>
              </w:rPr>
            </w:pPr>
            <w:r w:rsidRPr="001C1998">
              <w:rPr>
                <w:strike/>
              </w:rPr>
              <w:t>8.2</w:t>
            </w:r>
          </w:p>
        </w:tc>
      </w:tr>
      <w:tr w:rsidR="006675AE" w:rsidRPr="001C1998" w14:paraId="6306995C" w14:textId="77777777" w:rsidTr="006E6706">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E898BAA" w14:textId="77777777" w:rsidR="006675AE" w:rsidRPr="001C1998" w:rsidRDefault="006675AE" w:rsidP="006E6706">
            <w:pPr>
              <w:rPr>
                <w:strike/>
              </w:rPr>
            </w:pPr>
            <w:r w:rsidRPr="001C1998">
              <w:rPr>
                <w:strike/>
              </w:rPr>
              <w:t>South</w:t>
            </w:r>
          </w:p>
        </w:tc>
        <w:tc>
          <w:tcPr>
            <w:tcW w:w="3140" w:type="dxa"/>
            <w:tcBorders>
              <w:top w:val="nil"/>
              <w:left w:val="nil"/>
              <w:bottom w:val="single" w:sz="4" w:space="0" w:color="auto"/>
              <w:right w:val="single" w:sz="4" w:space="0" w:color="auto"/>
            </w:tcBorders>
            <w:shd w:val="clear" w:color="auto" w:fill="auto"/>
            <w:vAlign w:val="center"/>
            <w:hideMark/>
          </w:tcPr>
          <w:p w14:paraId="5DBFE793" w14:textId="77777777" w:rsidR="006675AE" w:rsidRPr="001C1998" w:rsidRDefault="006675AE" w:rsidP="006E6706">
            <w:pPr>
              <w:rPr>
                <w:strike/>
              </w:rPr>
            </w:pPr>
            <w:r w:rsidRPr="001C1998">
              <w:rPr>
                <w:strike/>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2623E50B" w14:textId="77777777" w:rsidR="006675AE" w:rsidRPr="001C1998" w:rsidRDefault="006675AE" w:rsidP="006E6706">
            <w:pPr>
              <w:rPr>
                <w:strike/>
              </w:rPr>
            </w:pPr>
            <w:r w:rsidRPr="001C1998">
              <w:rPr>
                <w:strike/>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4A16AD63" w14:textId="77777777" w:rsidR="006675AE" w:rsidRPr="001C1998" w:rsidRDefault="006675AE" w:rsidP="006E6706">
            <w:pPr>
              <w:rPr>
                <w:strike/>
              </w:rPr>
            </w:pPr>
            <w:r w:rsidRPr="001C1998">
              <w:rPr>
                <w:strike/>
              </w:rPr>
              <w:t>18</w:t>
            </w:r>
          </w:p>
        </w:tc>
      </w:tr>
      <w:tr w:rsidR="006675AE" w:rsidRPr="001C1998" w14:paraId="212BA60B" w14:textId="77777777" w:rsidTr="006E6706">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F365BEE" w14:textId="77777777" w:rsidR="006675AE" w:rsidRPr="001C1998" w:rsidRDefault="006675AE" w:rsidP="006E6706">
            <w:pPr>
              <w:rPr>
                <w:strike/>
              </w:rPr>
            </w:pPr>
            <w:r w:rsidRPr="001C1998">
              <w:rPr>
                <w:strike/>
              </w:rPr>
              <w:t>Southeast</w:t>
            </w:r>
          </w:p>
        </w:tc>
        <w:tc>
          <w:tcPr>
            <w:tcW w:w="3140" w:type="dxa"/>
            <w:tcBorders>
              <w:top w:val="nil"/>
              <w:left w:val="nil"/>
              <w:bottom w:val="single" w:sz="4" w:space="0" w:color="auto"/>
              <w:right w:val="single" w:sz="4" w:space="0" w:color="auto"/>
            </w:tcBorders>
            <w:shd w:val="clear" w:color="auto" w:fill="auto"/>
            <w:vAlign w:val="center"/>
            <w:hideMark/>
          </w:tcPr>
          <w:p w14:paraId="33717674" w14:textId="77777777" w:rsidR="006675AE" w:rsidRPr="001C1998" w:rsidRDefault="006675AE" w:rsidP="006E6706">
            <w:pPr>
              <w:rPr>
                <w:strike/>
              </w:rPr>
            </w:pPr>
            <w:r w:rsidRPr="001C1998">
              <w:rPr>
                <w:strike/>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22DA1470" w14:textId="77777777" w:rsidR="006675AE" w:rsidRPr="001C1998" w:rsidRDefault="006675AE" w:rsidP="006E6706">
            <w:pPr>
              <w:rPr>
                <w:strike/>
              </w:rPr>
            </w:pPr>
            <w:r w:rsidRPr="001C1998">
              <w:rPr>
                <w:strike/>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234ECD6D" w14:textId="77777777" w:rsidR="006675AE" w:rsidRPr="001C1998" w:rsidRDefault="006675AE" w:rsidP="006E6706">
            <w:pPr>
              <w:rPr>
                <w:strike/>
              </w:rPr>
            </w:pPr>
            <w:r w:rsidRPr="001C1998">
              <w:rPr>
                <w:strike/>
              </w:rPr>
              <w:t>18.4</w:t>
            </w:r>
          </w:p>
        </w:tc>
      </w:tr>
      <w:tr w:rsidR="006675AE" w:rsidRPr="001C1998" w14:paraId="01D0C7B1" w14:textId="77777777" w:rsidTr="006E6706">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28DA680" w14:textId="77777777" w:rsidR="006675AE" w:rsidRPr="001C1998" w:rsidRDefault="006675AE" w:rsidP="006E6706">
            <w:pPr>
              <w:rPr>
                <w:strike/>
              </w:rPr>
            </w:pPr>
            <w:r w:rsidRPr="001C1998">
              <w:rPr>
                <w:strike/>
              </w:rPr>
              <w:t>Southwest</w:t>
            </w:r>
          </w:p>
        </w:tc>
        <w:tc>
          <w:tcPr>
            <w:tcW w:w="3140" w:type="dxa"/>
            <w:tcBorders>
              <w:top w:val="nil"/>
              <w:left w:val="nil"/>
              <w:bottom w:val="single" w:sz="4" w:space="0" w:color="auto"/>
              <w:right w:val="single" w:sz="4" w:space="0" w:color="auto"/>
            </w:tcBorders>
            <w:shd w:val="clear" w:color="auto" w:fill="auto"/>
            <w:vAlign w:val="center"/>
            <w:hideMark/>
          </w:tcPr>
          <w:p w14:paraId="2F394050" w14:textId="77777777" w:rsidR="006675AE" w:rsidRPr="001C1998" w:rsidRDefault="006675AE" w:rsidP="006E6706">
            <w:pPr>
              <w:rPr>
                <w:strike/>
              </w:rPr>
            </w:pPr>
            <w:r w:rsidRPr="001C1998">
              <w:rPr>
                <w:strike/>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4264FF4D" w14:textId="77777777" w:rsidR="006675AE" w:rsidRPr="001C1998" w:rsidRDefault="006675AE" w:rsidP="006E6706">
            <w:pPr>
              <w:rPr>
                <w:strike/>
              </w:rPr>
            </w:pPr>
            <w:r w:rsidRPr="001C1998">
              <w:rPr>
                <w:strike/>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37A2F654" w14:textId="77777777" w:rsidR="006675AE" w:rsidRPr="001C1998" w:rsidRDefault="006675AE" w:rsidP="006E6706">
            <w:pPr>
              <w:rPr>
                <w:strike/>
              </w:rPr>
            </w:pPr>
            <w:r w:rsidRPr="001C1998">
              <w:rPr>
                <w:strike/>
              </w:rPr>
              <w:t>13.6</w:t>
            </w:r>
          </w:p>
        </w:tc>
      </w:tr>
      <w:tr w:rsidR="006675AE" w:rsidRPr="001C1998" w14:paraId="52F38D03" w14:textId="77777777" w:rsidTr="006E6706">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189763E" w14:textId="77777777" w:rsidR="006675AE" w:rsidRPr="001C1998" w:rsidRDefault="006675AE" w:rsidP="006E6706">
            <w:pPr>
              <w:rPr>
                <w:strike/>
              </w:rPr>
            </w:pPr>
            <w:r w:rsidRPr="001C1998">
              <w:rPr>
                <w:strike/>
              </w:rPr>
              <w:t>West</w:t>
            </w:r>
          </w:p>
        </w:tc>
        <w:tc>
          <w:tcPr>
            <w:tcW w:w="3140" w:type="dxa"/>
            <w:tcBorders>
              <w:top w:val="nil"/>
              <w:left w:val="nil"/>
              <w:bottom w:val="single" w:sz="4" w:space="0" w:color="auto"/>
              <w:right w:val="single" w:sz="4" w:space="0" w:color="auto"/>
            </w:tcBorders>
            <w:shd w:val="clear" w:color="auto" w:fill="auto"/>
            <w:vAlign w:val="center"/>
            <w:hideMark/>
          </w:tcPr>
          <w:p w14:paraId="5189F10E" w14:textId="77777777" w:rsidR="006675AE" w:rsidRPr="001C1998" w:rsidRDefault="006675AE" w:rsidP="006E6706">
            <w:pPr>
              <w:rPr>
                <w:strike/>
              </w:rPr>
            </w:pPr>
            <w:r w:rsidRPr="001C1998">
              <w:rPr>
                <w:strike/>
              </w:rPr>
              <w:t>California, Hawaii, Nevada</w:t>
            </w:r>
          </w:p>
        </w:tc>
        <w:tc>
          <w:tcPr>
            <w:tcW w:w="1760" w:type="dxa"/>
            <w:tcBorders>
              <w:top w:val="nil"/>
              <w:left w:val="nil"/>
              <w:bottom w:val="single" w:sz="4" w:space="0" w:color="auto"/>
              <w:right w:val="single" w:sz="4" w:space="0" w:color="auto"/>
            </w:tcBorders>
            <w:shd w:val="clear" w:color="auto" w:fill="auto"/>
            <w:noWrap/>
            <w:vAlign w:val="center"/>
            <w:hideMark/>
          </w:tcPr>
          <w:p w14:paraId="33F19056" w14:textId="77777777" w:rsidR="006675AE" w:rsidRPr="001C1998" w:rsidRDefault="006675AE" w:rsidP="006E6706">
            <w:pPr>
              <w:rPr>
                <w:strike/>
              </w:rPr>
            </w:pPr>
            <w:r w:rsidRPr="001C1998">
              <w:rPr>
                <w:strike/>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553AFC72" w14:textId="77777777" w:rsidR="006675AE" w:rsidRPr="001C1998" w:rsidRDefault="006675AE" w:rsidP="006E6706">
            <w:pPr>
              <w:rPr>
                <w:strike/>
              </w:rPr>
            </w:pPr>
            <w:r w:rsidRPr="001C1998">
              <w:rPr>
                <w:strike/>
              </w:rPr>
              <w:t>16.6</w:t>
            </w:r>
          </w:p>
        </w:tc>
      </w:tr>
      <w:tr w:rsidR="006675AE" w:rsidRPr="001C1998" w14:paraId="4522BD02" w14:textId="77777777" w:rsidTr="006E6706">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64757FA2" w14:textId="77777777" w:rsidR="006675AE" w:rsidRPr="001C1998" w:rsidRDefault="006675AE" w:rsidP="006E6706">
            <w:pPr>
              <w:rPr>
                <w:strike/>
              </w:rPr>
            </w:pPr>
            <w:r w:rsidRPr="001C1998">
              <w:rPr>
                <w:strike/>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0AAE5800" w14:textId="77777777" w:rsidR="006675AE" w:rsidRPr="001C1998" w:rsidRDefault="006675AE" w:rsidP="006E6706">
            <w:pPr>
              <w:rPr>
                <w:strike/>
              </w:rPr>
            </w:pPr>
            <w:r w:rsidRPr="001C1998">
              <w:rPr>
                <w:strike/>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5D72ABED" w14:textId="77777777" w:rsidR="006675AE" w:rsidRPr="001C1998" w:rsidRDefault="006675AE" w:rsidP="006E6706">
            <w:pPr>
              <w:rPr>
                <w:strike/>
              </w:rPr>
            </w:pPr>
            <w:r w:rsidRPr="001C1998">
              <w:rPr>
                <w:strike/>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133A7838" w14:textId="77777777" w:rsidR="006675AE" w:rsidRPr="001C1998" w:rsidRDefault="006675AE" w:rsidP="006E6706">
            <w:pPr>
              <w:rPr>
                <w:strike/>
              </w:rPr>
            </w:pPr>
            <w:r w:rsidRPr="001C1998">
              <w:rPr>
                <w:strike/>
              </w:rPr>
              <w:t>7.6</w:t>
            </w:r>
          </w:p>
        </w:tc>
      </w:tr>
    </w:tbl>
    <w:p w14:paraId="60B9C633" w14:textId="77777777" w:rsidR="006675AE" w:rsidRPr="001C1998" w:rsidRDefault="006675AE" w:rsidP="006675AE">
      <w:pPr>
        <w:rPr>
          <w:strike/>
        </w:rPr>
      </w:pPr>
    </w:p>
    <w:p w14:paraId="68477F7C" w14:textId="3373B0A2" w:rsidR="00B82FF5" w:rsidRPr="00755632" w:rsidRDefault="00B82FF5" w:rsidP="001A4B51">
      <w:pPr>
        <w:pStyle w:val="Heading2"/>
      </w:pPr>
    </w:p>
    <w:sectPr w:rsidR="00B82FF5" w:rsidRPr="00755632" w:rsidSect="0083190B">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1F8AED" w14:textId="77777777" w:rsidR="001F6E03" w:rsidRDefault="001F6E03">
      <w:pPr>
        <w:spacing w:after="0" w:line="240" w:lineRule="auto"/>
      </w:pPr>
      <w:r>
        <w:separator/>
      </w:r>
    </w:p>
    <w:p w14:paraId="60214BC9" w14:textId="77777777" w:rsidR="001F6E03" w:rsidRDefault="001F6E03"/>
  </w:endnote>
  <w:endnote w:type="continuationSeparator" w:id="0">
    <w:p w14:paraId="60364C68" w14:textId="77777777" w:rsidR="001F6E03" w:rsidRDefault="001F6E03">
      <w:pPr>
        <w:spacing w:after="0" w:line="240" w:lineRule="auto"/>
      </w:pPr>
      <w:r>
        <w:continuationSeparator/>
      </w:r>
    </w:p>
    <w:p w14:paraId="1E1E2E3D" w14:textId="77777777" w:rsidR="001F6E03" w:rsidRDefault="001F6E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7DD8C6" w14:textId="77777777" w:rsidR="001F6E03" w:rsidRDefault="001F6E03">
      <w:pPr>
        <w:spacing w:after="0" w:line="240" w:lineRule="auto"/>
      </w:pPr>
      <w:r>
        <w:separator/>
      </w:r>
    </w:p>
    <w:p w14:paraId="58F1F3BA" w14:textId="77777777" w:rsidR="001F6E03" w:rsidRDefault="001F6E03"/>
  </w:footnote>
  <w:footnote w:type="continuationSeparator" w:id="0">
    <w:p w14:paraId="4A4ED033" w14:textId="77777777" w:rsidR="001F6E03" w:rsidRDefault="001F6E03">
      <w:pPr>
        <w:spacing w:after="0" w:line="240" w:lineRule="auto"/>
      </w:pPr>
      <w:r>
        <w:continuationSeparator/>
      </w:r>
    </w:p>
    <w:p w14:paraId="4C961D47" w14:textId="77777777" w:rsidR="001F6E03" w:rsidRDefault="001F6E03"/>
  </w:footnote>
  <w:footnote w:id="1">
    <w:p w14:paraId="36168947" w14:textId="7CB29A81" w:rsidR="009549BD" w:rsidRDefault="009549BD">
      <w:pPr>
        <w:pStyle w:val="FootnoteText"/>
      </w:pPr>
      <w:r>
        <w:rPr>
          <w:rStyle w:val="FootnoteReference"/>
        </w:rPr>
        <w:footnoteRef/>
      </w:r>
      <w:r>
        <w:t xml:space="preserve"> </w:t>
      </w:r>
      <w:hyperlink r:id="rId1" w:history="1">
        <w:r w:rsidRPr="00755632">
          <w:rPr>
            <w:rStyle w:val="Hyperlink"/>
            <w:sz w:val="24"/>
            <w:szCs w:val="24"/>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39"/>
  </w:num>
  <w:num w:numId="3">
    <w:abstractNumId w:val="32"/>
  </w:num>
  <w:num w:numId="4">
    <w:abstractNumId w:val="38"/>
  </w:num>
  <w:num w:numId="5">
    <w:abstractNumId w:val="4"/>
  </w:num>
  <w:num w:numId="6">
    <w:abstractNumId w:val="9"/>
  </w:num>
  <w:num w:numId="7">
    <w:abstractNumId w:val="1"/>
  </w:num>
  <w:num w:numId="8">
    <w:abstractNumId w:val="27"/>
  </w:num>
  <w:num w:numId="9">
    <w:abstractNumId w:val="34"/>
  </w:num>
  <w:num w:numId="10">
    <w:abstractNumId w:val="25"/>
  </w:num>
  <w:num w:numId="11">
    <w:abstractNumId w:val="28"/>
  </w:num>
  <w:num w:numId="12">
    <w:abstractNumId w:val="24"/>
  </w:num>
  <w:num w:numId="13">
    <w:abstractNumId w:val="20"/>
  </w:num>
  <w:num w:numId="14">
    <w:abstractNumId w:val="14"/>
  </w:num>
  <w:num w:numId="15">
    <w:abstractNumId w:val="36"/>
  </w:num>
  <w:num w:numId="16">
    <w:abstractNumId w:val="41"/>
  </w:num>
  <w:num w:numId="17">
    <w:abstractNumId w:val="21"/>
  </w:num>
  <w:num w:numId="18">
    <w:abstractNumId w:val="19"/>
  </w:num>
  <w:num w:numId="19">
    <w:abstractNumId w:val="8"/>
  </w:num>
  <w:num w:numId="20">
    <w:abstractNumId w:val="22"/>
  </w:num>
  <w:num w:numId="21">
    <w:abstractNumId w:val="0"/>
  </w:num>
  <w:num w:numId="22">
    <w:abstractNumId w:val="6"/>
  </w:num>
  <w:num w:numId="23">
    <w:abstractNumId w:val="30"/>
  </w:num>
  <w:num w:numId="24">
    <w:abstractNumId w:val="17"/>
  </w:num>
  <w:num w:numId="25">
    <w:abstractNumId w:val="7"/>
  </w:num>
  <w:num w:numId="26">
    <w:abstractNumId w:val="40"/>
  </w:num>
  <w:num w:numId="27">
    <w:abstractNumId w:val="15"/>
  </w:num>
  <w:num w:numId="28">
    <w:abstractNumId w:val="13"/>
  </w:num>
  <w:num w:numId="29">
    <w:abstractNumId w:val="2"/>
  </w:num>
  <w:num w:numId="30">
    <w:abstractNumId w:val="12"/>
  </w:num>
  <w:num w:numId="31">
    <w:abstractNumId w:val="35"/>
  </w:num>
  <w:num w:numId="32">
    <w:abstractNumId w:val="33"/>
  </w:num>
  <w:num w:numId="33">
    <w:abstractNumId w:val="10"/>
  </w:num>
  <w:num w:numId="34">
    <w:abstractNumId w:val="37"/>
  </w:num>
  <w:num w:numId="35">
    <w:abstractNumId w:val="3"/>
  </w:num>
  <w:num w:numId="36">
    <w:abstractNumId w:val="18"/>
  </w:num>
  <w:num w:numId="37">
    <w:abstractNumId w:val="26"/>
  </w:num>
  <w:num w:numId="38">
    <w:abstractNumId w:val="31"/>
  </w:num>
  <w:num w:numId="39">
    <w:abstractNumId w:val="5"/>
  </w:num>
  <w:num w:numId="40">
    <w:abstractNumId w:val="29"/>
  </w:num>
  <w:num w:numId="41">
    <w:abstractNumId w:val="16"/>
  </w:num>
  <w:num w:numId="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C36"/>
    <w:rsid w:val="0003125C"/>
    <w:rsid w:val="00031324"/>
    <w:rsid w:val="00031D95"/>
    <w:rsid w:val="000325EB"/>
    <w:rsid w:val="00032AA8"/>
    <w:rsid w:val="000331F8"/>
    <w:rsid w:val="0003365F"/>
    <w:rsid w:val="000338D0"/>
    <w:rsid w:val="00033DDF"/>
    <w:rsid w:val="000340B4"/>
    <w:rsid w:val="0003459A"/>
    <w:rsid w:val="00034610"/>
    <w:rsid w:val="00034AA3"/>
    <w:rsid w:val="00034AC0"/>
    <w:rsid w:val="00034CBF"/>
    <w:rsid w:val="000361FB"/>
    <w:rsid w:val="0003657E"/>
    <w:rsid w:val="000372D3"/>
    <w:rsid w:val="00040054"/>
    <w:rsid w:val="00040648"/>
    <w:rsid w:val="00040A4B"/>
    <w:rsid w:val="00040D7A"/>
    <w:rsid w:val="00040FE5"/>
    <w:rsid w:val="00041754"/>
    <w:rsid w:val="00042319"/>
    <w:rsid w:val="0004250C"/>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7F5"/>
    <w:rsid w:val="00054AB7"/>
    <w:rsid w:val="00055B65"/>
    <w:rsid w:val="00056C50"/>
    <w:rsid w:val="00056C5A"/>
    <w:rsid w:val="00060181"/>
    <w:rsid w:val="0006104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F07"/>
    <w:rsid w:val="000A2462"/>
    <w:rsid w:val="000A2637"/>
    <w:rsid w:val="000A2E51"/>
    <w:rsid w:val="000A300F"/>
    <w:rsid w:val="000A35D2"/>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2919"/>
    <w:rsid w:val="000D2AE0"/>
    <w:rsid w:val="000D2D7D"/>
    <w:rsid w:val="000D3380"/>
    <w:rsid w:val="000D3A56"/>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5837"/>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320"/>
    <w:rsid w:val="000F44C0"/>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979"/>
    <w:rsid w:val="00103ED5"/>
    <w:rsid w:val="0010422E"/>
    <w:rsid w:val="00104231"/>
    <w:rsid w:val="0010440D"/>
    <w:rsid w:val="001046FA"/>
    <w:rsid w:val="001047DC"/>
    <w:rsid w:val="00104B66"/>
    <w:rsid w:val="00105420"/>
    <w:rsid w:val="00105569"/>
    <w:rsid w:val="00105731"/>
    <w:rsid w:val="0010581C"/>
    <w:rsid w:val="001063E9"/>
    <w:rsid w:val="0010644A"/>
    <w:rsid w:val="00107C70"/>
    <w:rsid w:val="00107E64"/>
    <w:rsid w:val="00110568"/>
    <w:rsid w:val="0011057A"/>
    <w:rsid w:val="0011072B"/>
    <w:rsid w:val="00111694"/>
    <w:rsid w:val="00111FB4"/>
    <w:rsid w:val="00112077"/>
    <w:rsid w:val="00112085"/>
    <w:rsid w:val="001121F5"/>
    <w:rsid w:val="00112CB4"/>
    <w:rsid w:val="00112F7C"/>
    <w:rsid w:val="00113023"/>
    <w:rsid w:val="00113449"/>
    <w:rsid w:val="00113A4A"/>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3CC"/>
    <w:rsid w:val="00124496"/>
    <w:rsid w:val="00124537"/>
    <w:rsid w:val="001245A8"/>
    <w:rsid w:val="00124625"/>
    <w:rsid w:val="00124A53"/>
    <w:rsid w:val="00124F13"/>
    <w:rsid w:val="00125C9A"/>
    <w:rsid w:val="001266B6"/>
    <w:rsid w:val="00126D97"/>
    <w:rsid w:val="00126FD8"/>
    <w:rsid w:val="00127240"/>
    <w:rsid w:val="001273E2"/>
    <w:rsid w:val="001273EA"/>
    <w:rsid w:val="0012798D"/>
    <w:rsid w:val="001279A6"/>
    <w:rsid w:val="00130219"/>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77E"/>
    <w:rsid w:val="00160AE2"/>
    <w:rsid w:val="00160CE4"/>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3B2"/>
    <w:rsid w:val="00173459"/>
    <w:rsid w:val="001734E9"/>
    <w:rsid w:val="00173BA7"/>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D66"/>
    <w:rsid w:val="00190108"/>
    <w:rsid w:val="00190701"/>
    <w:rsid w:val="00190B92"/>
    <w:rsid w:val="001910F8"/>
    <w:rsid w:val="0019142A"/>
    <w:rsid w:val="00191434"/>
    <w:rsid w:val="001917D5"/>
    <w:rsid w:val="001918BF"/>
    <w:rsid w:val="00191AAE"/>
    <w:rsid w:val="00192959"/>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33D"/>
    <w:rsid w:val="001A3531"/>
    <w:rsid w:val="001A3594"/>
    <w:rsid w:val="001A3870"/>
    <w:rsid w:val="001A3A57"/>
    <w:rsid w:val="001A3B0A"/>
    <w:rsid w:val="001A4AD3"/>
    <w:rsid w:val="001A4B51"/>
    <w:rsid w:val="001A4BDC"/>
    <w:rsid w:val="001A505D"/>
    <w:rsid w:val="001A545E"/>
    <w:rsid w:val="001A59CB"/>
    <w:rsid w:val="001A5AD8"/>
    <w:rsid w:val="001A6DAE"/>
    <w:rsid w:val="001A6EA2"/>
    <w:rsid w:val="001A74D3"/>
    <w:rsid w:val="001A7900"/>
    <w:rsid w:val="001A7E97"/>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4116"/>
    <w:rsid w:val="001B41BA"/>
    <w:rsid w:val="001B4AE9"/>
    <w:rsid w:val="001B50DF"/>
    <w:rsid w:val="001B5646"/>
    <w:rsid w:val="001B5D4C"/>
    <w:rsid w:val="001B6834"/>
    <w:rsid w:val="001B68C3"/>
    <w:rsid w:val="001B713E"/>
    <w:rsid w:val="001B7484"/>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03"/>
    <w:rsid w:val="001F6E49"/>
    <w:rsid w:val="001F704E"/>
    <w:rsid w:val="001F706F"/>
    <w:rsid w:val="001F7DDE"/>
    <w:rsid w:val="002001DE"/>
    <w:rsid w:val="0020052F"/>
    <w:rsid w:val="00201066"/>
    <w:rsid w:val="002016BA"/>
    <w:rsid w:val="0020227E"/>
    <w:rsid w:val="00202290"/>
    <w:rsid w:val="002025F8"/>
    <w:rsid w:val="00203599"/>
    <w:rsid w:val="0020366C"/>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2D1"/>
    <w:rsid w:val="00252CB9"/>
    <w:rsid w:val="00252D7A"/>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31F"/>
    <w:rsid w:val="00273273"/>
    <w:rsid w:val="002733F3"/>
    <w:rsid w:val="0027356F"/>
    <w:rsid w:val="002736F5"/>
    <w:rsid w:val="00273B5F"/>
    <w:rsid w:val="00273F2D"/>
    <w:rsid w:val="00273FC0"/>
    <w:rsid w:val="00274FC3"/>
    <w:rsid w:val="00275019"/>
    <w:rsid w:val="002754D2"/>
    <w:rsid w:val="0027551A"/>
    <w:rsid w:val="00277143"/>
    <w:rsid w:val="002773C7"/>
    <w:rsid w:val="002776B8"/>
    <w:rsid w:val="00280E5B"/>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5D6"/>
    <w:rsid w:val="00285791"/>
    <w:rsid w:val="00285A1A"/>
    <w:rsid w:val="00285D75"/>
    <w:rsid w:val="0028623A"/>
    <w:rsid w:val="00287584"/>
    <w:rsid w:val="002905BB"/>
    <w:rsid w:val="0029087D"/>
    <w:rsid w:val="00290E98"/>
    <w:rsid w:val="002920F8"/>
    <w:rsid w:val="00292A75"/>
    <w:rsid w:val="00292DF8"/>
    <w:rsid w:val="002932B0"/>
    <w:rsid w:val="0029420D"/>
    <w:rsid w:val="00294C1D"/>
    <w:rsid w:val="002953F0"/>
    <w:rsid w:val="00295451"/>
    <w:rsid w:val="00295725"/>
    <w:rsid w:val="00295CE8"/>
    <w:rsid w:val="002961A7"/>
    <w:rsid w:val="002964A1"/>
    <w:rsid w:val="00296824"/>
    <w:rsid w:val="00296A5E"/>
    <w:rsid w:val="002970B8"/>
    <w:rsid w:val="0029781C"/>
    <w:rsid w:val="00297C0C"/>
    <w:rsid w:val="002A0C66"/>
    <w:rsid w:val="002A0CC7"/>
    <w:rsid w:val="002A0D68"/>
    <w:rsid w:val="002A17EC"/>
    <w:rsid w:val="002A1857"/>
    <w:rsid w:val="002A2B91"/>
    <w:rsid w:val="002A2B94"/>
    <w:rsid w:val="002A2DCD"/>
    <w:rsid w:val="002A2FF6"/>
    <w:rsid w:val="002A324D"/>
    <w:rsid w:val="002A4118"/>
    <w:rsid w:val="002A4697"/>
    <w:rsid w:val="002A4698"/>
    <w:rsid w:val="002A4CEA"/>
    <w:rsid w:val="002A4CEB"/>
    <w:rsid w:val="002A4FB3"/>
    <w:rsid w:val="002A5534"/>
    <w:rsid w:val="002A58AD"/>
    <w:rsid w:val="002A58D9"/>
    <w:rsid w:val="002A60A8"/>
    <w:rsid w:val="002A658E"/>
    <w:rsid w:val="002A6760"/>
    <w:rsid w:val="002A6F3F"/>
    <w:rsid w:val="002A7720"/>
    <w:rsid w:val="002A772A"/>
    <w:rsid w:val="002B087E"/>
    <w:rsid w:val="002B0B58"/>
    <w:rsid w:val="002B13CE"/>
    <w:rsid w:val="002B13F7"/>
    <w:rsid w:val="002B18D8"/>
    <w:rsid w:val="002B1B6F"/>
    <w:rsid w:val="002B2162"/>
    <w:rsid w:val="002B2935"/>
    <w:rsid w:val="002B2E37"/>
    <w:rsid w:val="002B356C"/>
    <w:rsid w:val="002B3A4F"/>
    <w:rsid w:val="002B40EE"/>
    <w:rsid w:val="002B42BF"/>
    <w:rsid w:val="002B5115"/>
    <w:rsid w:val="002B526B"/>
    <w:rsid w:val="002B5412"/>
    <w:rsid w:val="002B5DCD"/>
    <w:rsid w:val="002B5DDD"/>
    <w:rsid w:val="002B6BF0"/>
    <w:rsid w:val="002B782C"/>
    <w:rsid w:val="002B7879"/>
    <w:rsid w:val="002B7F08"/>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A7C"/>
    <w:rsid w:val="002D30B2"/>
    <w:rsid w:val="002D3368"/>
    <w:rsid w:val="002D35A5"/>
    <w:rsid w:val="002D45B8"/>
    <w:rsid w:val="002D4EED"/>
    <w:rsid w:val="002D52AB"/>
    <w:rsid w:val="002D5342"/>
    <w:rsid w:val="002D6C2C"/>
    <w:rsid w:val="002D6DF8"/>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884"/>
    <w:rsid w:val="003018AC"/>
    <w:rsid w:val="0030195D"/>
    <w:rsid w:val="003030BF"/>
    <w:rsid w:val="00303180"/>
    <w:rsid w:val="003037F3"/>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7A10"/>
    <w:rsid w:val="00357D07"/>
    <w:rsid w:val="00357D26"/>
    <w:rsid w:val="00360A89"/>
    <w:rsid w:val="00361098"/>
    <w:rsid w:val="0036143F"/>
    <w:rsid w:val="00361EAF"/>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6BC"/>
    <w:rsid w:val="00367B32"/>
    <w:rsid w:val="0037036F"/>
    <w:rsid w:val="0037073D"/>
    <w:rsid w:val="00370A14"/>
    <w:rsid w:val="00370B1F"/>
    <w:rsid w:val="00370CF6"/>
    <w:rsid w:val="00370F0B"/>
    <w:rsid w:val="00371A85"/>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239F"/>
    <w:rsid w:val="003A28BE"/>
    <w:rsid w:val="003A35A4"/>
    <w:rsid w:val="003A3A3F"/>
    <w:rsid w:val="003A3D1B"/>
    <w:rsid w:val="003A3DF2"/>
    <w:rsid w:val="003A3EF0"/>
    <w:rsid w:val="003A4306"/>
    <w:rsid w:val="003A4583"/>
    <w:rsid w:val="003A470E"/>
    <w:rsid w:val="003A486A"/>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71FE"/>
    <w:rsid w:val="003C0251"/>
    <w:rsid w:val="003C0448"/>
    <w:rsid w:val="003C1333"/>
    <w:rsid w:val="003C1415"/>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4D80"/>
    <w:rsid w:val="003D5182"/>
    <w:rsid w:val="003D6226"/>
    <w:rsid w:val="003D64FC"/>
    <w:rsid w:val="003D6574"/>
    <w:rsid w:val="003D6A95"/>
    <w:rsid w:val="003D71A7"/>
    <w:rsid w:val="003E0179"/>
    <w:rsid w:val="003E04D8"/>
    <w:rsid w:val="003E0964"/>
    <w:rsid w:val="003E0C58"/>
    <w:rsid w:val="003E140C"/>
    <w:rsid w:val="003E1981"/>
    <w:rsid w:val="003E1EF4"/>
    <w:rsid w:val="003E296F"/>
    <w:rsid w:val="003E2E6E"/>
    <w:rsid w:val="003E2F0E"/>
    <w:rsid w:val="003E2F68"/>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6F7"/>
    <w:rsid w:val="003F6983"/>
    <w:rsid w:val="003F6AEB"/>
    <w:rsid w:val="003F7230"/>
    <w:rsid w:val="003F75AF"/>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100F6"/>
    <w:rsid w:val="00410654"/>
    <w:rsid w:val="004108DE"/>
    <w:rsid w:val="00411019"/>
    <w:rsid w:val="0041265F"/>
    <w:rsid w:val="0041272D"/>
    <w:rsid w:val="004127F2"/>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B3"/>
    <w:rsid w:val="00440177"/>
    <w:rsid w:val="0044079D"/>
    <w:rsid w:val="0044093E"/>
    <w:rsid w:val="00441DFA"/>
    <w:rsid w:val="004421A6"/>
    <w:rsid w:val="00442AF2"/>
    <w:rsid w:val="00442CC2"/>
    <w:rsid w:val="0044350F"/>
    <w:rsid w:val="00443903"/>
    <w:rsid w:val="00443AA8"/>
    <w:rsid w:val="00444B11"/>
    <w:rsid w:val="00444D1A"/>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2234"/>
    <w:rsid w:val="004723C2"/>
    <w:rsid w:val="00472D21"/>
    <w:rsid w:val="00472F83"/>
    <w:rsid w:val="00474107"/>
    <w:rsid w:val="004752C7"/>
    <w:rsid w:val="00475442"/>
    <w:rsid w:val="00475B09"/>
    <w:rsid w:val="00475FD8"/>
    <w:rsid w:val="0047610E"/>
    <w:rsid w:val="0047730B"/>
    <w:rsid w:val="0047730E"/>
    <w:rsid w:val="004813ED"/>
    <w:rsid w:val="004814FB"/>
    <w:rsid w:val="00481829"/>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D7D"/>
    <w:rsid w:val="004A5DE4"/>
    <w:rsid w:val="004A7E98"/>
    <w:rsid w:val="004B031E"/>
    <w:rsid w:val="004B0699"/>
    <w:rsid w:val="004B0A34"/>
    <w:rsid w:val="004B16A0"/>
    <w:rsid w:val="004B2216"/>
    <w:rsid w:val="004B26AB"/>
    <w:rsid w:val="004B2C0D"/>
    <w:rsid w:val="004B2E20"/>
    <w:rsid w:val="004B428D"/>
    <w:rsid w:val="004B46E5"/>
    <w:rsid w:val="004B4C65"/>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7C0"/>
    <w:rsid w:val="004C7EE7"/>
    <w:rsid w:val="004D037A"/>
    <w:rsid w:val="004D0498"/>
    <w:rsid w:val="004D050D"/>
    <w:rsid w:val="004D0519"/>
    <w:rsid w:val="004D0817"/>
    <w:rsid w:val="004D1163"/>
    <w:rsid w:val="004D134D"/>
    <w:rsid w:val="004D1462"/>
    <w:rsid w:val="004D14C7"/>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4286"/>
    <w:rsid w:val="005050EC"/>
    <w:rsid w:val="00505130"/>
    <w:rsid w:val="00505330"/>
    <w:rsid w:val="00505DC2"/>
    <w:rsid w:val="00506AF4"/>
    <w:rsid w:val="00506E2A"/>
    <w:rsid w:val="005079C7"/>
    <w:rsid w:val="00507D53"/>
    <w:rsid w:val="00510463"/>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DBA"/>
    <w:rsid w:val="00516469"/>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738"/>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622E"/>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681"/>
    <w:rsid w:val="00576F95"/>
    <w:rsid w:val="0057725E"/>
    <w:rsid w:val="005776AE"/>
    <w:rsid w:val="00577AB6"/>
    <w:rsid w:val="00577C4A"/>
    <w:rsid w:val="00580000"/>
    <w:rsid w:val="00580959"/>
    <w:rsid w:val="00581C63"/>
    <w:rsid w:val="0058211A"/>
    <w:rsid w:val="00582917"/>
    <w:rsid w:val="00582B8F"/>
    <w:rsid w:val="0058338A"/>
    <w:rsid w:val="005834DB"/>
    <w:rsid w:val="00583B1C"/>
    <w:rsid w:val="00584286"/>
    <w:rsid w:val="0058439A"/>
    <w:rsid w:val="00584476"/>
    <w:rsid w:val="00584D18"/>
    <w:rsid w:val="00584EF8"/>
    <w:rsid w:val="00585001"/>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919"/>
    <w:rsid w:val="005B69E7"/>
    <w:rsid w:val="005B71EA"/>
    <w:rsid w:val="005B744E"/>
    <w:rsid w:val="005B771B"/>
    <w:rsid w:val="005B7B1D"/>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166"/>
    <w:rsid w:val="00630617"/>
    <w:rsid w:val="006306EA"/>
    <w:rsid w:val="00630AD8"/>
    <w:rsid w:val="00630B94"/>
    <w:rsid w:val="00630BA9"/>
    <w:rsid w:val="00631143"/>
    <w:rsid w:val="0063232C"/>
    <w:rsid w:val="006324CD"/>
    <w:rsid w:val="00632709"/>
    <w:rsid w:val="00632BD2"/>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56"/>
    <w:rsid w:val="0065029D"/>
    <w:rsid w:val="00650702"/>
    <w:rsid w:val="006507C3"/>
    <w:rsid w:val="00650B40"/>
    <w:rsid w:val="00650CDF"/>
    <w:rsid w:val="00650E39"/>
    <w:rsid w:val="00651062"/>
    <w:rsid w:val="00651564"/>
    <w:rsid w:val="00651E45"/>
    <w:rsid w:val="00651FB2"/>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249"/>
    <w:rsid w:val="00685383"/>
    <w:rsid w:val="006854A4"/>
    <w:rsid w:val="00685FBD"/>
    <w:rsid w:val="006863A5"/>
    <w:rsid w:val="0068647D"/>
    <w:rsid w:val="006864B0"/>
    <w:rsid w:val="00686509"/>
    <w:rsid w:val="00686630"/>
    <w:rsid w:val="0068682F"/>
    <w:rsid w:val="00687474"/>
    <w:rsid w:val="006876F2"/>
    <w:rsid w:val="0068779A"/>
    <w:rsid w:val="00687B94"/>
    <w:rsid w:val="00690396"/>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920"/>
    <w:rsid w:val="006A1E28"/>
    <w:rsid w:val="006A1F9B"/>
    <w:rsid w:val="006A2128"/>
    <w:rsid w:val="006A2185"/>
    <w:rsid w:val="006A291E"/>
    <w:rsid w:val="006A2979"/>
    <w:rsid w:val="006A31A0"/>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B09"/>
    <w:rsid w:val="006D1CDB"/>
    <w:rsid w:val="006D1F52"/>
    <w:rsid w:val="006D2083"/>
    <w:rsid w:val="006D2DB9"/>
    <w:rsid w:val="006D3143"/>
    <w:rsid w:val="006D410D"/>
    <w:rsid w:val="006D42B5"/>
    <w:rsid w:val="006D4390"/>
    <w:rsid w:val="006D5F1D"/>
    <w:rsid w:val="006D674F"/>
    <w:rsid w:val="006D69D2"/>
    <w:rsid w:val="006D6F2F"/>
    <w:rsid w:val="006D7686"/>
    <w:rsid w:val="006D7A1E"/>
    <w:rsid w:val="006D7E94"/>
    <w:rsid w:val="006E0233"/>
    <w:rsid w:val="006E0C35"/>
    <w:rsid w:val="006E1126"/>
    <w:rsid w:val="006E1348"/>
    <w:rsid w:val="006E17A8"/>
    <w:rsid w:val="006E247C"/>
    <w:rsid w:val="006E27C6"/>
    <w:rsid w:val="006E2954"/>
    <w:rsid w:val="006E31DE"/>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1359"/>
    <w:rsid w:val="00701412"/>
    <w:rsid w:val="007025DD"/>
    <w:rsid w:val="00702978"/>
    <w:rsid w:val="00702D3B"/>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94D"/>
    <w:rsid w:val="00711200"/>
    <w:rsid w:val="00711208"/>
    <w:rsid w:val="007126F3"/>
    <w:rsid w:val="007128A0"/>
    <w:rsid w:val="00712E39"/>
    <w:rsid w:val="00713F87"/>
    <w:rsid w:val="00714146"/>
    <w:rsid w:val="0071475B"/>
    <w:rsid w:val="00714847"/>
    <w:rsid w:val="00715516"/>
    <w:rsid w:val="0071557B"/>
    <w:rsid w:val="007175A1"/>
    <w:rsid w:val="007175CF"/>
    <w:rsid w:val="00717AAE"/>
    <w:rsid w:val="00720950"/>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3B8"/>
    <w:rsid w:val="0073460F"/>
    <w:rsid w:val="007358F1"/>
    <w:rsid w:val="00737174"/>
    <w:rsid w:val="00737A8B"/>
    <w:rsid w:val="00737B43"/>
    <w:rsid w:val="00740128"/>
    <w:rsid w:val="00740150"/>
    <w:rsid w:val="00740505"/>
    <w:rsid w:val="0074088F"/>
    <w:rsid w:val="00741914"/>
    <w:rsid w:val="00741F21"/>
    <w:rsid w:val="0074271E"/>
    <w:rsid w:val="00742CEC"/>
    <w:rsid w:val="007434BC"/>
    <w:rsid w:val="00744113"/>
    <w:rsid w:val="00744815"/>
    <w:rsid w:val="00744B09"/>
    <w:rsid w:val="00744CD4"/>
    <w:rsid w:val="0074519E"/>
    <w:rsid w:val="00745BDC"/>
    <w:rsid w:val="00746991"/>
    <w:rsid w:val="00746BF9"/>
    <w:rsid w:val="00746F68"/>
    <w:rsid w:val="007471B0"/>
    <w:rsid w:val="00747BDF"/>
    <w:rsid w:val="00747F42"/>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088"/>
    <w:rsid w:val="007578CA"/>
    <w:rsid w:val="00757902"/>
    <w:rsid w:val="00757AB9"/>
    <w:rsid w:val="0076032C"/>
    <w:rsid w:val="007609BD"/>
    <w:rsid w:val="00761180"/>
    <w:rsid w:val="007611D2"/>
    <w:rsid w:val="00761A26"/>
    <w:rsid w:val="00761BD2"/>
    <w:rsid w:val="0076213B"/>
    <w:rsid w:val="00762ABB"/>
    <w:rsid w:val="0076309C"/>
    <w:rsid w:val="007636FD"/>
    <w:rsid w:val="0076378F"/>
    <w:rsid w:val="00763825"/>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6E6"/>
    <w:rsid w:val="00784530"/>
    <w:rsid w:val="00784644"/>
    <w:rsid w:val="00784B82"/>
    <w:rsid w:val="00784FCA"/>
    <w:rsid w:val="00785965"/>
    <w:rsid w:val="00785B04"/>
    <w:rsid w:val="00785C4C"/>
    <w:rsid w:val="007862FA"/>
    <w:rsid w:val="00786405"/>
    <w:rsid w:val="007867B5"/>
    <w:rsid w:val="00787227"/>
    <w:rsid w:val="00787EAD"/>
    <w:rsid w:val="007902A9"/>
    <w:rsid w:val="007903E4"/>
    <w:rsid w:val="00791079"/>
    <w:rsid w:val="007915F6"/>
    <w:rsid w:val="00791F6B"/>
    <w:rsid w:val="00792201"/>
    <w:rsid w:val="00792E4B"/>
    <w:rsid w:val="00793F3A"/>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511"/>
    <w:rsid w:val="007D45B6"/>
    <w:rsid w:val="007D4BD0"/>
    <w:rsid w:val="007D5008"/>
    <w:rsid w:val="007D570D"/>
    <w:rsid w:val="007D5A16"/>
    <w:rsid w:val="007D5C88"/>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27F1"/>
    <w:rsid w:val="0080289E"/>
    <w:rsid w:val="008028FD"/>
    <w:rsid w:val="00802A0B"/>
    <w:rsid w:val="00802B30"/>
    <w:rsid w:val="00802B74"/>
    <w:rsid w:val="00802BF1"/>
    <w:rsid w:val="00802E81"/>
    <w:rsid w:val="00803BCD"/>
    <w:rsid w:val="00804099"/>
    <w:rsid w:val="00804296"/>
    <w:rsid w:val="0080609A"/>
    <w:rsid w:val="008070E4"/>
    <w:rsid w:val="008071E5"/>
    <w:rsid w:val="00807267"/>
    <w:rsid w:val="00807692"/>
    <w:rsid w:val="00807CE5"/>
    <w:rsid w:val="00807DD4"/>
    <w:rsid w:val="008106DC"/>
    <w:rsid w:val="008108B0"/>
    <w:rsid w:val="00810FB6"/>
    <w:rsid w:val="0081140B"/>
    <w:rsid w:val="008118C5"/>
    <w:rsid w:val="0081196C"/>
    <w:rsid w:val="00811E91"/>
    <w:rsid w:val="008125BE"/>
    <w:rsid w:val="00812C82"/>
    <w:rsid w:val="00813355"/>
    <w:rsid w:val="00813908"/>
    <w:rsid w:val="00813ABC"/>
    <w:rsid w:val="00813F6C"/>
    <w:rsid w:val="00814199"/>
    <w:rsid w:val="0081489B"/>
    <w:rsid w:val="00815405"/>
    <w:rsid w:val="00815666"/>
    <w:rsid w:val="00815C28"/>
    <w:rsid w:val="00815D78"/>
    <w:rsid w:val="00816655"/>
    <w:rsid w:val="008176FE"/>
    <w:rsid w:val="00820034"/>
    <w:rsid w:val="00821206"/>
    <w:rsid w:val="00821395"/>
    <w:rsid w:val="0082159D"/>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625"/>
    <w:rsid w:val="00851793"/>
    <w:rsid w:val="008522E2"/>
    <w:rsid w:val="00852325"/>
    <w:rsid w:val="00852684"/>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70F2"/>
    <w:rsid w:val="00857306"/>
    <w:rsid w:val="0085748C"/>
    <w:rsid w:val="008574D5"/>
    <w:rsid w:val="0085763C"/>
    <w:rsid w:val="00857ED1"/>
    <w:rsid w:val="008600FF"/>
    <w:rsid w:val="0086015E"/>
    <w:rsid w:val="00860B2E"/>
    <w:rsid w:val="00860F96"/>
    <w:rsid w:val="00861EA9"/>
    <w:rsid w:val="008621C2"/>
    <w:rsid w:val="00862410"/>
    <w:rsid w:val="008625E9"/>
    <w:rsid w:val="008628CC"/>
    <w:rsid w:val="00862BAE"/>
    <w:rsid w:val="00863995"/>
    <w:rsid w:val="00863F15"/>
    <w:rsid w:val="00864247"/>
    <w:rsid w:val="00864403"/>
    <w:rsid w:val="008646C7"/>
    <w:rsid w:val="00865A38"/>
    <w:rsid w:val="00866C0A"/>
    <w:rsid w:val="008708D3"/>
    <w:rsid w:val="00871797"/>
    <w:rsid w:val="00871A7B"/>
    <w:rsid w:val="00871CFE"/>
    <w:rsid w:val="00871E6E"/>
    <w:rsid w:val="0087208E"/>
    <w:rsid w:val="008721C3"/>
    <w:rsid w:val="00873794"/>
    <w:rsid w:val="00873998"/>
    <w:rsid w:val="00873C4C"/>
    <w:rsid w:val="00874685"/>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67D"/>
    <w:rsid w:val="008A1E9B"/>
    <w:rsid w:val="008A218F"/>
    <w:rsid w:val="008A2BDC"/>
    <w:rsid w:val="008A3AAD"/>
    <w:rsid w:val="008A4562"/>
    <w:rsid w:val="008A4638"/>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C59"/>
    <w:rsid w:val="00903EED"/>
    <w:rsid w:val="00903F16"/>
    <w:rsid w:val="00904CBD"/>
    <w:rsid w:val="00904ED0"/>
    <w:rsid w:val="00905058"/>
    <w:rsid w:val="00905D8A"/>
    <w:rsid w:val="0090621A"/>
    <w:rsid w:val="00906940"/>
    <w:rsid w:val="009076D0"/>
    <w:rsid w:val="009077DC"/>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7016"/>
    <w:rsid w:val="00927B47"/>
    <w:rsid w:val="0093065C"/>
    <w:rsid w:val="00930F9B"/>
    <w:rsid w:val="00931744"/>
    <w:rsid w:val="009325CE"/>
    <w:rsid w:val="00932BD5"/>
    <w:rsid w:val="009336CA"/>
    <w:rsid w:val="00933B60"/>
    <w:rsid w:val="00933C2F"/>
    <w:rsid w:val="0093407B"/>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73F"/>
    <w:rsid w:val="009457A0"/>
    <w:rsid w:val="00945A70"/>
    <w:rsid w:val="00945D79"/>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78D"/>
    <w:rsid w:val="00952C48"/>
    <w:rsid w:val="00952D9C"/>
    <w:rsid w:val="0095310E"/>
    <w:rsid w:val="0095384A"/>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2EEE"/>
    <w:rsid w:val="00973147"/>
    <w:rsid w:val="009749C6"/>
    <w:rsid w:val="00974D98"/>
    <w:rsid w:val="00974DC6"/>
    <w:rsid w:val="0097561D"/>
    <w:rsid w:val="00975723"/>
    <w:rsid w:val="00975ED8"/>
    <w:rsid w:val="00976958"/>
    <w:rsid w:val="00976B65"/>
    <w:rsid w:val="00976F0A"/>
    <w:rsid w:val="009770CE"/>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B0C"/>
    <w:rsid w:val="00986D79"/>
    <w:rsid w:val="00986E45"/>
    <w:rsid w:val="009870FF"/>
    <w:rsid w:val="00987747"/>
    <w:rsid w:val="00987B41"/>
    <w:rsid w:val="00987F8E"/>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B1"/>
    <w:rsid w:val="009B1135"/>
    <w:rsid w:val="009B1940"/>
    <w:rsid w:val="009B275D"/>
    <w:rsid w:val="009B283A"/>
    <w:rsid w:val="009B2E74"/>
    <w:rsid w:val="009B3027"/>
    <w:rsid w:val="009B30D5"/>
    <w:rsid w:val="009B3166"/>
    <w:rsid w:val="009B4184"/>
    <w:rsid w:val="009B46D3"/>
    <w:rsid w:val="009B4781"/>
    <w:rsid w:val="009B5285"/>
    <w:rsid w:val="009B5576"/>
    <w:rsid w:val="009B5A29"/>
    <w:rsid w:val="009B63C4"/>
    <w:rsid w:val="009B7A5F"/>
    <w:rsid w:val="009B7C1B"/>
    <w:rsid w:val="009B7E67"/>
    <w:rsid w:val="009C0E80"/>
    <w:rsid w:val="009C15DD"/>
    <w:rsid w:val="009C1AC8"/>
    <w:rsid w:val="009C2305"/>
    <w:rsid w:val="009C29A6"/>
    <w:rsid w:val="009C2CAA"/>
    <w:rsid w:val="009C2FC1"/>
    <w:rsid w:val="009C31A8"/>
    <w:rsid w:val="009C376E"/>
    <w:rsid w:val="009C3975"/>
    <w:rsid w:val="009C3D92"/>
    <w:rsid w:val="009C478E"/>
    <w:rsid w:val="009C4D03"/>
    <w:rsid w:val="009C52A5"/>
    <w:rsid w:val="009C5745"/>
    <w:rsid w:val="009C599D"/>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507F"/>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523E"/>
    <w:rsid w:val="00A6558E"/>
    <w:rsid w:val="00A66BAD"/>
    <w:rsid w:val="00A67760"/>
    <w:rsid w:val="00A67AAB"/>
    <w:rsid w:val="00A7153A"/>
    <w:rsid w:val="00A71797"/>
    <w:rsid w:val="00A718C6"/>
    <w:rsid w:val="00A731CF"/>
    <w:rsid w:val="00A73AD6"/>
    <w:rsid w:val="00A73CA6"/>
    <w:rsid w:val="00A741D2"/>
    <w:rsid w:val="00A743A3"/>
    <w:rsid w:val="00A7467B"/>
    <w:rsid w:val="00A74D7D"/>
    <w:rsid w:val="00A75713"/>
    <w:rsid w:val="00A75E30"/>
    <w:rsid w:val="00A75F06"/>
    <w:rsid w:val="00A75F9A"/>
    <w:rsid w:val="00A763D1"/>
    <w:rsid w:val="00A76892"/>
    <w:rsid w:val="00A7691F"/>
    <w:rsid w:val="00A77F87"/>
    <w:rsid w:val="00A805D8"/>
    <w:rsid w:val="00A80822"/>
    <w:rsid w:val="00A813F9"/>
    <w:rsid w:val="00A821E1"/>
    <w:rsid w:val="00A825B2"/>
    <w:rsid w:val="00A825CE"/>
    <w:rsid w:val="00A82D5C"/>
    <w:rsid w:val="00A82F83"/>
    <w:rsid w:val="00A8302B"/>
    <w:rsid w:val="00A83200"/>
    <w:rsid w:val="00A834C0"/>
    <w:rsid w:val="00A83954"/>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AF9"/>
    <w:rsid w:val="00AD2D64"/>
    <w:rsid w:val="00AD2DD2"/>
    <w:rsid w:val="00AD3106"/>
    <w:rsid w:val="00AD35AE"/>
    <w:rsid w:val="00AD3B25"/>
    <w:rsid w:val="00AD3B38"/>
    <w:rsid w:val="00AD3B42"/>
    <w:rsid w:val="00AD4455"/>
    <w:rsid w:val="00AD45F1"/>
    <w:rsid w:val="00AD46A4"/>
    <w:rsid w:val="00AD4712"/>
    <w:rsid w:val="00AD55FC"/>
    <w:rsid w:val="00AD57D7"/>
    <w:rsid w:val="00AD60E9"/>
    <w:rsid w:val="00AE004C"/>
    <w:rsid w:val="00AE00A1"/>
    <w:rsid w:val="00AE0241"/>
    <w:rsid w:val="00AE02C9"/>
    <w:rsid w:val="00AE03FB"/>
    <w:rsid w:val="00AE077A"/>
    <w:rsid w:val="00AE0BC1"/>
    <w:rsid w:val="00AE1B6C"/>
    <w:rsid w:val="00AE2912"/>
    <w:rsid w:val="00AE3126"/>
    <w:rsid w:val="00AE3495"/>
    <w:rsid w:val="00AE3FDB"/>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9B3"/>
    <w:rsid w:val="00B05B88"/>
    <w:rsid w:val="00B05DC7"/>
    <w:rsid w:val="00B065F3"/>
    <w:rsid w:val="00B066BB"/>
    <w:rsid w:val="00B06C36"/>
    <w:rsid w:val="00B10A8F"/>
    <w:rsid w:val="00B10A94"/>
    <w:rsid w:val="00B11556"/>
    <w:rsid w:val="00B11F3E"/>
    <w:rsid w:val="00B128A3"/>
    <w:rsid w:val="00B12F83"/>
    <w:rsid w:val="00B13621"/>
    <w:rsid w:val="00B1372B"/>
    <w:rsid w:val="00B139B4"/>
    <w:rsid w:val="00B14233"/>
    <w:rsid w:val="00B143C0"/>
    <w:rsid w:val="00B14672"/>
    <w:rsid w:val="00B14BE3"/>
    <w:rsid w:val="00B15041"/>
    <w:rsid w:val="00B152A1"/>
    <w:rsid w:val="00B15E8B"/>
    <w:rsid w:val="00B160FB"/>
    <w:rsid w:val="00B16699"/>
    <w:rsid w:val="00B166CB"/>
    <w:rsid w:val="00B16A51"/>
    <w:rsid w:val="00B16AC6"/>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3023D"/>
    <w:rsid w:val="00B312AA"/>
    <w:rsid w:val="00B31621"/>
    <w:rsid w:val="00B3191E"/>
    <w:rsid w:val="00B31D70"/>
    <w:rsid w:val="00B32A64"/>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ABA"/>
    <w:rsid w:val="00B542D1"/>
    <w:rsid w:val="00B54B23"/>
    <w:rsid w:val="00B54E6E"/>
    <w:rsid w:val="00B56185"/>
    <w:rsid w:val="00B5759B"/>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42"/>
    <w:rsid w:val="00B717BD"/>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4B7"/>
    <w:rsid w:val="00B81905"/>
    <w:rsid w:val="00B8255E"/>
    <w:rsid w:val="00B82FF5"/>
    <w:rsid w:val="00B836B4"/>
    <w:rsid w:val="00B84E84"/>
    <w:rsid w:val="00B85166"/>
    <w:rsid w:val="00B8529A"/>
    <w:rsid w:val="00B85304"/>
    <w:rsid w:val="00B85526"/>
    <w:rsid w:val="00B85890"/>
    <w:rsid w:val="00B85D02"/>
    <w:rsid w:val="00B86210"/>
    <w:rsid w:val="00B8677B"/>
    <w:rsid w:val="00B86EC8"/>
    <w:rsid w:val="00B8730A"/>
    <w:rsid w:val="00B87613"/>
    <w:rsid w:val="00B87638"/>
    <w:rsid w:val="00B87870"/>
    <w:rsid w:val="00B87AB1"/>
    <w:rsid w:val="00B91584"/>
    <w:rsid w:val="00B92FB2"/>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A22"/>
    <w:rsid w:val="00BA03B0"/>
    <w:rsid w:val="00BA156D"/>
    <w:rsid w:val="00BA15DC"/>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BBB"/>
    <w:rsid w:val="00BB2EFB"/>
    <w:rsid w:val="00BB30EA"/>
    <w:rsid w:val="00BB36BA"/>
    <w:rsid w:val="00BB3FAB"/>
    <w:rsid w:val="00BB4546"/>
    <w:rsid w:val="00BB4651"/>
    <w:rsid w:val="00BB465E"/>
    <w:rsid w:val="00BB4E28"/>
    <w:rsid w:val="00BB56D1"/>
    <w:rsid w:val="00BB6515"/>
    <w:rsid w:val="00BB6621"/>
    <w:rsid w:val="00BB6664"/>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445B"/>
    <w:rsid w:val="00C14712"/>
    <w:rsid w:val="00C14E52"/>
    <w:rsid w:val="00C14E6E"/>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60534"/>
    <w:rsid w:val="00C60574"/>
    <w:rsid w:val="00C60B60"/>
    <w:rsid w:val="00C61364"/>
    <w:rsid w:val="00C61575"/>
    <w:rsid w:val="00C61DEB"/>
    <w:rsid w:val="00C62299"/>
    <w:rsid w:val="00C62870"/>
    <w:rsid w:val="00C631CC"/>
    <w:rsid w:val="00C63CC4"/>
    <w:rsid w:val="00C645EF"/>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948"/>
    <w:rsid w:val="00C757C4"/>
    <w:rsid w:val="00C75807"/>
    <w:rsid w:val="00C75DC7"/>
    <w:rsid w:val="00C761D8"/>
    <w:rsid w:val="00C76F73"/>
    <w:rsid w:val="00C7717F"/>
    <w:rsid w:val="00C77550"/>
    <w:rsid w:val="00C77D03"/>
    <w:rsid w:val="00C77FA7"/>
    <w:rsid w:val="00C80001"/>
    <w:rsid w:val="00C803DD"/>
    <w:rsid w:val="00C806A2"/>
    <w:rsid w:val="00C8115D"/>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146E"/>
    <w:rsid w:val="00C918AA"/>
    <w:rsid w:val="00C91D2F"/>
    <w:rsid w:val="00C92E29"/>
    <w:rsid w:val="00C92E67"/>
    <w:rsid w:val="00C93B13"/>
    <w:rsid w:val="00C95436"/>
    <w:rsid w:val="00C95829"/>
    <w:rsid w:val="00C95977"/>
    <w:rsid w:val="00C974B6"/>
    <w:rsid w:val="00C97974"/>
    <w:rsid w:val="00CA0A7E"/>
    <w:rsid w:val="00CA0B8B"/>
    <w:rsid w:val="00CA0FA0"/>
    <w:rsid w:val="00CA1682"/>
    <w:rsid w:val="00CA2EF4"/>
    <w:rsid w:val="00CA2FE9"/>
    <w:rsid w:val="00CA3319"/>
    <w:rsid w:val="00CA3BFC"/>
    <w:rsid w:val="00CA3CAD"/>
    <w:rsid w:val="00CA3EB6"/>
    <w:rsid w:val="00CA4063"/>
    <w:rsid w:val="00CA4ACD"/>
    <w:rsid w:val="00CA51B8"/>
    <w:rsid w:val="00CA5600"/>
    <w:rsid w:val="00CA5706"/>
    <w:rsid w:val="00CA5899"/>
    <w:rsid w:val="00CA729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4763"/>
    <w:rsid w:val="00CC47CE"/>
    <w:rsid w:val="00CC4EC2"/>
    <w:rsid w:val="00CC5323"/>
    <w:rsid w:val="00CC571C"/>
    <w:rsid w:val="00CC574F"/>
    <w:rsid w:val="00CC5D7B"/>
    <w:rsid w:val="00CC6021"/>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3E4"/>
    <w:rsid w:val="00CD479A"/>
    <w:rsid w:val="00CD4D6B"/>
    <w:rsid w:val="00CD5264"/>
    <w:rsid w:val="00CD54F0"/>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17"/>
    <w:rsid w:val="00CE4993"/>
    <w:rsid w:val="00CE4FDC"/>
    <w:rsid w:val="00CE666A"/>
    <w:rsid w:val="00CE6961"/>
    <w:rsid w:val="00CE77F8"/>
    <w:rsid w:val="00CE7A14"/>
    <w:rsid w:val="00CF0736"/>
    <w:rsid w:val="00CF0FAB"/>
    <w:rsid w:val="00CF12F8"/>
    <w:rsid w:val="00CF138F"/>
    <w:rsid w:val="00CF1464"/>
    <w:rsid w:val="00CF15C7"/>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E72"/>
    <w:rsid w:val="00CF717B"/>
    <w:rsid w:val="00CF73B5"/>
    <w:rsid w:val="00D02388"/>
    <w:rsid w:val="00D02BDF"/>
    <w:rsid w:val="00D02CA1"/>
    <w:rsid w:val="00D03283"/>
    <w:rsid w:val="00D03516"/>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6C"/>
    <w:rsid w:val="00D32F37"/>
    <w:rsid w:val="00D33661"/>
    <w:rsid w:val="00D341CD"/>
    <w:rsid w:val="00D343B3"/>
    <w:rsid w:val="00D3453D"/>
    <w:rsid w:val="00D349E0"/>
    <w:rsid w:val="00D34A10"/>
    <w:rsid w:val="00D359F1"/>
    <w:rsid w:val="00D35EF3"/>
    <w:rsid w:val="00D35FA1"/>
    <w:rsid w:val="00D36DB0"/>
    <w:rsid w:val="00D3784D"/>
    <w:rsid w:val="00D37EEA"/>
    <w:rsid w:val="00D409E3"/>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787"/>
    <w:rsid w:val="00D5380A"/>
    <w:rsid w:val="00D53F78"/>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E9"/>
    <w:rsid w:val="00D71F03"/>
    <w:rsid w:val="00D72B09"/>
    <w:rsid w:val="00D72B5F"/>
    <w:rsid w:val="00D731B6"/>
    <w:rsid w:val="00D7364D"/>
    <w:rsid w:val="00D73B1C"/>
    <w:rsid w:val="00D73CB8"/>
    <w:rsid w:val="00D741C8"/>
    <w:rsid w:val="00D74497"/>
    <w:rsid w:val="00D746A4"/>
    <w:rsid w:val="00D74744"/>
    <w:rsid w:val="00D74BA2"/>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9085D"/>
    <w:rsid w:val="00D90F23"/>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BCB"/>
    <w:rsid w:val="00D95C3E"/>
    <w:rsid w:val="00D95E6D"/>
    <w:rsid w:val="00D960A5"/>
    <w:rsid w:val="00D96D1F"/>
    <w:rsid w:val="00D97400"/>
    <w:rsid w:val="00D974FF"/>
    <w:rsid w:val="00D978BD"/>
    <w:rsid w:val="00D97AD2"/>
    <w:rsid w:val="00D97D73"/>
    <w:rsid w:val="00DA00D1"/>
    <w:rsid w:val="00DA0B56"/>
    <w:rsid w:val="00DA0BBA"/>
    <w:rsid w:val="00DA1289"/>
    <w:rsid w:val="00DA1674"/>
    <w:rsid w:val="00DA17AC"/>
    <w:rsid w:val="00DA2010"/>
    <w:rsid w:val="00DA2BC8"/>
    <w:rsid w:val="00DA2D75"/>
    <w:rsid w:val="00DA302B"/>
    <w:rsid w:val="00DA31AD"/>
    <w:rsid w:val="00DA3755"/>
    <w:rsid w:val="00DA3946"/>
    <w:rsid w:val="00DA40DC"/>
    <w:rsid w:val="00DA5503"/>
    <w:rsid w:val="00DA5F44"/>
    <w:rsid w:val="00DA60DB"/>
    <w:rsid w:val="00DA6133"/>
    <w:rsid w:val="00DA6A19"/>
    <w:rsid w:val="00DA7296"/>
    <w:rsid w:val="00DB0FE5"/>
    <w:rsid w:val="00DB12E1"/>
    <w:rsid w:val="00DB1A2F"/>
    <w:rsid w:val="00DB1F30"/>
    <w:rsid w:val="00DB27D5"/>
    <w:rsid w:val="00DB344D"/>
    <w:rsid w:val="00DB35BC"/>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AB6"/>
    <w:rsid w:val="00DC7020"/>
    <w:rsid w:val="00DC7452"/>
    <w:rsid w:val="00DD0012"/>
    <w:rsid w:val="00DD077C"/>
    <w:rsid w:val="00DD13AB"/>
    <w:rsid w:val="00DD1646"/>
    <w:rsid w:val="00DD22F0"/>
    <w:rsid w:val="00DD2582"/>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F072C"/>
    <w:rsid w:val="00DF0A76"/>
    <w:rsid w:val="00DF0F82"/>
    <w:rsid w:val="00DF10F2"/>
    <w:rsid w:val="00DF12D1"/>
    <w:rsid w:val="00DF172D"/>
    <w:rsid w:val="00DF21C5"/>
    <w:rsid w:val="00DF2600"/>
    <w:rsid w:val="00DF278B"/>
    <w:rsid w:val="00DF2A4C"/>
    <w:rsid w:val="00DF3740"/>
    <w:rsid w:val="00DF37DE"/>
    <w:rsid w:val="00DF3912"/>
    <w:rsid w:val="00DF3FB6"/>
    <w:rsid w:val="00DF42F9"/>
    <w:rsid w:val="00DF44C4"/>
    <w:rsid w:val="00DF4A03"/>
    <w:rsid w:val="00DF5653"/>
    <w:rsid w:val="00DF5DBA"/>
    <w:rsid w:val="00DF68E8"/>
    <w:rsid w:val="00DF7494"/>
    <w:rsid w:val="00DF782D"/>
    <w:rsid w:val="00DF7A45"/>
    <w:rsid w:val="00E00271"/>
    <w:rsid w:val="00E00482"/>
    <w:rsid w:val="00E00E96"/>
    <w:rsid w:val="00E013C3"/>
    <w:rsid w:val="00E0171D"/>
    <w:rsid w:val="00E01BC9"/>
    <w:rsid w:val="00E02007"/>
    <w:rsid w:val="00E026E6"/>
    <w:rsid w:val="00E03995"/>
    <w:rsid w:val="00E045EC"/>
    <w:rsid w:val="00E04629"/>
    <w:rsid w:val="00E0474D"/>
    <w:rsid w:val="00E049D4"/>
    <w:rsid w:val="00E04EEB"/>
    <w:rsid w:val="00E051A3"/>
    <w:rsid w:val="00E0545A"/>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C7"/>
    <w:rsid w:val="00E151AE"/>
    <w:rsid w:val="00E15CAA"/>
    <w:rsid w:val="00E15F91"/>
    <w:rsid w:val="00E16723"/>
    <w:rsid w:val="00E16C0A"/>
    <w:rsid w:val="00E17A66"/>
    <w:rsid w:val="00E17F7C"/>
    <w:rsid w:val="00E20E63"/>
    <w:rsid w:val="00E2113A"/>
    <w:rsid w:val="00E22191"/>
    <w:rsid w:val="00E22C3E"/>
    <w:rsid w:val="00E22D13"/>
    <w:rsid w:val="00E2449C"/>
    <w:rsid w:val="00E24FE8"/>
    <w:rsid w:val="00E252C8"/>
    <w:rsid w:val="00E256AA"/>
    <w:rsid w:val="00E25D9A"/>
    <w:rsid w:val="00E26D38"/>
    <w:rsid w:val="00E2758D"/>
    <w:rsid w:val="00E278E4"/>
    <w:rsid w:val="00E27B55"/>
    <w:rsid w:val="00E300C8"/>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7949"/>
    <w:rsid w:val="00E47B9F"/>
    <w:rsid w:val="00E507B1"/>
    <w:rsid w:val="00E50CDD"/>
    <w:rsid w:val="00E50E8E"/>
    <w:rsid w:val="00E516CA"/>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81F"/>
    <w:rsid w:val="00E74C0C"/>
    <w:rsid w:val="00E7505A"/>
    <w:rsid w:val="00E75CC4"/>
    <w:rsid w:val="00E76273"/>
    <w:rsid w:val="00E76588"/>
    <w:rsid w:val="00E76992"/>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2D8"/>
    <w:rsid w:val="00E84703"/>
    <w:rsid w:val="00E849C3"/>
    <w:rsid w:val="00E849D3"/>
    <w:rsid w:val="00E850CA"/>
    <w:rsid w:val="00E85491"/>
    <w:rsid w:val="00E85554"/>
    <w:rsid w:val="00E85A6C"/>
    <w:rsid w:val="00E85B65"/>
    <w:rsid w:val="00E85CDA"/>
    <w:rsid w:val="00E8612B"/>
    <w:rsid w:val="00E86386"/>
    <w:rsid w:val="00E869B6"/>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A0603"/>
    <w:rsid w:val="00EA0822"/>
    <w:rsid w:val="00EA102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83E"/>
    <w:rsid w:val="00EB0D86"/>
    <w:rsid w:val="00EB0FEC"/>
    <w:rsid w:val="00EB1BB4"/>
    <w:rsid w:val="00EB2856"/>
    <w:rsid w:val="00EB2987"/>
    <w:rsid w:val="00EB2B16"/>
    <w:rsid w:val="00EB2F43"/>
    <w:rsid w:val="00EB35EF"/>
    <w:rsid w:val="00EB36BD"/>
    <w:rsid w:val="00EB3BDB"/>
    <w:rsid w:val="00EB408D"/>
    <w:rsid w:val="00EB474A"/>
    <w:rsid w:val="00EB51C1"/>
    <w:rsid w:val="00EB5379"/>
    <w:rsid w:val="00EB53A2"/>
    <w:rsid w:val="00EB54AA"/>
    <w:rsid w:val="00EB6477"/>
    <w:rsid w:val="00EB679A"/>
    <w:rsid w:val="00EB7789"/>
    <w:rsid w:val="00EB79A2"/>
    <w:rsid w:val="00EB7B88"/>
    <w:rsid w:val="00EC1069"/>
    <w:rsid w:val="00EC128A"/>
    <w:rsid w:val="00EC224A"/>
    <w:rsid w:val="00EC29E7"/>
    <w:rsid w:val="00EC2A0B"/>
    <w:rsid w:val="00EC32A6"/>
    <w:rsid w:val="00EC33E7"/>
    <w:rsid w:val="00EC3C58"/>
    <w:rsid w:val="00EC401C"/>
    <w:rsid w:val="00EC51F2"/>
    <w:rsid w:val="00EC5ABC"/>
    <w:rsid w:val="00EC5C23"/>
    <w:rsid w:val="00EC6075"/>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60D0"/>
    <w:rsid w:val="00ED6525"/>
    <w:rsid w:val="00ED673A"/>
    <w:rsid w:val="00ED6CCE"/>
    <w:rsid w:val="00ED6F45"/>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10AE"/>
    <w:rsid w:val="00F118A0"/>
    <w:rsid w:val="00F1194C"/>
    <w:rsid w:val="00F11EB2"/>
    <w:rsid w:val="00F11F55"/>
    <w:rsid w:val="00F12F85"/>
    <w:rsid w:val="00F1327E"/>
    <w:rsid w:val="00F1367B"/>
    <w:rsid w:val="00F14350"/>
    <w:rsid w:val="00F14796"/>
    <w:rsid w:val="00F147B2"/>
    <w:rsid w:val="00F14AA0"/>
    <w:rsid w:val="00F15120"/>
    <w:rsid w:val="00F1606F"/>
    <w:rsid w:val="00F16542"/>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CA"/>
    <w:rsid w:val="00F2781A"/>
    <w:rsid w:val="00F27908"/>
    <w:rsid w:val="00F30D29"/>
    <w:rsid w:val="00F31B02"/>
    <w:rsid w:val="00F31DCC"/>
    <w:rsid w:val="00F32757"/>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84A"/>
    <w:rsid w:val="00F80A73"/>
    <w:rsid w:val="00F80AE8"/>
    <w:rsid w:val="00F8143C"/>
    <w:rsid w:val="00F81935"/>
    <w:rsid w:val="00F81DAD"/>
    <w:rsid w:val="00F81F0E"/>
    <w:rsid w:val="00F829C0"/>
    <w:rsid w:val="00F82BFC"/>
    <w:rsid w:val="00F82FB0"/>
    <w:rsid w:val="00F830E4"/>
    <w:rsid w:val="00F83395"/>
    <w:rsid w:val="00F8365A"/>
    <w:rsid w:val="00F84425"/>
    <w:rsid w:val="00F84954"/>
    <w:rsid w:val="00F84EF9"/>
    <w:rsid w:val="00F8532A"/>
    <w:rsid w:val="00F8696F"/>
    <w:rsid w:val="00F874F1"/>
    <w:rsid w:val="00F87BFE"/>
    <w:rsid w:val="00F904BB"/>
    <w:rsid w:val="00F90541"/>
    <w:rsid w:val="00F90612"/>
    <w:rsid w:val="00F90E96"/>
    <w:rsid w:val="00F91320"/>
    <w:rsid w:val="00F91FAF"/>
    <w:rsid w:val="00F92493"/>
    <w:rsid w:val="00F92F33"/>
    <w:rsid w:val="00F9373D"/>
    <w:rsid w:val="00F93C04"/>
    <w:rsid w:val="00F93FD4"/>
    <w:rsid w:val="00F94878"/>
    <w:rsid w:val="00F94929"/>
    <w:rsid w:val="00F953FA"/>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5554"/>
    <w:rsid w:val="00FA5998"/>
    <w:rsid w:val="00FA60A0"/>
    <w:rsid w:val="00FA6273"/>
    <w:rsid w:val="00FA63E7"/>
    <w:rsid w:val="00FA65A5"/>
    <w:rsid w:val="00FA6908"/>
    <w:rsid w:val="00FA6A2A"/>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1054"/>
    <w:rsid w:val="00FC12B5"/>
    <w:rsid w:val="00FC154E"/>
    <w:rsid w:val="00FC1658"/>
    <w:rsid w:val="00FC16DF"/>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645"/>
    <w:rsid w:val="00FD7A7A"/>
    <w:rsid w:val="00FE05DF"/>
    <w:rsid w:val="00FE079B"/>
    <w:rsid w:val="00FE0F40"/>
    <w:rsid w:val="00FE1193"/>
    <w:rsid w:val="00FE15DD"/>
    <w:rsid w:val="00FE1D10"/>
    <w:rsid w:val="00FE2503"/>
    <w:rsid w:val="00FE30FF"/>
    <w:rsid w:val="00FE321B"/>
    <w:rsid w:val="00FE46A6"/>
    <w:rsid w:val="00FE4975"/>
    <w:rsid w:val="00FE4B63"/>
    <w:rsid w:val="00FE4DDF"/>
    <w:rsid w:val="00FE4EA8"/>
    <w:rsid w:val="00FE5ABC"/>
    <w:rsid w:val="00FE5FE6"/>
    <w:rsid w:val="00FE6A4B"/>
    <w:rsid w:val="00FE7366"/>
    <w:rsid w:val="00FE7F57"/>
    <w:rsid w:val="00FF02E9"/>
    <w:rsid w:val="00FF07B0"/>
    <w:rsid w:val="00FF0F6E"/>
    <w:rsid w:val="00FF1578"/>
    <w:rsid w:val="00FF1634"/>
    <w:rsid w:val="00FF1B5B"/>
    <w:rsid w:val="00FF222E"/>
    <w:rsid w:val="00FF3799"/>
    <w:rsid w:val="00FF3A97"/>
    <w:rsid w:val="00FF4470"/>
    <w:rsid w:val="00FF4519"/>
    <w:rsid w:val="00FF479A"/>
    <w:rsid w:val="00FF4A40"/>
    <w:rsid w:val="00FF57A3"/>
    <w:rsid w:val="00FF5B78"/>
    <w:rsid w:val="00FF5CF2"/>
    <w:rsid w:val="00FF65CC"/>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 w:type="table" w:customStyle="1" w:styleId="TableGrid1">
    <w:name w:val="Table Grid1"/>
    <w:basedOn w:val="TableNormal"/>
    <w:next w:val="TableGrid"/>
    <w:uiPriority w:val="39"/>
    <w:rsid w:val="002F1F6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6675AE"/>
    <w:pPr>
      <w:spacing w:after="240" w:line="240" w:lineRule="atLeast"/>
      <w:ind w:firstLine="720"/>
      <w:jc w:val="both"/>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6675AE"/>
    <w:rPr>
      <w:rFonts w:ascii="Arial" w:eastAsia="MS Mincho" w:hAnsi="Arial" w:cs="Times New Roman"/>
      <w:color w:val="000000" w:themeColor="text1"/>
      <w:kern w:val="18"/>
      <w:sz w:val="22"/>
      <w:szCs w:val="20"/>
      <w:lang w:val="en-GB"/>
    </w:rPr>
  </w:style>
  <w:style w:type="character" w:styleId="PlaceholderText">
    <w:name w:val="Placeholder Text"/>
    <w:basedOn w:val="DefaultParagraphFont"/>
    <w:uiPriority w:val="99"/>
    <w:semiHidden/>
    <w:rsid w:val="006675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ABC46DA-648F-944D-AE39-E4B97D0CC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36</Pages>
  <Words>22848</Words>
  <Characters>130234</Characters>
  <Application>Microsoft Office Word</Application>
  <DocSecurity>0</DocSecurity>
  <Lines>3720</Lines>
  <Paragraphs>2097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26</cp:revision>
  <cp:lastPrinted>2019-04-05T14:52:00Z</cp:lastPrinted>
  <dcterms:created xsi:type="dcterms:W3CDTF">2019-04-13T13:22:00Z</dcterms:created>
  <dcterms:modified xsi:type="dcterms:W3CDTF">2019-04-13T14:23:00Z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