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bookmarkStart w:id="0" w:name="_GoBack"/>
      <w:bookmarkEnd w:id="0"/>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0FAEAF8D"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 xml:space="preserve">the timing </w:t>
      </w:r>
      <w:r w:rsidR="00E10E0F">
        <w:rPr>
          <w:color w:val="000000" w:themeColor="text1"/>
        </w:rPr>
        <w:t xml:space="preserve">and the relative magnitudes </w:t>
      </w:r>
      <w:r w:rsidRPr="00AC73A1">
        <w:rPr>
          <w:color w:val="000000" w:themeColor="text1"/>
        </w:rPr>
        <w:t>of minimum and maximum mortality</w:t>
      </w:r>
      <w:r w:rsidRPr="00AC73A1" w:rsidDel="007B3AFF">
        <w:rPr>
          <w:color w:val="000000" w:themeColor="text1"/>
        </w:rPr>
        <w:t xml:space="preserve"> </w:t>
      </w:r>
      <w:r w:rsidR="00E10E0F" w:rsidRPr="00AC73A1" w:rsidDel="007B3AFF">
        <w:rPr>
          <w:color w:val="000000" w:themeColor="text1"/>
        </w:rPr>
        <w:t>var</w:t>
      </w:r>
      <w:r w:rsidR="00E10E0F">
        <w:rPr>
          <w:color w:val="000000" w:themeColor="text1"/>
        </w:rPr>
        <w:t>y</w:t>
      </w:r>
      <w:r w:rsidR="00E10E0F" w:rsidRPr="00AC73A1" w:rsidDel="007B3AFF">
        <w:rPr>
          <w:color w:val="000000" w:themeColor="text1"/>
        </w:rPr>
        <w:t xml:space="preserve"> </w:t>
      </w:r>
      <w:r w:rsidRPr="00AC73A1" w:rsidDel="007B3AFF">
        <w:rPr>
          <w:color w:val="000000" w:themeColor="text1"/>
        </w:rPr>
        <w:t xml:space="preserve">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w:t>
      </w:r>
      <w:r w:rsidR="00276EAE">
        <w:rPr>
          <w:color w:val="000000" w:themeColor="text1"/>
        </w:rPr>
        <w:t xml:space="preserve">December to </w:t>
      </w:r>
      <w:r w:rsidR="00773692" w:rsidRPr="00AC73A1">
        <w:rPr>
          <w:color w:val="000000" w:themeColor="text1"/>
        </w:rPr>
        <w:t>February and minimum in June</w:t>
      </w:r>
      <w:r w:rsidR="00276EAE">
        <w:rPr>
          <w:color w:val="000000" w:themeColor="text1"/>
        </w:rPr>
        <w:t xml:space="preserve"> to August</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w:t>
      </w:r>
      <w:r w:rsidR="00773692" w:rsidRPr="00AC73A1">
        <w:rPr>
          <w:color w:val="000000" w:themeColor="text1"/>
        </w:rPr>
        <w:lastRenderedPageBreak/>
        <w:t xml:space="preserve">between peak and 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4660B08E"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 xml:space="preserve">seasonality, including the timing of </w:t>
      </w:r>
      <w:r w:rsidR="004475C0" w:rsidRPr="00AC73A1">
        <w:rPr>
          <w:color w:val="000000" w:themeColor="text1"/>
        </w:rPr>
        <w:lastRenderedPageBreak/>
        <w:t>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777CB5E7"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5BCE26AB"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5-14 and 25-35 years</w:t>
      </w:r>
      <w:r w:rsidR="00C30533">
        <w:t xml:space="preserve"> (</w:t>
      </w:r>
      <w:r w:rsidR="00C808A2">
        <w:t>p-value</w:t>
      </w:r>
      <w:r w:rsidR="00264184">
        <w:t xml:space="preserve">s </w:t>
      </w:r>
      <w:r w:rsidR="00BB7524">
        <w:t>=</w:t>
      </w:r>
      <w:r w:rsidR="002C7541">
        <w:t>0.2</w:t>
      </w:r>
      <w:r w:rsidR="00C0323F">
        <w:t>0</w:t>
      </w:r>
      <w:r w:rsidR="002C7541">
        <w:t xml:space="preserve"> and </w:t>
      </w:r>
      <w:r w:rsidR="00AA1CCE">
        <w:t>0.24</w:t>
      </w:r>
      <w:r w:rsidR="004A68C3">
        <w:t>, respectively</w:t>
      </w:r>
      <w:r w:rsidR="00C30533">
        <w:t>)</w:t>
      </w:r>
      <w:r w:rsidRPr="00AC73A1">
        <w:t xml:space="preserve">. While seasonality persisted throughout the entire analysis period in older ages, it largely </w:t>
      </w:r>
      <w:r w:rsidRPr="00AC73A1">
        <w:lastRenderedPageBreak/>
        <w:t xml:space="preserve">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5BE434E9" w:rsidR="005872FC" w:rsidRDefault="005902F2" w:rsidP="00365ECB">
      <w:pPr>
        <w:spacing w:line="480" w:lineRule="auto"/>
        <w:jc w:val="both"/>
      </w:pPr>
      <w:r w:rsidRPr="00AC73A1">
        <w:t>M</w:t>
      </w:r>
      <w:r w:rsidR="0029208D" w:rsidRPr="00AC73A1">
        <w:t>ortality from all cause</w:t>
      </w:r>
      <w:r w:rsidR="00D211A0">
        <w:t xml:space="preserve">s </w:t>
      </w:r>
      <w:r w:rsidR="00AB2FE3">
        <w:t xml:space="preserve">of death </w:t>
      </w:r>
      <w:r w:rsidR="0029208D" w:rsidRPr="00AC73A1">
        <w:t>was</w:t>
      </w:r>
      <w:r w:rsidRPr="00AC73A1">
        <w:t xml:space="preserve"> 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Pr="00AC73A1">
        <w:t>(Figure 2</w:t>
      </w:r>
      <w:r w:rsidR="00404DA8">
        <w:t xml:space="preserve"> and Supplementary Figure </w:t>
      </w:r>
      <w:r w:rsidR="00B650EB">
        <w:t>1</w:t>
      </w:r>
      <w:r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w:t>
      </w:r>
      <w:r w:rsidR="00DE001B">
        <w:t>diseases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F571CA">
        <w:t xml:space="preserve"> (p-values&lt;0.03</w:t>
      </w:r>
      <w:r w:rsidR="00BC4DF1">
        <w:t>)</w:t>
      </w:r>
      <w:r w:rsidR="00F571CA">
        <w:t xml:space="preserve"> except for </w:t>
      </w:r>
      <w:r w:rsidR="00960AF2">
        <w:t xml:space="preserve">cardiorespiratory </w:t>
      </w:r>
      <w:r w:rsidR="00DE001B">
        <w:t xml:space="preserve">diseases </w:t>
      </w:r>
      <w:r w:rsidR="00960AF2">
        <w:t xml:space="preserve">deaths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 &gt;</w:t>
      </w:r>
      <w:r w:rsidR="00F571CA">
        <w:t>0.11)</w:t>
      </w:r>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seasonal from childhood through </w:t>
      </w:r>
      <w:r w:rsidR="00A01E9E" w:rsidRPr="00AC73A1">
        <w:t>4</w:t>
      </w:r>
      <w:r w:rsidRPr="00AC73A1">
        <w:t xml:space="preserve">4 years in women and </w:t>
      </w:r>
      <w:r w:rsidR="0016500A">
        <w:t xml:space="preserve">through </w:t>
      </w:r>
      <w:r w:rsidR="00A01E9E" w:rsidRPr="00AC73A1">
        <w:t>6</w:t>
      </w:r>
      <w:r w:rsidRPr="00AC73A1">
        <w:t>4 years in men</w:t>
      </w:r>
      <w:r w:rsidR="00ED7523">
        <w:t xml:space="preserve"> (</w:t>
      </w:r>
      <w:r w:rsidR="00C808A2">
        <w:t>p-value</w:t>
      </w:r>
      <w:r w:rsidR="00ED7523">
        <w:t>s</w:t>
      </w:r>
      <w:r w:rsidR="005918BD">
        <w:t>&lt;0.08</w:t>
      </w:r>
      <w:r w:rsidR="00006DCD">
        <w:t>)</w:t>
      </w:r>
      <w:r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proofErr w:type="gramStart"/>
      <w:r w:rsidR="00EA7170">
        <w:t>with the exception of</w:t>
      </w:r>
      <w:proofErr w:type="gramEnd"/>
      <w:r w:rsidR="00EA7170">
        <w:t xml:space="preserve"> intentional injuries</w:t>
      </w:r>
      <w:r w:rsidR="00A11860">
        <w:t xml:space="preserve"> below 15 years and </w:t>
      </w:r>
      <w:r w:rsidR="00EA7170">
        <w:t xml:space="preserve">above </w:t>
      </w:r>
      <w:r w:rsidR="00A11860">
        <w:t>85</w:t>
      </w:r>
      <w:r w:rsidR="00EA7170">
        <w:t xml:space="preserve"> years</w:t>
      </w:r>
      <w:r w:rsidR="009D7307">
        <w:t xml:space="preserve"> (Supplementary Figure </w:t>
      </w:r>
      <w:r w:rsidR="00F62012">
        <w:t>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only appeared after </w:t>
      </w:r>
      <w:r w:rsidR="00761F77">
        <w:t>5</w:t>
      </w:r>
      <w:r w:rsidR="00906223" w:rsidRPr="00AC73A1">
        <w:t>5 years of age</w:t>
      </w:r>
      <w:r w:rsidR="00761F77">
        <w:t xml:space="preserve"> (</w:t>
      </w:r>
      <w:r w:rsidR="00C808A2">
        <w:t>p-value</w:t>
      </w:r>
      <w:r w:rsidR="00761F77">
        <w:t>s&lt;</w:t>
      </w:r>
      <w:r w:rsidR="001A373C">
        <w:t>0.04)</w:t>
      </w:r>
      <w:r w:rsidR="00906223">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 xml:space="preserve">(Supplementary Figure </w:t>
      </w:r>
      <w:r w:rsidR="00F62012">
        <w:t>1</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3B88980A" w14:textId="4575AA8B" w:rsidR="007846F4" w:rsidRDefault="008A2A47" w:rsidP="00C33FFB">
      <w:pPr>
        <w:spacing w:line="480" w:lineRule="auto"/>
        <w:jc w:val="both"/>
      </w:pPr>
      <w:r>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3 and </w:t>
      </w:r>
      <w:r w:rsidR="008166AA">
        <w:t xml:space="preserve">Supplementary Figure </w:t>
      </w:r>
      <w:r w:rsidR="00B53CC1">
        <w:t>2</w:t>
      </w:r>
      <w:r w:rsidR="008166AA">
        <w:t>).</w:t>
      </w:r>
      <w:r w:rsidR="00AD28C9">
        <w:t xml:space="preserve"> </w:t>
      </w:r>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E33674">
        <w:lastRenderedPageBreak/>
        <w:t>ranged from 0.35 to 0.49 for these ages</w:t>
      </w:r>
      <w:r w:rsidR="008D5D97">
        <w:t xml:space="preserve">). </w:t>
      </w:r>
      <w:r w:rsidR="000210D1" w:rsidRPr="00AC73A1">
        <w:t xml:space="preserve">A similar temporal pattern was seen </w:t>
      </w:r>
      <w:r w:rsidR="00F44160" w:rsidRPr="00AC73A1">
        <w:t>for all-cause</w:t>
      </w:r>
      <w:r w:rsidR="00122F91">
        <w:t xml:space="preserve"> 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082BA173"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 xml:space="preserve"> &lt;0.01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6D1A4D">
        <w:t xml:space="preserve"> </w:t>
      </w:r>
      <w:r w:rsidR="00A3089D">
        <w:t>&lt;0.01</w:t>
      </w:r>
      <w:r w:rsidR="00E0772F">
        <w:t xml:space="preserve">, </w:t>
      </w:r>
      <w:r w:rsidR="000210D1" w:rsidRPr="00AC73A1">
        <w:t>95% CI 8 to 18) for boys but only 5 percentage points (</w:t>
      </w:r>
      <w:r w:rsidR="00C808A2">
        <w:t>p-value</w:t>
      </w:r>
      <w:r w:rsidR="006D1A4D">
        <w:t xml:space="preserve"> </w:t>
      </w:r>
      <w:r w:rsidR="008939CE">
        <w:t>=0.12</w:t>
      </w:r>
      <w:r w:rsidR="00E0772F">
        <w:t>,</w:t>
      </w:r>
      <w:r w:rsidR="00E0772F" w:rsidRPr="00E0772F">
        <w:t xml:space="preserve"> </w:t>
      </w:r>
      <w:r w:rsidR="00E0772F">
        <w:t xml:space="preserve">95% </w:t>
      </w:r>
      <w:r w:rsidR="006D1A4D">
        <w:t xml:space="preserve">CI </w:t>
      </w:r>
      <w:r w:rsidR="000210D1" w:rsidRPr="00AC73A1">
        <w:t>-12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w:t>
      </w:r>
      <w:r w:rsidR="00DE001B">
        <w:t xml:space="preserve">diseases </w:t>
      </w:r>
      <w:r w:rsidR="009B11D1" w:rsidRPr="00AC73A1">
        <w:t>deaths and increasing summer-winter difference in injury deaths</w:t>
      </w:r>
      <w:r w:rsidR="00564D58">
        <w:t xml:space="preserve">, itself driven by increasing difference in non-intentional injuries </w:t>
      </w:r>
      <w:r w:rsidR="00576EFD">
        <w:t xml:space="preserve">(Supplementary Figure </w:t>
      </w:r>
      <w:r w:rsidR="007F5135">
        <w:t>3</w:t>
      </w:r>
      <w:r w:rsidR="00B34D22">
        <w:t>).</w:t>
      </w:r>
      <w:r w:rsidR="00A833D2">
        <w:t xml:space="preserve"> </w:t>
      </w:r>
      <w:r w:rsidR="005C3CBC">
        <w:t xml:space="preserve">Within the cardiorespiratory </w:t>
      </w:r>
      <w:r w:rsidR="00DE001B">
        <w:t xml:space="preserve">diseases </w:t>
      </w:r>
      <w:r w:rsidR="005C3CBC">
        <w:t>cluster 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276F95FF"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xml:space="preserve">), indicating the seasonality is largely independent of geography. The relative homogeneity of the timing of </w:t>
      </w:r>
      <w:r w:rsidR="000210D1" w:rsidRPr="00AC73A1">
        <w:lastRenderedPageBreak/>
        <w:t>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7BCD0CE6"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the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lastRenderedPageBreak/>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12EC5B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79BED05D" w:rsidR="00DB2D88" w:rsidRPr="008F7D99" w:rsidRDefault="00B951CD" w:rsidP="00975D69">
      <w:pPr>
        <w:spacing w:line="480" w:lineRule="auto"/>
        <w:jc w:val="both"/>
        <w:rPr>
          <w:rFonts w:eastAsia="Times New Roman"/>
        </w:rPr>
      </w:pPr>
      <w:r>
        <w:t>A</w:t>
      </w:r>
      <w:r w:rsidR="000B343F" w:rsidRPr="00AC73A1">
        <w:t xml:space="preserve"> study of 36 cities</w:t>
      </w:r>
      <w:r>
        <w:t xml:space="preserve"> in the USA</w:t>
      </w:r>
      <w:r w:rsidR="000B343F" w:rsidRPr="00AC73A1">
        <w:t xml:space="preserve"> aggregated across age groups and over time</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w:t>
      </w:r>
      <w:r w:rsidR="000B343F" w:rsidRPr="00AC73A1">
        <w:lastRenderedPageBreak/>
        <w:t>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w:t>
      </w:r>
      <w:proofErr w:type="gramStart"/>
      <w:r w:rsidR="007814E0">
        <w:t>as a result of</w:t>
      </w:r>
      <w:proofErr w:type="gramEnd"/>
      <w:r w:rsidR="007814E0">
        <w:t xml:space="preserve"> global </w:t>
      </w:r>
      <w:r w:rsidR="00FC7D1E">
        <w:t xml:space="preserve">climate </w:t>
      </w:r>
      <w:r w:rsidR="007814E0">
        <w:t>change are unlikely to affect the seasonality of mortality</w:t>
      </w:r>
      <w:r w:rsidR="00244D8A">
        <w:t>, and notably the winter-summer mortality difference</w:t>
      </w:r>
      <w:r w:rsidR="008E764E">
        <w:t>.</w:t>
      </w:r>
    </w:p>
    <w:p w14:paraId="5D4068DF" w14:textId="77777777" w:rsidR="000B343F" w:rsidRPr="00AC73A1" w:rsidRDefault="000B343F" w:rsidP="00975D69">
      <w:pPr>
        <w:spacing w:line="480" w:lineRule="auto"/>
        <w:jc w:val="both"/>
      </w:pPr>
    </w:p>
    <w:p w14:paraId="320D38F2" w14:textId="4A640366"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which have limited seasonality</w:t>
      </w:r>
      <w:r w:rsidR="00424C6B">
        <w:t xml:space="preserve"> (Supp</w:t>
      </w:r>
      <w:r w:rsidR="004F1CAB">
        <w:t>lementary Figure 1</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 xml:space="preserve">include enhancing the </w:t>
      </w:r>
      <w:r w:rsidRPr="00AC73A1">
        <w:lastRenderedPageBreak/>
        <w:t>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pPr>
    </w:p>
    <w:p w14:paraId="1F726F12" w14:textId="34E21624" w:rsidR="00DB02FB" w:rsidRDefault="004055C0" w:rsidP="004055C0">
      <w:pPr>
        <w:spacing w:line="480" w:lineRule="auto"/>
        <w:jc w:val="both"/>
      </w:pPr>
      <w:r w:rsidRPr="00AC73A1">
        <w:lastRenderedPageBreak/>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xml:space="preserve">%, respectively, in </w:t>
      </w:r>
      <w:r w:rsidR="004055C0" w:rsidRPr="00AC73A1">
        <w:rPr>
          <w:color w:val="000000" w:themeColor="text1"/>
        </w:rPr>
        <w:lastRenderedPageBreak/>
        <w:t>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03585E3"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2A4B30">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AMS","id":"ITEM-2","issued":{"date-parts":[["1996"]]},"title":"The world according to wavelets: the story of a mathematical technique in the making","type":"book"},"uris":["http://www.mendeley.com/documents/?uuid=c0318730-63cb-4808-bc08-757d8c45d2b1"]}],"mendeley":{"formattedCitation":"(Hubbard,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D63948" w:rsidRPr="00D63948">
        <w:rPr>
          <w:rFonts w:ascii="Times New Roman" w:hAnsi="Times New Roman" w:cs="Times New Roman"/>
          <w:noProof/>
          <w:color w:val="000000" w:themeColor="text1"/>
          <w:sz w:val="24"/>
          <w:szCs w:val="24"/>
        </w:rPr>
        <w:t>(Hubbard, 1996;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lastRenderedPageBreak/>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rFonts w:ascii="Times New Roman" w:hAnsi="Times New Roman" w:cs="Times New Roman"/>
          <w:color w:val="000000" w:themeColor="text1"/>
          <w:sz w:val="24"/>
          <w:szCs w:val="24"/>
        </w:rPr>
      </w:pPr>
    </w:p>
    <w:p w14:paraId="1B27BF27" w14:textId="110D7349"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 xml:space="preserve">a mean 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 as the argument of the complex value:</w:t>
      </w:r>
      <w:r w:rsidR="004055C0" w:rsidRPr="004B02D5">
        <w:rPr>
          <w:rFonts w:ascii="Times New Roman" w:hAnsi="Times New Roman" w:cs="Times New Roman"/>
          <w:noProof/>
          <w:sz w:val="24"/>
          <w:szCs w:val="24"/>
        </w:rPr>
        <w:t xml:space="preserve"> </w:t>
      </w:r>
    </w:p>
    <w:p w14:paraId="3B0FEDA9" w14:textId="40A1EA38" w:rsidR="007B551D" w:rsidRDefault="00E22B6A"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4B75FE4F" w14:textId="3605012F" w:rsidR="004055C0" w:rsidRPr="004B02D5" w:rsidRDefault="001A036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which </w:t>
      </w:r>
      <w:r w:rsidR="00090953">
        <w:rPr>
          <w:rFonts w:ascii="Times New Roman" w:hAnsi="Times New Roman" w:cs="Times New Roman"/>
          <w:noProof/>
          <w:sz w:val="24"/>
          <w:szCs w:val="24"/>
        </w:rPr>
        <w:t>is</w:t>
      </w:r>
      <w:r>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2A4B30">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r w:rsidR="0098017B">
        <w:rPr>
          <w:rFonts w:ascii="Times New Roman" w:hAnsi="Times New Roman" w:cs="Times New Roman"/>
          <w:noProof/>
          <w:sz w:val="24"/>
          <w:szCs w:val="24"/>
        </w:rPr>
        <w:t xml:space="preserve">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r w:rsidR="0098017B">
        <w:rPr>
          <w:rFonts w:ascii="Times New Roman" w:hAnsi="Times New Roman" w:cs="Times New Roman"/>
          <w:color w:val="000000" w:themeColor="text1"/>
          <w:sz w:val="24"/>
          <w:szCs w:val="24"/>
        </w:rPr>
        <w:t>analysis</w:t>
      </w:r>
      <w:r w:rsidR="004055C0"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104344A0" w:rsidR="00CC3184" w:rsidRPr="004B02D5" w:rsidRDefault="004115F7" w:rsidP="00CC3184">
      <w:pPr>
        <w:spacing w:line="480" w:lineRule="auto"/>
        <w:jc w:val="both"/>
        <w:rPr>
          <w:color w:val="000000" w:themeColor="text1"/>
        </w:rPr>
      </w:pPr>
      <w:r w:rsidRPr="004B02D5">
        <w:rPr>
          <w:color w:val="000000" w:themeColor="text1"/>
        </w:rPr>
        <w:lastRenderedPageBreak/>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46490998" w14:textId="1ABAB59A" w:rsidR="002A4B30" w:rsidRPr="002A4B30" w:rsidRDefault="009D5B4B" w:rsidP="00C32943">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2A4B30" w:rsidRPr="002A4B30">
        <w:rPr>
          <w:rFonts w:eastAsia="Times New Roman"/>
          <w:noProof/>
        </w:rPr>
        <w:t xml:space="preserve">Basu, R. (2009). High ambient temperature and mortality: A review of epidemiologic studies from 2001 to 2008. </w:t>
      </w:r>
      <w:r w:rsidR="002A4B30" w:rsidRPr="002A4B30">
        <w:rPr>
          <w:rFonts w:eastAsia="Times New Roman"/>
          <w:i/>
          <w:iCs/>
          <w:noProof/>
        </w:rPr>
        <w:t>Environmental Health: A Global Access Science Source</w:t>
      </w:r>
      <w:r w:rsidR="002A4B30" w:rsidRPr="002A4B30">
        <w:rPr>
          <w:rFonts w:eastAsia="Times New Roman"/>
          <w:noProof/>
        </w:rPr>
        <w:t>. https://doi.org/10.1186/1476-069X-8-40</w:t>
      </w:r>
    </w:p>
    <w:p w14:paraId="7B01F8A3"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Basu, R., &amp; Samet, J. M. (2002). Relation between elevated ambient temperature and mortality: A review of the epidemiologic evidence. </w:t>
      </w:r>
      <w:r w:rsidRPr="002A4B30">
        <w:rPr>
          <w:rFonts w:eastAsia="Times New Roman"/>
          <w:i/>
          <w:iCs/>
          <w:noProof/>
        </w:rPr>
        <w:t>Epidemiologic Reviews</w:t>
      </w:r>
      <w:r w:rsidRPr="002A4B30">
        <w:rPr>
          <w:rFonts w:eastAsia="Times New Roman"/>
          <w:noProof/>
        </w:rPr>
        <w:t>. https://doi.org/10.1093/epirev/mxf007</w:t>
      </w:r>
    </w:p>
    <w:p w14:paraId="15AC7F0D"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Bennett, J. E., Blangiardo, M., Fecht, D., Elliott, P., &amp; Ezzati, M. (2014). Vulnerability to the mortality effects of warm temperature in the districts of England and Wales. </w:t>
      </w:r>
      <w:r w:rsidRPr="002A4B30">
        <w:rPr>
          <w:rFonts w:eastAsia="Times New Roman"/>
          <w:i/>
          <w:iCs/>
          <w:noProof/>
        </w:rPr>
        <w:t>Nature Climate Change</w:t>
      </w:r>
      <w:r w:rsidRPr="002A4B30">
        <w:rPr>
          <w:rFonts w:eastAsia="Times New Roman"/>
          <w:noProof/>
        </w:rPr>
        <w:t xml:space="preserve">, </w:t>
      </w:r>
      <w:r w:rsidRPr="002A4B30">
        <w:rPr>
          <w:rFonts w:eastAsia="Times New Roman"/>
          <w:i/>
          <w:iCs/>
          <w:noProof/>
        </w:rPr>
        <w:t>4</w:t>
      </w:r>
      <w:r w:rsidRPr="002A4B30">
        <w:rPr>
          <w:rFonts w:eastAsia="Times New Roman"/>
          <w:noProof/>
        </w:rPr>
        <w:t>(4), 269–273. https://doi.org/10.1038/nclimate2123</w:t>
      </w:r>
    </w:p>
    <w:p w14:paraId="1592D6B0"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Bobb, J. F., Peng, R. D., Bell, M. L., &amp; Dominici, F. (2014). Heat-related mortality and adaptation to heat in the United States.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122</w:t>
      </w:r>
      <w:r w:rsidRPr="002A4B30">
        <w:rPr>
          <w:rFonts w:eastAsia="Times New Roman"/>
          <w:noProof/>
        </w:rPr>
        <w:t>(8), 811–816. https://doi.org/10.1289/ehp.1307392</w:t>
      </w:r>
    </w:p>
    <w:p w14:paraId="3D42E3EC"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Braga, A. L. F., Zanobetti, A., &amp; Schwartz, J. (2002). The effect of weather on respiratory and cardiovascular deaths in 12 U.S. cities.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110</w:t>
      </w:r>
      <w:r w:rsidRPr="002A4B30">
        <w:rPr>
          <w:rFonts w:eastAsia="Times New Roman"/>
          <w:noProof/>
        </w:rPr>
        <w:t>(9), 859–863. https://doi.org/10.1289/ehp.02110859</w:t>
      </w:r>
    </w:p>
    <w:p w14:paraId="4A2EA13C"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Campbell, A. (2017). Excess winter mortality in England and Wales: 2016 to 2017 (provisional) and 2015 to 2016 (final). </w:t>
      </w:r>
      <w:r w:rsidRPr="002A4B30">
        <w:rPr>
          <w:rFonts w:eastAsia="Times New Roman"/>
          <w:i/>
          <w:iCs/>
          <w:noProof/>
        </w:rPr>
        <w:t>Statistical Bulletin, Office for National Statistics</w:t>
      </w:r>
      <w:r w:rsidRPr="002A4B30">
        <w:rPr>
          <w:rFonts w:eastAsia="Times New Roman"/>
          <w:noProof/>
        </w:rPr>
        <w:t>.</w:t>
      </w:r>
    </w:p>
    <w:p w14:paraId="79EC6617"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Carson, C., Hajat, S., Armstrong, B., &amp; Wilkinson, P. (2006). Declining vulnerability to temperature-related mortality in London over the 20th century. </w:t>
      </w:r>
      <w:r w:rsidRPr="002A4B30">
        <w:rPr>
          <w:rFonts w:eastAsia="Times New Roman"/>
          <w:i/>
          <w:iCs/>
          <w:noProof/>
        </w:rPr>
        <w:t>American Journal of Epidemiology</w:t>
      </w:r>
      <w:r w:rsidRPr="002A4B30">
        <w:rPr>
          <w:rFonts w:eastAsia="Times New Roman"/>
          <w:noProof/>
        </w:rPr>
        <w:t xml:space="preserve">, </w:t>
      </w:r>
      <w:r w:rsidRPr="002A4B30">
        <w:rPr>
          <w:rFonts w:eastAsia="Times New Roman"/>
          <w:i/>
          <w:iCs/>
          <w:noProof/>
        </w:rPr>
        <w:t>164</w:t>
      </w:r>
      <w:r w:rsidRPr="002A4B30">
        <w:rPr>
          <w:rFonts w:eastAsia="Times New Roman"/>
          <w:noProof/>
        </w:rPr>
        <w:t>(1), 77–84. https://doi.org/10.1093/aje/kwj147</w:t>
      </w:r>
    </w:p>
    <w:p w14:paraId="7D1584C0"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Cazelles, B., Chavez, M., Berteaux, D., Ménard, F., Vik, J. O., Jenouvrier, S., &amp; Stenseth, N. C. (2008). Wavelet analysis of ecological time series. </w:t>
      </w:r>
      <w:r w:rsidRPr="002A4B30">
        <w:rPr>
          <w:rFonts w:eastAsia="Times New Roman"/>
          <w:i/>
          <w:iCs/>
          <w:noProof/>
        </w:rPr>
        <w:t>Oecologia</w:t>
      </w:r>
      <w:r w:rsidRPr="002A4B30">
        <w:rPr>
          <w:rFonts w:eastAsia="Times New Roman"/>
          <w:noProof/>
        </w:rPr>
        <w:t>. https://doi.org/10.1007/s00442-008-0993-2</w:t>
      </w:r>
    </w:p>
    <w:p w14:paraId="3D92B874"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Davis, R. E., Knappenberger, P. C., Michaels, P. J., &amp; Novicoff, W. M. (2004). Seasonality of climate-human mortality relationships in US cities and impacts of climate change. </w:t>
      </w:r>
      <w:r w:rsidRPr="002A4B30">
        <w:rPr>
          <w:rFonts w:eastAsia="Times New Roman"/>
          <w:i/>
          <w:iCs/>
          <w:noProof/>
        </w:rPr>
        <w:t>Climate Research</w:t>
      </w:r>
      <w:r w:rsidRPr="002A4B30">
        <w:rPr>
          <w:rFonts w:eastAsia="Times New Roman"/>
          <w:noProof/>
        </w:rPr>
        <w:t xml:space="preserve">, </w:t>
      </w:r>
      <w:r w:rsidRPr="002A4B30">
        <w:rPr>
          <w:rFonts w:eastAsia="Times New Roman"/>
          <w:i/>
          <w:iCs/>
          <w:noProof/>
        </w:rPr>
        <w:t>26</w:t>
      </w:r>
      <w:r w:rsidRPr="002A4B30">
        <w:rPr>
          <w:rFonts w:eastAsia="Times New Roman"/>
          <w:noProof/>
        </w:rPr>
        <w:t>(1), 61–76. Retrieved from internal-pdf://32.0.35.211/paper.pdf</w:t>
      </w:r>
    </w:p>
    <w:p w14:paraId="40BB19F9"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Dee, D. P., Uppala, S. M., Simmons, A. J., Berrisford, P., Poli, P., Kobayashi, S., … Vitart, F. (2011). The ERA-Interim reanalysis: configuration and performance of the data assimilation system. </w:t>
      </w:r>
      <w:r w:rsidRPr="002A4B30">
        <w:rPr>
          <w:rFonts w:eastAsia="Times New Roman"/>
          <w:i/>
          <w:iCs/>
          <w:noProof/>
        </w:rPr>
        <w:t>Quarterly Journal of the Royal Meteorological Society</w:t>
      </w:r>
      <w:r w:rsidRPr="002A4B30">
        <w:rPr>
          <w:rFonts w:eastAsia="Times New Roman"/>
          <w:noProof/>
        </w:rPr>
        <w:t xml:space="preserve">, </w:t>
      </w:r>
      <w:r w:rsidRPr="002A4B30">
        <w:rPr>
          <w:rFonts w:eastAsia="Times New Roman"/>
          <w:i/>
          <w:iCs/>
          <w:noProof/>
        </w:rPr>
        <w:t>137</w:t>
      </w:r>
      <w:r w:rsidRPr="002A4B30">
        <w:rPr>
          <w:rFonts w:eastAsia="Times New Roman"/>
          <w:noProof/>
        </w:rPr>
        <w:t>(656), 553–597. https://doi.org/10.1002/qj.828</w:t>
      </w:r>
    </w:p>
    <w:p w14:paraId="64E04B82"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Feinstein, C. A. (2002). Seasonality of deaths in the U.S. by age and cause. </w:t>
      </w:r>
      <w:r w:rsidRPr="002A4B30">
        <w:rPr>
          <w:rFonts w:eastAsia="Times New Roman"/>
          <w:i/>
          <w:iCs/>
          <w:noProof/>
        </w:rPr>
        <w:t>Demographic Research</w:t>
      </w:r>
      <w:r w:rsidRPr="002A4B30">
        <w:rPr>
          <w:rFonts w:eastAsia="Times New Roman"/>
          <w:noProof/>
        </w:rPr>
        <w:t xml:space="preserve">, </w:t>
      </w:r>
      <w:r w:rsidRPr="002A4B30">
        <w:rPr>
          <w:rFonts w:eastAsia="Times New Roman"/>
          <w:i/>
          <w:iCs/>
          <w:noProof/>
        </w:rPr>
        <w:t>6</w:t>
      </w:r>
      <w:r w:rsidRPr="002A4B30">
        <w:rPr>
          <w:rFonts w:eastAsia="Times New Roman"/>
          <w:noProof/>
        </w:rPr>
        <w:t>, 469–486. https://doi.org/10.4054/DemRes.2002.6.17</w:t>
      </w:r>
    </w:p>
    <w:p w14:paraId="0BBDA334"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Ferreira Braga, A. L., Zanobetti, A., &amp; Schwartz, J. (2001). The time course of weather-related deaths. </w:t>
      </w:r>
      <w:r w:rsidRPr="002A4B30">
        <w:rPr>
          <w:rFonts w:eastAsia="Times New Roman"/>
          <w:i/>
          <w:iCs/>
          <w:noProof/>
        </w:rPr>
        <w:t>Epidemiology</w:t>
      </w:r>
      <w:r w:rsidRPr="002A4B30">
        <w:rPr>
          <w:rFonts w:eastAsia="Times New Roman"/>
          <w:noProof/>
        </w:rPr>
        <w:t xml:space="preserve">, </w:t>
      </w:r>
      <w:r w:rsidRPr="002A4B30">
        <w:rPr>
          <w:rFonts w:eastAsia="Times New Roman"/>
          <w:i/>
          <w:iCs/>
          <w:noProof/>
        </w:rPr>
        <w:t>12</w:t>
      </w:r>
      <w:r w:rsidRPr="002A4B30">
        <w:rPr>
          <w:rFonts w:eastAsia="Times New Roman"/>
          <w:noProof/>
        </w:rPr>
        <w:t>(6), 662–667. https://doi.org/10.1097/00001648-200111000-00014</w:t>
      </w:r>
    </w:p>
    <w:p w14:paraId="052AC7BA"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Fisher, N. I. (1995). </w:t>
      </w:r>
      <w:r w:rsidRPr="002A4B30">
        <w:rPr>
          <w:rFonts w:eastAsia="Times New Roman"/>
          <w:i/>
          <w:iCs/>
          <w:noProof/>
        </w:rPr>
        <w:t>Statistical analysis of circular data</w:t>
      </w:r>
      <w:r w:rsidRPr="002A4B30">
        <w:rPr>
          <w:rFonts w:eastAsia="Times New Roman"/>
          <w:noProof/>
        </w:rPr>
        <w:t>. Cambridge University Press.</w:t>
      </w:r>
    </w:p>
    <w:p w14:paraId="553CE922"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Fowler, T., Southgate, R. J., Waite, T., Harrell, R., Kovats, S., Bone, A., … Murray, V. (2015). Excess winter deaths in Europe: A multi-country descriptive analysis. </w:t>
      </w:r>
      <w:r w:rsidRPr="002A4B30">
        <w:rPr>
          <w:rFonts w:eastAsia="Times New Roman"/>
          <w:i/>
          <w:iCs/>
          <w:noProof/>
        </w:rPr>
        <w:t>European Journal of Public Health</w:t>
      </w:r>
      <w:r w:rsidRPr="002A4B30">
        <w:rPr>
          <w:rFonts w:eastAsia="Times New Roman"/>
          <w:noProof/>
        </w:rPr>
        <w:t xml:space="preserve">, </w:t>
      </w:r>
      <w:r w:rsidRPr="002A4B30">
        <w:rPr>
          <w:rFonts w:eastAsia="Times New Roman"/>
          <w:i/>
          <w:iCs/>
          <w:noProof/>
        </w:rPr>
        <w:t>25</w:t>
      </w:r>
      <w:r w:rsidRPr="002A4B30">
        <w:rPr>
          <w:rFonts w:eastAsia="Times New Roman"/>
          <w:noProof/>
        </w:rPr>
        <w:t>(2), 339–345. https://doi.org/10.1093/eurpub/cku073</w:t>
      </w:r>
    </w:p>
    <w:p w14:paraId="1CC8B0E5"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Gasparrini, A., Guo, Y., Hashizume, M., Lavigne, E., Zanobetti, A., Schwartz, J., … Armstrong, B. (2015). Mortality risk attributable to high and low ambient temperature: A multicountry observational study. </w:t>
      </w:r>
      <w:r w:rsidRPr="002A4B30">
        <w:rPr>
          <w:rFonts w:eastAsia="Times New Roman"/>
          <w:i/>
          <w:iCs/>
          <w:noProof/>
        </w:rPr>
        <w:t>The Lancet</w:t>
      </w:r>
      <w:r w:rsidRPr="002A4B30">
        <w:rPr>
          <w:rFonts w:eastAsia="Times New Roman"/>
          <w:noProof/>
        </w:rPr>
        <w:t xml:space="preserve">, </w:t>
      </w:r>
      <w:r w:rsidRPr="002A4B30">
        <w:rPr>
          <w:rFonts w:eastAsia="Times New Roman"/>
          <w:i/>
          <w:iCs/>
          <w:noProof/>
        </w:rPr>
        <w:t>386</w:t>
      </w:r>
      <w:r w:rsidRPr="002A4B30">
        <w:rPr>
          <w:rFonts w:eastAsia="Times New Roman"/>
          <w:noProof/>
        </w:rPr>
        <w:t>(9991), 369–375. https://doi.org/10.1016/S0140-6736(14)62114-0</w:t>
      </w:r>
    </w:p>
    <w:p w14:paraId="5A36F81D"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Grenfell, B. T., Bjørnstad, O. N., &amp; Kappey, J. (2001). Travelling waves and spatial hierarchies in measles epidemics.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414</w:t>
      </w:r>
      <w:r w:rsidRPr="002A4B30">
        <w:rPr>
          <w:rFonts w:eastAsia="Times New Roman"/>
          <w:noProof/>
        </w:rPr>
        <w:t>(6865), 716–723. https://doi.org/10.1038/414716a</w:t>
      </w:r>
    </w:p>
    <w:p w14:paraId="09D94FD9"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Healy, J. D. (2003). Excess winter mortality in Europe: A cross country analysis identifying key risk factors. </w:t>
      </w:r>
      <w:r w:rsidRPr="002A4B30">
        <w:rPr>
          <w:rFonts w:eastAsia="Times New Roman"/>
          <w:i/>
          <w:iCs/>
          <w:noProof/>
        </w:rPr>
        <w:t>Journal of Epidemiology and Community Health</w:t>
      </w:r>
      <w:r w:rsidRPr="002A4B30">
        <w:rPr>
          <w:rFonts w:eastAsia="Times New Roman"/>
          <w:noProof/>
        </w:rPr>
        <w:t xml:space="preserve">, </w:t>
      </w:r>
      <w:r w:rsidRPr="002A4B30">
        <w:rPr>
          <w:rFonts w:eastAsia="Times New Roman"/>
          <w:i/>
          <w:iCs/>
          <w:noProof/>
        </w:rPr>
        <w:t>57</w:t>
      </w:r>
      <w:r w:rsidRPr="002A4B30">
        <w:rPr>
          <w:rFonts w:eastAsia="Times New Roman"/>
          <w:noProof/>
        </w:rPr>
        <w:t xml:space="preserve">(10), 784–789. </w:t>
      </w:r>
      <w:r w:rsidRPr="002A4B30">
        <w:rPr>
          <w:rFonts w:eastAsia="Times New Roman"/>
          <w:noProof/>
        </w:rPr>
        <w:lastRenderedPageBreak/>
        <w:t>https://doi.org/10.1136/jech.57.10.784</w:t>
      </w:r>
    </w:p>
    <w:p w14:paraId="70D8ED1A"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Hubbard, B. B. (1996). </w:t>
      </w:r>
      <w:r w:rsidRPr="002A4B30">
        <w:rPr>
          <w:rFonts w:eastAsia="Times New Roman"/>
          <w:i/>
          <w:iCs/>
          <w:noProof/>
        </w:rPr>
        <w:t>The world according to wavelets: the story of a mathematical technique in the making</w:t>
      </w:r>
      <w:r w:rsidRPr="002A4B30">
        <w:rPr>
          <w:rFonts w:eastAsia="Times New Roman"/>
          <w:noProof/>
        </w:rPr>
        <w:t xml:space="preserve">. </w:t>
      </w:r>
      <w:r w:rsidRPr="002A4B30">
        <w:rPr>
          <w:rFonts w:eastAsia="Times New Roman"/>
          <w:i/>
          <w:iCs/>
          <w:noProof/>
        </w:rPr>
        <w:t>NOTICES OF THE AMS</w:t>
      </w:r>
      <w:r w:rsidRPr="002A4B30">
        <w:rPr>
          <w:rFonts w:eastAsia="Times New Roman"/>
          <w:noProof/>
        </w:rPr>
        <w:t>.</w:t>
      </w:r>
    </w:p>
    <w:p w14:paraId="4D0D0444"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Ingram, D. D., Parker, J. D., Schenker, N., Weed, J. A., Hamilton, B., Arias, E., &amp; Madans, J. H. (2003). United States Census 2000 population with bridged race categories. </w:t>
      </w:r>
      <w:r w:rsidRPr="002A4B30">
        <w:rPr>
          <w:rFonts w:eastAsia="Times New Roman"/>
          <w:i/>
          <w:iCs/>
          <w:noProof/>
        </w:rPr>
        <w:t>Vital and Health Statistics. Series 2, Data Evaluation and Methods Research</w:t>
      </w:r>
      <w:r w:rsidRPr="002A4B30">
        <w:rPr>
          <w:rFonts w:eastAsia="Times New Roman"/>
          <w:noProof/>
        </w:rPr>
        <w:t>, (135), 1–55. Retrieved from internal-pdf://103.99.132.94/paper.pdf</w:t>
      </w:r>
    </w:p>
    <w:p w14:paraId="07698E6E"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Kalkstein, A. J. (2013). Regional Similarities in Seasonal Mortality across the United States: An Examination of 28 Metropolitan Statistical Areas. </w:t>
      </w:r>
      <w:r w:rsidRPr="002A4B30">
        <w:rPr>
          <w:rFonts w:eastAsia="Times New Roman"/>
          <w:i/>
          <w:iCs/>
          <w:noProof/>
        </w:rPr>
        <w:t>PLoS ONE</w:t>
      </w:r>
      <w:r w:rsidRPr="002A4B30">
        <w:rPr>
          <w:rFonts w:eastAsia="Times New Roman"/>
          <w:noProof/>
        </w:rPr>
        <w:t xml:space="preserve">, </w:t>
      </w:r>
      <w:r w:rsidRPr="002A4B30">
        <w:rPr>
          <w:rFonts w:eastAsia="Times New Roman"/>
          <w:i/>
          <w:iCs/>
          <w:noProof/>
        </w:rPr>
        <w:t>8</w:t>
      </w:r>
      <w:r w:rsidRPr="002A4B30">
        <w:rPr>
          <w:rFonts w:eastAsia="Times New Roman"/>
          <w:noProof/>
        </w:rPr>
        <w:t>(5). https://doi.org/10.1371/journal.pone.0063971</w:t>
      </w:r>
    </w:p>
    <w:p w14:paraId="7789D0BF"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Karl, T. R., &amp; Koss, W. J. (1984). Regional and national monthly, seasonal, and annual temperature weighted by area, 1895-1983.</w:t>
      </w:r>
    </w:p>
    <w:p w14:paraId="7D1A37D4"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Kinney, P. L., Schwartz, J., Pascal, M., Petkova, E., Tertre, A. Le, Medina, S., &amp; Vautard, R. (2015). Winter season mortality: Will climate warming bring benefits? </w:t>
      </w:r>
      <w:r w:rsidRPr="002A4B30">
        <w:rPr>
          <w:rFonts w:eastAsia="Times New Roman"/>
          <w:i/>
          <w:iCs/>
          <w:noProof/>
        </w:rPr>
        <w:t>Environmental Research Letters</w:t>
      </w:r>
      <w:r w:rsidRPr="002A4B30">
        <w:rPr>
          <w:rFonts w:eastAsia="Times New Roman"/>
          <w:noProof/>
        </w:rPr>
        <w:t xml:space="preserve">, </w:t>
      </w:r>
      <w:r w:rsidRPr="002A4B30">
        <w:rPr>
          <w:rFonts w:eastAsia="Times New Roman"/>
          <w:i/>
          <w:iCs/>
          <w:noProof/>
        </w:rPr>
        <w:t>10</w:t>
      </w:r>
      <w:r w:rsidRPr="002A4B30">
        <w:rPr>
          <w:rFonts w:eastAsia="Times New Roman"/>
          <w:noProof/>
        </w:rPr>
        <w:t>(6). https://doi.org/10.1088/1748-9326/10/6/064016</w:t>
      </w:r>
    </w:p>
    <w:p w14:paraId="71DCB760"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Langford, I. H., &amp; Bentham, G. (1995). The potential effects of climate change on winter mortality in England and Wales. </w:t>
      </w:r>
      <w:r w:rsidRPr="002A4B30">
        <w:rPr>
          <w:rFonts w:eastAsia="Times New Roman"/>
          <w:i/>
          <w:iCs/>
          <w:noProof/>
        </w:rPr>
        <w:t>Int J Biometeorol</w:t>
      </w:r>
      <w:r w:rsidRPr="002A4B30">
        <w:rPr>
          <w:rFonts w:eastAsia="Times New Roman"/>
          <w:noProof/>
        </w:rPr>
        <w:t xml:space="preserve">, </w:t>
      </w:r>
      <w:r w:rsidRPr="002A4B30">
        <w:rPr>
          <w:rFonts w:eastAsia="Times New Roman"/>
          <w:i/>
          <w:iCs/>
          <w:noProof/>
        </w:rPr>
        <w:t>38</w:t>
      </w:r>
      <w:r w:rsidRPr="002A4B30">
        <w:rPr>
          <w:rFonts w:eastAsia="Times New Roman"/>
          <w:noProof/>
        </w:rPr>
        <w:t>(3), 141–147. Retrieved from internal-pdf://189.27.88.183/art%253A10.1007%252FBF01208491.pdf</w:t>
      </w:r>
    </w:p>
    <w:p w14:paraId="3B73C55A"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Lerchl, A. (1998). Changes in the seasonality of mortality in Germany from 1946 to 1995: the role of temperature. </w:t>
      </w:r>
      <w:r w:rsidRPr="002A4B30">
        <w:rPr>
          <w:rFonts w:eastAsia="Times New Roman"/>
          <w:i/>
          <w:iCs/>
          <w:noProof/>
        </w:rPr>
        <w:t>International Journal of Biometeorology</w:t>
      </w:r>
      <w:r w:rsidRPr="002A4B30">
        <w:rPr>
          <w:rFonts w:eastAsia="Times New Roman"/>
          <w:noProof/>
        </w:rPr>
        <w:t xml:space="preserve">, </w:t>
      </w:r>
      <w:r w:rsidRPr="002A4B30">
        <w:rPr>
          <w:rFonts w:eastAsia="Times New Roman"/>
          <w:i/>
          <w:iCs/>
          <w:noProof/>
        </w:rPr>
        <w:t>42</w:t>
      </w:r>
      <w:r w:rsidRPr="002A4B30">
        <w:rPr>
          <w:rFonts w:eastAsia="Times New Roman"/>
          <w:noProof/>
        </w:rPr>
        <w:t>(2), 84–88. https://doi.org/10.1007/s004840050089</w:t>
      </w:r>
    </w:p>
    <w:p w14:paraId="6366E1B0"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MacDorman, M. F., &amp; Gregory, E. (2015). Fetal and Perinatal Mortality: United States, 2013. </w:t>
      </w:r>
      <w:r w:rsidRPr="002A4B30">
        <w:rPr>
          <w:rFonts w:eastAsia="Times New Roman"/>
          <w:i/>
          <w:iCs/>
          <w:noProof/>
        </w:rPr>
        <w:t>National Vital Statistics Reports</w:t>
      </w:r>
      <w:r w:rsidRPr="002A4B30">
        <w:rPr>
          <w:rFonts w:eastAsia="Times New Roman"/>
          <w:noProof/>
        </w:rPr>
        <w:t xml:space="preserve">, </w:t>
      </w:r>
      <w:r w:rsidRPr="002A4B30">
        <w:rPr>
          <w:rFonts w:eastAsia="Times New Roman"/>
          <w:i/>
          <w:iCs/>
          <w:noProof/>
        </w:rPr>
        <w:t>64</w:t>
      </w:r>
      <w:r w:rsidRPr="002A4B30">
        <w:rPr>
          <w:rFonts w:eastAsia="Times New Roman"/>
          <w:noProof/>
        </w:rPr>
        <w:t>(8), 1–24.</w:t>
      </w:r>
    </w:p>
    <w:p w14:paraId="7CED0E87"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Martens, W. J. (1998). Climate change, thermal stress and mortality changes. </w:t>
      </w:r>
      <w:r w:rsidRPr="002A4B30">
        <w:rPr>
          <w:rFonts w:eastAsia="Times New Roman"/>
          <w:i/>
          <w:iCs/>
          <w:noProof/>
        </w:rPr>
        <w:t>Soc Sci Med</w:t>
      </w:r>
      <w:r w:rsidRPr="002A4B30">
        <w:rPr>
          <w:rFonts w:eastAsia="Times New Roman"/>
          <w:noProof/>
        </w:rPr>
        <w:t xml:space="preserve">, </w:t>
      </w:r>
      <w:r w:rsidRPr="002A4B30">
        <w:rPr>
          <w:rFonts w:eastAsia="Times New Roman"/>
          <w:i/>
          <w:iCs/>
          <w:noProof/>
        </w:rPr>
        <w:t>46</w:t>
      </w:r>
      <w:r w:rsidRPr="002A4B30">
        <w:rPr>
          <w:rFonts w:eastAsia="Times New Roman"/>
          <w:noProof/>
        </w:rPr>
        <w:t>(3), 331–344. Retrieved from internal-pdf://57.13.130.132/1-s2.0-S0277953697001627-main.pdf</w:t>
      </w:r>
    </w:p>
    <w:p w14:paraId="2D5338F8"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McKee, C. M. (1989). Deaths in winter: Can Britain learn from Europe? </w:t>
      </w:r>
      <w:r w:rsidRPr="002A4B30">
        <w:rPr>
          <w:rFonts w:eastAsia="Times New Roman"/>
          <w:i/>
          <w:iCs/>
          <w:noProof/>
        </w:rPr>
        <w:t>European Journal of Epidemiology</w:t>
      </w:r>
      <w:r w:rsidRPr="002A4B30">
        <w:rPr>
          <w:rFonts w:eastAsia="Times New Roman"/>
          <w:noProof/>
        </w:rPr>
        <w:t xml:space="preserve">, </w:t>
      </w:r>
      <w:r w:rsidRPr="002A4B30">
        <w:rPr>
          <w:rFonts w:eastAsia="Times New Roman"/>
          <w:i/>
          <w:iCs/>
          <w:noProof/>
        </w:rPr>
        <w:t>5</w:t>
      </w:r>
      <w:r w:rsidRPr="002A4B30">
        <w:rPr>
          <w:rFonts w:eastAsia="Times New Roman"/>
          <w:noProof/>
        </w:rPr>
        <w:t>(2), 178–182. https://doi.org/10.1007/BF00156826</w:t>
      </w:r>
    </w:p>
    <w:p w14:paraId="6CBD5988"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Medina-Ramón, M., &amp; Schwartz, J. (2007). Temperature, temperature extremes, and mortality: A study of acclimatisation and effect modification in 50 US cities. </w:t>
      </w:r>
      <w:r w:rsidRPr="002A4B30">
        <w:rPr>
          <w:rFonts w:eastAsia="Times New Roman"/>
          <w:i/>
          <w:iCs/>
          <w:noProof/>
        </w:rPr>
        <w:t>Occupational and Environmental Medicine</w:t>
      </w:r>
      <w:r w:rsidRPr="002A4B30">
        <w:rPr>
          <w:rFonts w:eastAsia="Times New Roman"/>
          <w:noProof/>
        </w:rPr>
        <w:t xml:space="preserve">, </w:t>
      </w:r>
      <w:r w:rsidRPr="002A4B30">
        <w:rPr>
          <w:rFonts w:eastAsia="Times New Roman"/>
          <w:i/>
          <w:iCs/>
          <w:noProof/>
        </w:rPr>
        <w:t>64</w:t>
      </w:r>
      <w:r w:rsidRPr="002A4B30">
        <w:rPr>
          <w:rFonts w:eastAsia="Times New Roman"/>
          <w:noProof/>
        </w:rPr>
        <w:t>(12), 827–833. https://doi.org/10.1136/oem.2007.033175</w:t>
      </w:r>
    </w:p>
    <w:p w14:paraId="3720B5A3"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Morris, M. E. (2013). Smart-Home Technologies to Assist Older People to Live Well at Home. </w:t>
      </w:r>
      <w:r w:rsidRPr="002A4B30">
        <w:rPr>
          <w:rFonts w:eastAsia="Times New Roman"/>
          <w:i/>
          <w:iCs/>
          <w:noProof/>
        </w:rPr>
        <w:t>Journal of Aging Science</w:t>
      </w:r>
      <w:r w:rsidRPr="002A4B30">
        <w:rPr>
          <w:rFonts w:eastAsia="Times New Roman"/>
          <w:noProof/>
        </w:rPr>
        <w:t xml:space="preserve">, </w:t>
      </w:r>
      <w:r w:rsidRPr="002A4B30">
        <w:rPr>
          <w:rFonts w:eastAsia="Times New Roman"/>
          <w:i/>
          <w:iCs/>
          <w:noProof/>
        </w:rPr>
        <w:t>01</w:t>
      </w:r>
      <w:r w:rsidRPr="002A4B30">
        <w:rPr>
          <w:rFonts w:eastAsia="Times New Roman"/>
          <w:noProof/>
        </w:rPr>
        <w:t>(01). https://doi.org/10.4172/2329-8847.1000101</w:t>
      </w:r>
    </w:p>
    <w:p w14:paraId="7CE4F22C"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Moy, C. M., Seltzer, G. O., Rodbell, D. T., &amp; Anderson, D. M. (2002). Variability of El Niño/Southern Oscillation activity at millennial timescales during the Holocene epoch.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420</w:t>
      </w:r>
      <w:r w:rsidRPr="002A4B30">
        <w:rPr>
          <w:rFonts w:eastAsia="Times New Roman"/>
          <w:noProof/>
        </w:rPr>
        <w:t>(6912), 162–165. https://doi.org/10.1038/nature01194</w:t>
      </w:r>
    </w:p>
    <w:p w14:paraId="762B7885"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National Highway Traffic Safety Administration. (2005). Trend and Pattern Analysis of Highway Crash Fatality By Month and Day. </w:t>
      </w:r>
      <w:r w:rsidRPr="002A4B30">
        <w:rPr>
          <w:rFonts w:eastAsia="Times New Roman"/>
          <w:i/>
          <w:iCs/>
          <w:noProof/>
        </w:rPr>
        <w:t>National Center for Statistics and Analysis (NCHS)</w:t>
      </w:r>
      <w:r w:rsidRPr="002A4B30">
        <w:rPr>
          <w:rFonts w:eastAsia="Times New Roman"/>
          <w:noProof/>
        </w:rPr>
        <w:t>, (March).</w:t>
      </w:r>
    </w:p>
    <w:p w14:paraId="7CBB6DF0"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Public Health England. (2017). The Cold Weather Plan for England. </w:t>
      </w:r>
      <w:r w:rsidRPr="002A4B30">
        <w:rPr>
          <w:rFonts w:eastAsia="Times New Roman"/>
          <w:i/>
          <w:iCs/>
          <w:noProof/>
        </w:rPr>
        <w:t>Public Health England</w:t>
      </w:r>
      <w:r w:rsidRPr="002A4B30">
        <w:rPr>
          <w:rFonts w:eastAsia="Times New Roman"/>
          <w:noProof/>
        </w:rPr>
        <w:t>, (October).</w:t>
      </w:r>
    </w:p>
    <w:p w14:paraId="3D75987C"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Rau, R. (2004). Seasonality in Human Mortality.  A Demographic Approach. </w:t>
      </w:r>
      <w:r w:rsidRPr="002A4B30">
        <w:rPr>
          <w:rFonts w:eastAsia="Times New Roman"/>
          <w:i/>
          <w:iCs/>
          <w:noProof/>
        </w:rPr>
        <w:t>Wirtschafts- Und Sozialwissenschaftlichen Fakultät</w:t>
      </w:r>
      <w:r w:rsidRPr="002A4B30">
        <w:rPr>
          <w:rFonts w:eastAsia="Times New Roman"/>
          <w:noProof/>
        </w:rPr>
        <w:t xml:space="preserve">, </w:t>
      </w:r>
      <w:r w:rsidRPr="002A4B30">
        <w:rPr>
          <w:rFonts w:eastAsia="Times New Roman"/>
          <w:i/>
          <w:iCs/>
          <w:noProof/>
        </w:rPr>
        <w:t>PhD</w:t>
      </w:r>
      <w:r w:rsidRPr="002A4B30">
        <w:rPr>
          <w:rFonts w:eastAsia="Times New Roman"/>
          <w:noProof/>
        </w:rPr>
        <w:t>, 361. https://doi.org/10.1007/978-3-540-44902-7</w:t>
      </w:r>
    </w:p>
    <w:p w14:paraId="6367901B"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Rau, R., Bohk-Ewald, C., Muszyńska, M. M., &amp; Vaupel, J. W. (2018). </w:t>
      </w:r>
      <w:r w:rsidRPr="002A4B30">
        <w:rPr>
          <w:rFonts w:eastAsia="Times New Roman"/>
          <w:i/>
          <w:iCs/>
          <w:noProof/>
        </w:rPr>
        <w:t>Visualizing Mortality Dynamics in the Lexis Diagram</w:t>
      </w:r>
      <w:r w:rsidRPr="002A4B30">
        <w:rPr>
          <w:rFonts w:eastAsia="Times New Roman"/>
          <w:noProof/>
        </w:rPr>
        <w:t>. https://doi.org/10.1007/978-3-319-64820-0</w:t>
      </w:r>
    </w:p>
    <w:p w14:paraId="17104B74"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Rosenwaike, I. (1966). Seasonal Variation of Deaths in the United States, 1951–1960. </w:t>
      </w:r>
      <w:r w:rsidRPr="002A4B30">
        <w:rPr>
          <w:rFonts w:eastAsia="Times New Roman"/>
          <w:i/>
          <w:iCs/>
          <w:noProof/>
        </w:rPr>
        <w:t>Journal of the American Statistical Association</w:t>
      </w:r>
      <w:r w:rsidRPr="002A4B30">
        <w:rPr>
          <w:rFonts w:eastAsia="Times New Roman"/>
          <w:noProof/>
        </w:rPr>
        <w:t xml:space="preserve">, </w:t>
      </w:r>
      <w:r w:rsidRPr="002A4B30">
        <w:rPr>
          <w:rFonts w:eastAsia="Times New Roman"/>
          <w:i/>
          <w:iCs/>
          <w:noProof/>
        </w:rPr>
        <w:t>61</w:t>
      </w:r>
      <w:r w:rsidRPr="002A4B30">
        <w:rPr>
          <w:rFonts w:eastAsia="Times New Roman"/>
          <w:noProof/>
        </w:rPr>
        <w:t>(315), 706–719. https://doi.org/10.1080/01621459.1966.10480899</w:t>
      </w:r>
    </w:p>
    <w:p w14:paraId="672B6D57"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lastRenderedPageBreak/>
        <w:t xml:space="preserve">Seretakis, D. (1997). Changing Seasonality of Mortality From Coronary Heart Disease. </w:t>
      </w:r>
      <w:r w:rsidRPr="002A4B30">
        <w:rPr>
          <w:rFonts w:eastAsia="Times New Roman"/>
          <w:i/>
          <w:iCs/>
          <w:noProof/>
        </w:rPr>
        <w:t>JAMA: The Journal of the American Medical Association</w:t>
      </w:r>
      <w:r w:rsidRPr="002A4B30">
        <w:rPr>
          <w:rFonts w:eastAsia="Times New Roman"/>
          <w:noProof/>
        </w:rPr>
        <w:t xml:space="preserve">, </w:t>
      </w:r>
      <w:r w:rsidRPr="002A4B30">
        <w:rPr>
          <w:rFonts w:eastAsia="Times New Roman"/>
          <w:i/>
          <w:iCs/>
          <w:noProof/>
        </w:rPr>
        <w:t>278</w:t>
      </w:r>
      <w:r w:rsidRPr="002A4B30">
        <w:rPr>
          <w:rFonts w:eastAsia="Times New Roman"/>
          <w:noProof/>
        </w:rPr>
        <w:t>(12), 1012. https://doi.org/10.1001/jama.1997.03550120072036</w:t>
      </w:r>
    </w:p>
    <w:p w14:paraId="080E9865"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Sheridan, S. C., Kalkstein, A. J., &amp; Kalkstein, L. S. (2009). Trends in heat-related mortality in the United States, 1975-2004. </w:t>
      </w:r>
      <w:r w:rsidRPr="002A4B30">
        <w:rPr>
          <w:rFonts w:eastAsia="Times New Roman"/>
          <w:i/>
          <w:iCs/>
          <w:noProof/>
        </w:rPr>
        <w:t>Natural Hazards</w:t>
      </w:r>
      <w:r w:rsidRPr="002A4B30">
        <w:rPr>
          <w:rFonts w:eastAsia="Times New Roman"/>
          <w:noProof/>
        </w:rPr>
        <w:t xml:space="preserve">, </w:t>
      </w:r>
      <w:r w:rsidRPr="002A4B30">
        <w:rPr>
          <w:rFonts w:eastAsia="Times New Roman"/>
          <w:i/>
          <w:iCs/>
          <w:noProof/>
        </w:rPr>
        <w:t>50</w:t>
      </w:r>
      <w:r w:rsidRPr="002A4B30">
        <w:rPr>
          <w:rFonts w:eastAsia="Times New Roman"/>
          <w:noProof/>
        </w:rPr>
        <w:t>(1), 145–160. https://doi.org/10.1007/s11069-008-9327-2</w:t>
      </w:r>
    </w:p>
    <w:p w14:paraId="32F922D9" w14:textId="77777777" w:rsidR="002A4B30" w:rsidRPr="002A4B30" w:rsidRDefault="002A4B30" w:rsidP="00C32943">
      <w:pPr>
        <w:widowControl w:val="0"/>
        <w:autoSpaceDE w:val="0"/>
        <w:autoSpaceDN w:val="0"/>
        <w:adjustRightInd w:val="0"/>
        <w:ind w:left="480" w:hanging="480"/>
        <w:jc w:val="both"/>
        <w:rPr>
          <w:noProof/>
        </w:rPr>
      </w:pPr>
      <w:r w:rsidRPr="002A4B30">
        <w:rPr>
          <w:rFonts w:eastAsia="Times New Roman"/>
          <w:noProof/>
        </w:rPr>
        <w:t xml:space="preserve">Torrence, C., &amp; Compo, G. P. (1998). A Practical Guide to Wavelet Analysis. </w:t>
      </w:r>
      <w:r w:rsidRPr="002A4B30">
        <w:rPr>
          <w:rFonts w:eastAsia="Times New Roman"/>
          <w:i/>
          <w:iCs/>
          <w:noProof/>
        </w:rPr>
        <w:t>Bulletin of the American Meteorological Society</w:t>
      </w:r>
      <w:r w:rsidRPr="002A4B30">
        <w:rPr>
          <w:rFonts w:eastAsia="Times New Roman"/>
          <w:noProof/>
        </w:rPr>
        <w:t>. https://doi.org/10.1175/1520-0477(1998)079&lt;0061:APGTWA&gt;2.0.CO;2</w:t>
      </w:r>
    </w:p>
    <w:p w14:paraId="47F9BFAE" w14:textId="0EA7FF2F" w:rsidR="002C33D5" w:rsidRPr="00AC73A1" w:rsidRDefault="009D5B4B" w:rsidP="00C32943">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4ED073D5"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 xml:space="preserve">seasonality are to the right of each figure at the 12-month line. </w:t>
      </w:r>
      <w:r w:rsidR="00EF7D30">
        <w:rPr>
          <w:color w:val="000000" w:themeColor="text1"/>
        </w:rPr>
        <w:t xml:space="preserve">See Supplementary Figure </w:t>
      </w:r>
      <w:r w:rsidR="001C56BD">
        <w:rPr>
          <w:color w:val="000000" w:themeColor="text1"/>
        </w:rPr>
        <w:t>1</w:t>
      </w:r>
      <w:r w:rsidR="00EF7D30">
        <w:rPr>
          <w:color w:val="000000" w:themeColor="text1"/>
        </w:rPr>
        <w:t xml:space="preserve"> for disaggregated causes of death.</w:t>
      </w:r>
      <w:r w:rsidR="00AB7395" w:rsidRPr="00AC73A1">
        <w:rPr>
          <w:b/>
          <w:color w:val="000000" w:themeColor="text1"/>
        </w:rPr>
        <w:br w:type="page"/>
      </w:r>
    </w:p>
    <w:p w14:paraId="1E990617" w14:textId="1F11EE5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w:t>
      </w:r>
      <w:r w:rsidR="00821CA7">
        <w:rPr>
          <w:color w:val="000000" w:themeColor="text1"/>
        </w:rPr>
        <w:t>2</w:t>
      </w:r>
      <w:r w:rsidR="00EF7D30">
        <w:rPr>
          <w:color w:val="000000" w:themeColor="text1"/>
        </w:rPr>
        <w:t xml:space="preserve"> for disaggregated causes of death.</w:t>
      </w:r>
      <w:r w:rsidR="00AB7395" w:rsidRPr="00AC73A1">
        <w:rPr>
          <w:b/>
          <w:color w:val="000000" w:themeColor="text1"/>
        </w:rPr>
        <w:br w:type="page"/>
      </w:r>
    </w:p>
    <w:p w14:paraId="6C0EFD26" w14:textId="37064A8B"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w:t>
      </w:r>
      <w:r w:rsidR="00C32943">
        <w:rPr>
          <w:color w:val="000000" w:themeColor="text1"/>
        </w:rPr>
        <w:t xml:space="preserve"> </w:t>
      </w:r>
      <w:r w:rsidR="00EF7D30">
        <w:rPr>
          <w:color w:val="000000" w:themeColor="text1"/>
        </w:rPr>
        <w:t xml:space="preserve">See Supplementary Figure </w:t>
      </w:r>
      <w:r w:rsidR="0064630A">
        <w:rPr>
          <w:color w:val="000000" w:themeColor="text1"/>
        </w:rPr>
        <w:t>3</w:t>
      </w:r>
      <w:r w:rsidR="00EF7D30">
        <w:rPr>
          <w:color w:val="000000" w:themeColor="text1"/>
        </w:rPr>
        <w:t xml:space="preserve">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r w:rsidR="004A0060">
        <w:rPr>
          <w:color w:val="000000" w:themeColor="text1"/>
        </w:rPr>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rFonts w:eastAsia="Times New Roman"/>
                <w:bCs/>
                <w:color w:val="000000"/>
              </w:rPr>
            </w:pPr>
            <w:r w:rsidRPr="00AC73A1">
              <w:rPr>
                <w:rFonts w:eastAsia="Times New Roman"/>
                <w:bCs/>
                <w:color w:val="000000"/>
              </w:rPr>
              <w:t>Cancer</w:t>
            </w:r>
            <w:r w:rsidR="00DE001B">
              <w:rPr>
                <w:rFonts w:eastAsia="Times New Roman"/>
                <w:bCs/>
                <w:color w:val="000000"/>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rFonts w:eastAsia="Times New Roman"/>
                <w:bCs/>
                <w:color w:val="000000"/>
              </w:rPr>
            </w:pPr>
            <w:r w:rsidRPr="00AC73A1">
              <w:rPr>
                <w:rFonts w:eastAsia="Times New Roman"/>
                <w:bCs/>
                <w:color w:val="000000"/>
              </w:rPr>
              <w:t>Cardiorespiratory</w:t>
            </w:r>
            <w:r w:rsidR="009C3641">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7B6AC2">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7B6AC2">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bottom"/>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4BB7CD36"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2400F502"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1368414A"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2D7F1283"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7B6AC2">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bottom"/>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0A2B1E29"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72DE3355"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bottom"/>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5498C314"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E6065E7"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bottom"/>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22AF3544"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79B47E75"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7B6AC2">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bottom"/>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2DAC04E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72A1967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bottom"/>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52716048"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07075AF9"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7B6AC2">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bottom"/>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0851DCC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7B7E81B6"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7B6AC2">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241F665C"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0BB796DA"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7.6</w:t>
            </w:r>
          </w:p>
        </w:tc>
      </w:tr>
    </w:tbl>
    <w:p w14:paraId="751E3F10" w14:textId="5A5614F2" w:rsidR="000E30F9" w:rsidRDefault="000E30F9">
      <w:pPr>
        <w:rPr>
          <w:color w:val="000000" w:themeColor="text1"/>
        </w:rPr>
      </w:pPr>
      <w:r w:rsidRPr="00AC73A1">
        <w:rPr>
          <w:b/>
        </w:rPr>
        <w:br w:type="page"/>
      </w:r>
    </w:p>
    <w:p w14:paraId="1F98886B" w14:textId="77777777" w:rsidR="00A65808" w:rsidRPr="00AC73A1" w:rsidRDefault="00A65808" w:rsidP="00910AF9">
      <w:pPr>
        <w:spacing w:line="480" w:lineRule="auto"/>
        <w:jc w:val="both"/>
        <w:rPr>
          <w:color w:val="000000" w:themeColor="text1"/>
        </w:rPr>
      </w:pP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p w14:paraId="09DE3F61" w14:textId="70514C0D" w:rsidR="00EF117B" w:rsidRDefault="00EF117B">
      <w:r>
        <w:lastRenderedPageBreak/>
        <w:br w:type="page"/>
      </w:r>
    </w:p>
    <w:p w14:paraId="62902550" w14:textId="6C920BC8" w:rsidR="00002775" w:rsidRPr="00BA38EF" w:rsidRDefault="00002775" w:rsidP="00BE53B4"/>
    <w:sectPr w:rsidR="00002775" w:rsidRPr="00BA38EF" w:rsidSect="00011599">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D7A283" w14:textId="77777777" w:rsidR="00E22B6A" w:rsidRDefault="00E22B6A">
      <w:r>
        <w:separator/>
      </w:r>
    </w:p>
  </w:endnote>
  <w:endnote w:type="continuationSeparator" w:id="0">
    <w:p w14:paraId="34C434C9" w14:textId="77777777" w:rsidR="00E22B6A" w:rsidRDefault="00E22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3E43C8" w:rsidRDefault="003E43C8"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C20F1AA"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40F5E">
      <w:rPr>
        <w:rStyle w:val="PageNumber"/>
        <w:noProof/>
      </w:rPr>
      <w:t>28</w:t>
    </w:r>
    <w:r>
      <w:rPr>
        <w:rStyle w:val="PageNumber"/>
      </w:rPr>
      <w:fldChar w:fldCharType="end"/>
    </w:r>
  </w:p>
  <w:p w14:paraId="3F8F309C" w14:textId="77777777" w:rsidR="003E43C8" w:rsidRDefault="003E43C8"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8E7606" w14:textId="77777777" w:rsidR="00E22B6A" w:rsidRDefault="00E22B6A">
      <w:r>
        <w:separator/>
      </w:r>
    </w:p>
  </w:footnote>
  <w:footnote w:type="continuationSeparator" w:id="0">
    <w:p w14:paraId="705A3072" w14:textId="77777777" w:rsidR="00E22B6A" w:rsidRDefault="00E22B6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EF"/>
    <w:rsid w:val="00055738"/>
    <w:rsid w:val="000559D5"/>
    <w:rsid w:val="00057B55"/>
    <w:rsid w:val="0006004E"/>
    <w:rsid w:val="00061E82"/>
    <w:rsid w:val="00066C53"/>
    <w:rsid w:val="00070EF4"/>
    <w:rsid w:val="000711BB"/>
    <w:rsid w:val="00071653"/>
    <w:rsid w:val="00072F64"/>
    <w:rsid w:val="0007537F"/>
    <w:rsid w:val="0007767F"/>
    <w:rsid w:val="00077D09"/>
    <w:rsid w:val="000826AA"/>
    <w:rsid w:val="00082769"/>
    <w:rsid w:val="00082868"/>
    <w:rsid w:val="0008287A"/>
    <w:rsid w:val="00082E19"/>
    <w:rsid w:val="0008315C"/>
    <w:rsid w:val="00084F55"/>
    <w:rsid w:val="000855C6"/>
    <w:rsid w:val="000855D2"/>
    <w:rsid w:val="00090953"/>
    <w:rsid w:val="0009134D"/>
    <w:rsid w:val="0009224B"/>
    <w:rsid w:val="00093043"/>
    <w:rsid w:val="000940BB"/>
    <w:rsid w:val="000A0AFB"/>
    <w:rsid w:val="000A0CBB"/>
    <w:rsid w:val="000A0E7F"/>
    <w:rsid w:val="000A1B37"/>
    <w:rsid w:val="000A4138"/>
    <w:rsid w:val="000A43C1"/>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D648A"/>
    <w:rsid w:val="000E0177"/>
    <w:rsid w:val="000E19E2"/>
    <w:rsid w:val="000E1B1B"/>
    <w:rsid w:val="000E2CF4"/>
    <w:rsid w:val="000E30F9"/>
    <w:rsid w:val="000E3486"/>
    <w:rsid w:val="000E36FB"/>
    <w:rsid w:val="000E3A7A"/>
    <w:rsid w:val="000E5F6C"/>
    <w:rsid w:val="000E6B25"/>
    <w:rsid w:val="000E7E2F"/>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7B6"/>
    <w:rsid w:val="0015398F"/>
    <w:rsid w:val="00155EAD"/>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523"/>
    <w:rsid w:val="001C3C8D"/>
    <w:rsid w:val="001C4494"/>
    <w:rsid w:val="001C56BD"/>
    <w:rsid w:val="001C613C"/>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7CED"/>
    <w:rsid w:val="001F03E7"/>
    <w:rsid w:val="001F0FFF"/>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D8A"/>
    <w:rsid w:val="00244F4D"/>
    <w:rsid w:val="002452E3"/>
    <w:rsid w:val="00247A0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D59"/>
    <w:rsid w:val="002C1A7D"/>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2C34"/>
    <w:rsid w:val="002F4DC5"/>
    <w:rsid w:val="002F6B9A"/>
    <w:rsid w:val="00300F68"/>
    <w:rsid w:val="00301AA6"/>
    <w:rsid w:val="003026D8"/>
    <w:rsid w:val="00304F47"/>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439"/>
    <w:rsid w:val="0035353D"/>
    <w:rsid w:val="0035394F"/>
    <w:rsid w:val="00353A6E"/>
    <w:rsid w:val="00354320"/>
    <w:rsid w:val="0035630E"/>
    <w:rsid w:val="003572E4"/>
    <w:rsid w:val="00357AC1"/>
    <w:rsid w:val="00360B44"/>
    <w:rsid w:val="00362019"/>
    <w:rsid w:val="0036381E"/>
    <w:rsid w:val="0036464B"/>
    <w:rsid w:val="003649EA"/>
    <w:rsid w:val="003653FF"/>
    <w:rsid w:val="00365ECB"/>
    <w:rsid w:val="003664F1"/>
    <w:rsid w:val="003670E4"/>
    <w:rsid w:val="00373FD7"/>
    <w:rsid w:val="00377A68"/>
    <w:rsid w:val="00380476"/>
    <w:rsid w:val="00381A9E"/>
    <w:rsid w:val="0038389B"/>
    <w:rsid w:val="00384D1E"/>
    <w:rsid w:val="00385CAD"/>
    <w:rsid w:val="00386081"/>
    <w:rsid w:val="00386C88"/>
    <w:rsid w:val="00387B37"/>
    <w:rsid w:val="0039132E"/>
    <w:rsid w:val="00391B02"/>
    <w:rsid w:val="00391C83"/>
    <w:rsid w:val="00393385"/>
    <w:rsid w:val="00393912"/>
    <w:rsid w:val="00394197"/>
    <w:rsid w:val="00394423"/>
    <w:rsid w:val="0039492C"/>
    <w:rsid w:val="0039751B"/>
    <w:rsid w:val="003A23C3"/>
    <w:rsid w:val="003A3A3F"/>
    <w:rsid w:val="003A4DA5"/>
    <w:rsid w:val="003A719E"/>
    <w:rsid w:val="003B0BAF"/>
    <w:rsid w:val="003B0DF1"/>
    <w:rsid w:val="003B214A"/>
    <w:rsid w:val="003B2BCB"/>
    <w:rsid w:val="003B4257"/>
    <w:rsid w:val="003B4543"/>
    <w:rsid w:val="003B496F"/>
    <w:rsid w:val="003B4F57"/>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17CE"/>
    <w:rsid w:val="00473066"/>
    <w:rsid w:val="00473A34"/>
    <w:rsid w:val="00474BAB"/>
    <w:rsid w:val="00475674"/>
    <w:rsid w:val="0047597D"/>
    <w:rsid w:val="00476FC9"/>
    <w:rsid w:val="00476FD1"/>
    <w:rsid w:val="004773C9"/>
    <w:rsid w:val="00477A87"/>
    <w:rsid w:val="00480AE7"/>
    <w:rsid w:val="004811A8"/>
    <w:rsid w:val="004817FA"/>
    <w:rsid w:val="004835CF"/>
    <w:rsid w:val="00485D14"/>
    <w:rsid w:val="004873B6"/>
    <w:rsid w:val="00487E60"/>
    <w:rsid w:val="00490EB4"/>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A30"/>
    <w:rsid w:val="004B6375"/>
    <w:rsid w:val="004B654D"/>
    <w:rsid w:val="004C02E8"/>
    <w:rsid w:val="004C1040"/>
    <w:rsid w:val="004C165E"/>
    <w:rsid w:val="004C2CEE"/>
    <w:rsid w:val="004C3449"/>
    <w:rsid w:val="004C44A6"/>
    <w:rsid w:val="004C4C80"/>
    <w:rsid w:val="004C546E"/>
    <w:rsid w:val="004D0817"/>
    <w:rsid w:val="004D1754"/>
    <w:rsid w:val="004D273F"/>
    <w:rsid w:val="004D2BCA"/>
    <w:rsid w:val="004D3747"/>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1013D"/>
    <w:rsid w:val="00511176"/>
    <w:rsid w:val="00511306"/>
    <w:rsid w:val="00511FC1"/>
    <w:rsid w:val="005130C5"/>
    <w:rsid w:val="005135F3"/>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90032"/>
    <w:rsid w:val="005902F2"/>
    <w:rsid w:val="005918BD"/>
    <w:rsid w:val="00592119"/>
    <w:rsid w:val="00592638"/>
    <w:rsid w:val="00592BE6"/>
    <w:rsid w:val="0059341A"/>
    <w:rsid w:val="00593EAA"/>
    <w:rsid w:val="0059499B"/>
    <w:rsid w:val="0059624C"/>
    <w:rsid w:val="005A0464"/>
    <w:rsid w:val="005A07C4"/>
    <w:rsid w:val="005A20BA"/>
    <w:rsid w:val="005A2E60"/>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4E6"/>
    <w:rsid w:val="00614B7D"/>
    <w:rsid w:val="00614D92"/>
    <w:rsid w:val="00615328"/>
    <w:rsid w:val="0061632E"/>
    <w:rsid w:val="00617238"/>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3A32"/>
    <w:rsid w:val="006441C9"/>
    <w:rsid w:val="006445F8"/>
    <w:rsid w:val="00644978"/>
    <w:rsid w:val="0064630A"/>
    <w:rsid w:val="00650609"/>
    <w:rsid w:val="00652128"/>
    <w:rsid w:val="00652AC7"/>
    <w:rsid w:val="00653DB5"/>
    <w:rsid w:val="00654669"/>
    <w:rsid w:val="00656CF3"/>
    <w:rsid w:val="006630ED"/>
    <w:rsid w:val="006632B6"/>
    <w:rsid w:val="006633AD"/>
    <w:rsid w:val="00665B8F"/>
    <w:rsid w:val="006704B7"/>
    <w:rsid w:val="00673416"/>
    <w:rsid w:val="0067689E"/>
    <w:rsid w:val="0067703F"/>
    <w:rsid w:val="00677A01"/>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2B8"/>
    <w:rsid w:val="006D68AA"/>
    <w:rsid w:val="006D6F45"/>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C10"/>
    <w:rsid w:val="00725C59"/>
    <w:rsid w:val="00726222"/>
    <w:rsid w:val="0073048E"/>
    <w:rsid w:val="007342D2"/>
    <w:rsid w:val="0073479E"/>
    <w:rsid w:val="00734FDB"/>
    <w:rsid w:val="00735626"/>
    <w:rsid w:val="00737C06"/>
    <w:rsid w:val="00744393"/>
    <w:rsid w:val="00744AE6"/>
    <w:rsid w:val="007452E2"/>
    <w:rsid w:val="007462A2"/>
    <w:rsid w:val="007471B0"/>
    <w:rsid w:val="00753DAA"/>
    <w:rsid w:val="00754259"/>
    <w:rsid w:val="00754E6C"/>
    <w:rsid w:val="0075546D"/>
    <w:rsid w:val="00757D69"/>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797"/>
    <w:rsid w:val="007F5916"/>
    <w:rsid w:val="007F604F"/>
    <w:rsid w:val="007F6689"/>
    <w:rsid w:val="007F765A"/>
    <w:rsid w:val="00800663"/>
    <w:rsid w:val="00800B92"/>
    <w:rsid w:val="008016FA"/>
    <w:rsid w:val="00801D40"/>
    <w:rsid w:val="00802C27"/>
    <w:rsid w:val="008038BB"/>
    <w:rsid w:val="00803D84"/>
    <w:rsid w:val="008064F7"/>
    <w:rsid w:val="00807D3D"/>
    <w:rsid w:val="0081393F"/>
    <w:rsid w:val="00813F4B"/>
    <w:rsid w:val="008163B7"/>
    <w:rsid w:val="008166AA"/>
    <w:rsid w:val="00816829"/>
    <w:rsid w:val="0081699D"/>
    <w:rsid w:val="008174C7"/>
    <w:rsid w:val="00817BAA"/>
    <w:rsid w:val="00820615"/>
    <w:rsid w:val="0082136F"/>
    <w:rsid w:val="00821A52"/>
    <w:rsid w:val="00821CA7"/>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325A"/>
    <w:rsid w:val="008939CE"/>
    <w:rsid w:val="00897C35"/>
    <w:rsid w:val="008A287F"/>
    <w:rsid w:val="008A2A47"/>
    <w:rsid w:val="008A36F4"/>
    <w:rsid w:val="008A3E97"/>
    <w:rsid w:val="008A48DB"/>
    <w:rsid w:val="008A5089"/>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6D29"/>
    <w:rsid w:val="009570B0"/>
    <w:rsid w:val="009604D5"/>
    <w:rsid w:val="00960AF2"/>
    <w:rsid w:val="00962945"/>
    <w:rsid w:val="009629F0"/>
    <w:rsid w:val="00963B19"/>
    <w:rsid w:val="00964975"/>
    <w:rsid w:val="00964BD6"/>
    <w:rsid w:val="00964E6A"/>
    <w:rsid w:val="00966EC2"/>
    <w:rsid w:val="00967C68"/>
    <w:rsid w:val="00971022"/>
    <w:rsid w:val="009715E6"/>
    <w:rsid w:val="00971DDB"/>
    <w:rsid w:val="009725F7"/>
    <w:rsid w:val="00972F65"/>
    <w:rsid w:val="00973308"/>
    <w:rsid w:val="00973BB6"/>
    <w:rsid w:val="00975D69"/>
    <w:rsid w:val="0098017B"/>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C02"/>
    <w:rsid w:val="00A4520B"/>
    <w:rsid w:val="00A4651F"/>
    <w:rsid w:val="00A46F07"/>
    <w:rsid w:val="00A509B8"/>
    <w:rsid w:val="00A52393"/>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F0"/>
    <w:rsid w:val="00AB2FE3"/>
    <w:rsid w:val="00AB3E0F"/>
    <w:rsid w:val="00AB4FD9"/>
    <w:rsid w:val="00AB66EA"/>
    <w:rsid w:val="00AB7395"/>
    <w:rsid w:val="00AC24A5"/>
    <w:rsid w:val="00AC3981"/>
    <w:rsid w:val="00AC49BC"/>
    <w:rsid w:val="00AC55DD"/>
    <w:rsid w:val="00AC5BF7"/>
    <w:rsid w:val="00AC6A7C"/>
    <w:rsid w:val="00AC73A1"/>
    <w:rsid w:val="00AC746F"/>
    <w:rsid w:val="00AD18BF"/>
    <w:rsid w:val="00AD28C9"/>
    <w:rsid w:val="00AD2DD2"/>
    <w:rsid w:val="00AD31CC"/>
    <w:rsid w:val="00AD701D"/>
    <w:rsid w:val="00AD7FF9"/>
    <w:rsid w:val="00AE1964"/>
    <w:rsid w:val="00AE2237"/>
    <w:rsid w:val="00AE341C"/>
    <w:rsid w:val="00AE56C4"/>
    <w:rsid w:val="00AE6A16"/>
    <w:rsid w:val="00AF2FDD"/>
    <w:rsid w:val="00AF44BC"/>
    <w:rsid w:val="00AF4AD6"/>
    <w:rsid w:val="00AF552B"/>
    <w:rsid w:val="00AF5E8C"/>
    <w:rsid w:val="00AF623D"/>
    <w:rsid w:val="00AF7681"/>
    <w:rsid w:val="00AF7AC2"/>
    <w:rsid w:val="00B025C4"/>
    <w:rsid w:val="00B06547"/>
    <w:rsid w:val="00B0669F"/>
    <w:rsid w:val="00B11556"/>
    <w:rsid w:val="00B128A3"/>
    <w:rsid w:val="00B133D1"/>
    <w:rsid w:val="00B1603E"/>
    <w:rsid w:val="00B16FD1"/>
    <w:rsid w:val="00B204AC"/>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2E65"/>
    <w:rsid w:val="00C23D9A"/>
    <w:rsid w:val="00C241F4"/>
    <w:rsid w:val="00C24822"/>
    <w:rsid w:val="00C25541"/>
    <w:rsid w:val="00C25C40"/>
    <w:rsid w:val="00C25CEC"/>
    <w:rsid w:val="00C30533"/>
    <w:rsid w:val="00C30C5D"/>
    <w:rsid w:val="00C30CAA"/>
    <w:rsid w:val="00C32943"/>
    <w:rsid w:val="00C33FFB"/>
    <w:rsid w:val="00C34DB2"/>
    <w:rsid w:val="00C35148"/>
    <w:rsid w:val="00C36F42"/>
    <w:rsid w:val="00C37144"/>
    <w:rsid w:val="00C4447B"/>
    <w:rsid w:val="00C52535"/>
    <w:rsid w:val="00C52698"/>
    <w:rsid w:val="00C53889"/>
    <w:rsid w:val="00C54121"/>
    <w:rsid w:val="00C563E6"/>
    <w:rsid w:val="00C56688"/>
    <w:rsid w:val="00C57CDC"/>
    <w:rsid w:val="00C60085"/>
    <w:rsid w:val="00C60D59"/>
    <w:rsid w:val="00C62D73"/>
    <w:rsid w:val="00C62D97"/>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4EFD"/>
    <w:rsid w:val="00CA6179"/>
    <w:rsid w:val="00CA6F93"/>
    <w:rsid w:val="00CA785E"/>
    <w:rsid w:val="00CB331E"/>
    <w:rsid w:val="00CB3D19"/>
    <w:rsid w:val="00CB4962"/>
    <w:rsid w:val="00CB4CD7"/>
    <w:rsid w:val="00CB57D1"/>
    <w:rsid w:val="00CB584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5F29"/>
    <w:rsid w:val="00CF73D8"/>
    <w:rsid w:val="00D00F5D"/>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364D"/>
    <w:rsid w:val="00D73BA0"/>
    <w:rsid w:val="00D7437C"/>
    <w:rsid w:val="00D746A3"/>
    <w:rsid w:val="00D74BA2"/>
    <w:rsid w:val="00D74F62"/>
    <w:rsid w:val="00D75325"/>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654"/>
    <w:rsid w:val="00DC40BE"/>
    <w:rsid w:val="00DC4352"/>
    <w:rsid w:val="00DC47A8"/>
    <w:rsid w:val="00DC4BCF"/>
    <w:rsid w:val="00DC63B6"/>
    <w:rsid w:val="00DC6E15"/>
    <w:rsid w:val="00DC6E3A"/>
    <w:rsid w:val="00DC768F"/>
    <w:rsid w:val="00DD146F"/>
    <w:rsid w:val="00DD1C1B"/>
    <w:rsid w:val="00DD7599"/>
    <w:rsid w:val="00DE001B"/>
    <w:rsid w:val="00DE0D8E"/>
    <w:rsid w:val="00DE1EA3"/>
    <w:rsid w:val="00DE1F74"/>
    <w:rsid w:val="00DE21EC"/>
    <w:rsid w:val="00DE2636"/>
    <w:rsid w:val="00DE4035"/>
    <w:rsid w:val="00DF1059"/>
    <w:rsid w:val="00DF1484"/>
    <w:rsid w:val="00DF62BA"/>
    <w:rsid w:val="00DF665C"/>
    <w:rsid w:val="00DF682F"/>
    <w:rsid w:val="00DF7E18"/>
    <w:rsid w:val="00E002DD"/>
    <w:rsid w:val="00E033FB"/>
    <w:rsid w:val="00E03995"/>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585"/>
    <w:rsid w:val="00EF4FB4"/>
    <w:rsid w:val="00EF58F0"/>
    <w:rsid w:val="00EF5D2C"/>
    <w:rsid w:val="00EF6AD5"/>
    <w:rsid w:val="00EF7797"/>
    <w:rsid w:val="00EF7D30"/>
    <w:rsid w:val="00F00A6B"/>
    <w:rsid w:val="00F01757"/>
    <w:rsid w:val="00F01B41"/>
    <w:rsid w:val="00F01C29"/>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4FE7"/>
    <w:rsid w:val="00FC6131"/>
    <w:rsid w:val="00FC7D12"/>
    <w:rsid w:val="00FC7D1E"/>
    <w:rsid w:val="00FD1F99"/>
    <w:rsid w:val="00FD2535"/>
    <w:rsid w:val="00FD464A"/>
    <w:rsid w:val="00FD572B"/>
    <w:rsid w:val="00FD6D1A"/>
    <w:rsid w:val="00FD7116"/>
    <w:rsid w:val="00FD7E90"/>
    <w:rsid w:val="00FE0350"/>
    <w:rsid w:val="00FE1F35"/>
    <w:rsid w:val="00FE26BC"/>
    <w:rsid w:val="00FE2F81"/>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7BFD378-61E3-0443-9E0F-2534F0214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20857</Words>
  <Characters>118890</Characters>
  <Application>Microsoft Macintosh Word</Application>
  <DocSecurity>0</DocSecurity>
  <Lines>990</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cp:revision>
  <dcterms:created xsi:type="dcterms:W3CDTF">2018-08-06T13:44:00Z</dcterms:created>
  <dcterms:modified xsi:type="dcterms:W3CDTF">2018-08-06T13:44:00Z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