
<file path=[Content_Types].xml><?xml version="1.0" encoding="utf-8"?>
<Types xmlns="http://schemas.openxmlformats.org/package/2006/content-types">
  <Default Extension="xml" ContentType="application/xml"/>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65629A2" w14:textId="2E5384C7" w:rsidR="005665B5" w:rsidRPr="000A14BA" w:rsidRDefault="005665B5" w:rsidP="00C13011">
      <w:pPr>
        <w:pStyle w:val="BodyText"/>
        <w:spacing w:after="0" w:line="240" w:lineRule="auto"/>
        <w:outlineLvl w:val="0"/>
      </w:pPr>
      <w:r w:rsidRPr="000A14BA">
        <w:t xml:space="preserve">Note: All page numbers refer to the </w:t>
      </w:r>
      <w:r w:rsidRPr="000A14BA">
        <w:rPr>
          <w:u w:val="single"/>
        </w:rPr>
        <w:t>tracked manuscript</w:t>
      </w:r>
      <w:r w:rsidR="00EE2AAD" w:rsidRPr="000A14BA">
        <w:t>.</w:t>
      </w:r>
    </w:p>
    <w:p w14:paraId="7287FD5F" w14:textId="77777777" w:rsidR="005665B5" w:rsidRPr="000A14BA" w:rsidRDefault="005665B5" w:rsidP="00E61AB2">
      <w:pPr>
        <w:pStyle w:val="BodyText"/>
        <w:spacing w:after="0" w:line="240" w:lineRule="auto"/>
      </w:pPr>
    </w:p>
    <w:p w14:paraId="225B85C9" w14:textId="77777777" w:rsidR="00B11CF3" w:rsidRPr="00B11CF3" w:rsidRDefault="00B11CF3" w:rsidP="00C13011">
      <w:pPr>
        <w:pStyle w:val="BodyText"/>
        <w:spacing w:after="0" w:line="240" w:lineRule="auto"/>
        <w:outlineLvl w:val="0"/>
        <w:rPr>
          <w:b/>
          <w:bCs/>
        </w:rPr>
      </w:pPr>
      <w:r w:rsidRPr="00B11CF3">
        <w:rPr>
          <w:b/>
          <w:bCs/>
        </w:rPr>
        <w:t xml:space="preserve">ESSENTIAL REVISIONS: </w:t>
      </w:r>
    </w:p>
    <w:p w14:paraId="2C2825BF" w14:textId="77777777" w:rsidR="00B11CF3" w:rsidRPr="00B11CF3" w:rsidRDefault="00B11CF3" w:rsidP="00E61AB2">
      <w:pPr>
        <w:pStyle w:val="BodyText"/>
        <w:spacing w:after="0" w:line="240" w:lineRule="auto"/>
        <w:rPr>
          <w:b/>
          <w:bCs/>
        </w:rPr>
      </w:pPr>
    </w:p>
    <w:p w14:paraId="1B3CCCEE" w14:textId="77777777" w:rsidR="00B11CF3" w:rsidRPr="00B11CF3" w:rsidRDefault="00B11CF3" w:rsidP="00E61AB2">
      <w:pPr>
        <w:pStyle w:val="BodyText"/>
        <w:spacing w:after="0" w:line="240" w:lineRule="auto"/>
        <w:rPr>
          <w:b/>
          <w:bCs/>
        </w:rPr>
      </w:pPr>
      <w:r w:rsidRPr="00B11CF3">
        <w:rPr>
          <w:b/>
          <w:bCs/>
        </w:rPr>
        <w:t xml:space="preserve">1) By choosing only 4 disease groups the authors seem to have missed a key opportunity to investigate seasonal patterns in finer subgroups despite possessing a large sample size (n = 77,771,264), Furthermore, the rationale for choosing the subgroups presented is unclear. For example, the authors chose to group cardiorespiratory diseases into one large outcome when cardiovascular and respiratory outcomes have differing mechanisms in their association with heat or cold exposure. Within respiratory diseases itself, it makes sense to separate acute and chronic causes because the mechanisms vary so starkly and are related to seasonal patterns, i.e. the incidence of pneumonia and acute respiratory outcomes are likely heightened in the winter and this observation may differ to how/why the incidence of chronic respiratory deaths vary seasonally. Furthermore, the mechanisms for how heat is associated with elevated respiratory deaths is understudied and knowing more about seasonal patterns here would be a useful addition to the literature. </w:t>
      </w:r>
    </w:p>
    <w:p w14:paraId="068E9750" w14:textId="77777777" w:rsidR="00B11CF3" w:rsidRPr="00B11CF3" w:rsidRDefault="00B11CF3" w:rsidP="00E61AB2">
      <w:pPr>
        <w:pStyle w:val="BodyText"/>
        <w:spacing w:after="0" w:line="240" w:lineRule="auto"/>
        <w:rPr>
          <w:b/>
          <w:bCs/>
        </w:rPr>
      </w:pPr>
    </w:p>
    <w:p w14:paraId="274F8B2A" w14:textId="77777777" w:rsidR="00B11CF3" w:rsidRPr="00B11CF3" w:rsidRDefault="00B11CF3" w:rsidP="00E61AB2">
      <w:pPr>
        <w:pStyle w:val="BodyText"/>
        <w:spacing w:after="0" w:line="240" w:lineRule="auto"/>
        <w:rPr>
          <w:b/>
          <w:bCs/>
        </w:rPr>
      </w:pPr>
      <w:r w:rsidRPr="00B11CF3">
        <w:rPr>
          <w:b/>
          <w:bCs/>
        </w:rPr>
        <w:t xml:space="preserve">I believe it's important to investigate seasonal patterns of deaths from infectious disease, maternal and neonatal causes, endocrine disorders, genitourinary conditions and neuropsychiatric conditions (which are all associated with temperature) to add valuable insight into understudied but important disease groups, but these have been excluded from the present analysis. Considering the tragic opioid epidemic in USA, it would be a valuable contribution to the literature to understand whether seasonal patterns (at least in more recent years) are observed with deaths related to substance use disorders. </w:t>
      </w:r>
    </w:p>
    <w:p w14:paraId="319A9F74" w14:textId="791A859C" w:rsidR="00B11CF3" w:rsidRPr="00CD71BB" w:rsidRDefault="00B11CF3" w:rsidP="00E61AB2">
      <w:pPr>
        <w:pStyle w:val="BodyText"/>
        <w:spacing w:after="0" w:line="240" w:lineRule="auto"/>
        <w:rPr>
          <w:bCs/>
        </w:rPr>
      </w:pPr>
    </w:p>
    <w:p w14:paraId="76DA6E13" w14:textId="2E09365D" w:rsidR="00727652" w:rsidRDefault="00CD71BB" w:rsidP="00E61AB2">
      <w:pPr>
        <w:pStyle w:val="BodyText"/>
        <w:spacing w:after="0" w:line="240" w:lineRule="auto"/>
        <w:rPr>
          <w:bCs/>
        </w:rPr>
      </w:pPr>
      <w:r>
        <w:rPr>
          <w:bCs/>
        </w:rPr>
        <w:t xml:space="preserve">We had selected the four cause groups to go beyond all-cause mortality and still have parsimonious presentation and sufficient number of events by sex, age group, year, month and geography. In the specific case of cardiorespiratory diseases, they are commonly analysed together </w:t>
      </w:r>
      <w:r w:rsidR="007E0D70">
        <w:rPr>
          <w:bCs/>
        </w:rPr>
        <w:t>when studying the effects of</w:t>
      </w:r>
      <w:r>
        <w:rPr>
          <w:bCs/>
        </w:rPr>
        <w:t xml:space="preserve"> temperature and air pollution</w:t>
      </w:r>
      <w:r w:rsidR="007E0D70">
        <w:rPr>
          <w:bCs/>
        </w:rPr>
        <w:t xml:space="preserve"> </w:t>
      </w:r>
      <w:r w:rsidR="00062E05">
        <w:rPr>
          <w:bCs/>
        </w:rPr>
        <w:fldChar w:fldCharType="begin" w:fldLock="1"/>
      </w:r>
      <w:r w:rsidR="00627F9F">
        <w:rPr>
          <w:bCs/>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2008","type":"article","volume":"8"},"uris":["http://www.mendeley.com/documents/?uuid=4a3c238b-f19d-4589-ab7d-38cd7a1ebe34"]},{"id":"ITEM-2","itemData":{"DOI":"10.1038/nclimate2123","ISBN":"1758-678X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Change","id":"ITEM-2","issue":"4","issued":{"date-parts":[["2014"]]},"page":"269-273","title":"Vulnerability to the mortality effects of warm temperature in the districts of England and Wales","type":"article-journal","volume":"4"},"uris":["http://www.mendeley.com/documents/?uuid=5f34f7af-83b0-4896-a914-0daa32211ebb"]},{"id":"ITEM-3","itemData":{"DOI":"joc11435 [pii]","ISBN":"0098-7484 (Print) 0098-7484 (Linking)","ISSN":"0098-7484","PMID":"11879110","abstract":"Associations have been found between day-to-day particulate air pollution and increased risk of various adverse health outcomes, including cardiopulmonary mortality. However, studies of health effects of long-term particulate air pollution have been less conclusive.|To assess the relationship between long-term exposure to fine particulate air pollution and all-cause, lung cancer, and cardiopulmonary mortality.|Vital status and cause of death data were collected by the American Cancer Society as part of the Cancer Prevention II study, an ongoing prospective mortality study, which enrolled approximately 1.2 million adults in 1982. Participants completed a questionnaire detailing individual risk factor data (age, sex, race, weight, height, smoking history, education, marital status, diet, alcohol consumption, and occupational exposures). The risk factor data for approximately 500 000 adults were linked with air pollution data for metropolitan areas throughout the United States and combined with vital status and cause of death data through December 31, 1998.|All-cause, lung cancer, and cardiopulmonary mortality.|Fine particulate and sulfur oxide--related pollution were associated with all-cause, lung cancer, and cardiopulmonary mortality. Each 10-microg/m(3) elevation in fine particulate air pollution was associated with approximately a 4%, 6%, and 8% increased risk of all-cause, cardiopulmonary, and lung cancer mortality, respectively. Measures of coarse particle fraction and total suspended particles were not consistently associated with mortality.|Long-term exposure to combustion-related fine particulate air pollution is an important environmental risk factor for cardiopulmonary and lung cancer mortality.","author":[{"dropping-particle":"","family":"Pope","given":"C A","non-dropping-particle":"","parse-names":false,"suffix":""},{"dropping-particle":"","family":"Burnett","given":"R T","non-dropping-particle":"","parse-names":false,"suffix":""},{"dropping-particle":"","family":"Thun","given":"M J","non-dropping-particle":"","parse-names":false,"suffix":""},{"dropping-particle":"","family":"Calle","given":"E E","non-dropping-particle":"","parse-names":false,"suffix":""},{"dropping-particle":"","family":"Krewski","given":"D","non-dropping-particle":"","parse-names":false,"suffix":""},{"dropping-particle":"","family":"Ito","given":"K","non-dropping-particle":"","parse-names":false,"suffix":""},{"dropping-particle":"","family":"Thurston","given":"G D","non-dropping-particle":"","parse-names":false,"suffix":""}],"container-title":"JAMA","id":"ITEM-3","issue":"9","issued":{"date-parts":[["2002"]]},"page":"1132-1141","title":"Lung cancer, cardiopulmonary mortality, and long-term exposure to fine particulate air pollution","type":"article-journal","volume":"287"},"uris":["http://www.mendeley.com/documents/?uuid=b31c15ae-69f4-47a3-a0ec-5ab841e98c2f"]},{"id":"ITEM-4","itemData":{"DOI":"10.1186/1476-069X-12-43","ISBN":"10.1186/1476-069X-12-43","ISSN":"1476-069X","PMID":"23714370","abstract":"Current day concentrations of ambient air pollution have been associated with a range of adverse health effects, particularly mortality and morbidity due to cardiovascular and respiratory diseases. In this review, we summarize the evidence from epidemiological studies on long-term exposure to fine and coarse particles, nitrogen dioxide (NO2) and elemental carbon on mortality from all-causes, cardiovascular disease and respiratory disease. We also summarize the findings on potentially susceptible subgroups across studies. We identified studies through a search in the databases Medline and Scopus and previous reviews until January 2013 and performed a meta-analysis if more than five studies were available for the same exposure metric.","author":[{"dropping-particle":"","family":"Hoek","given":"Gerard","non-dropping-particle":"","parse-names":false,"suffix":""},{"dropping-particle":"","family":"Krishnan","given":"Ranjini M","non-dropping-particle":"","parse-names":false,"suffix":""},{"dropping-particle":"","family":"Beelen","given":"Rob","non-dropping-particle":"","parse-names":false,"suffix":""},{"dropping-particle":"","family":"Peters","given":"Annette","non-dropping-particle":"","parse-names":false,"suffix":""},{"dropping-particle":"","family":"Ostro","given":"Bart","non-dropping-particle":"","parse-names":false,"suffix":""},{"dropping-particle":"","family":"Brunekreef","given":"Bert","non-dropping-particle":"","parse-names":false,"suffix":""},{"dropping-particle":"","family":"Kaufman","given":"Joel D","non-dropping-particle":"","parse-names":false,"suffix":""}],"container-title":"Environmental Health","id":"ITEM-4","issue":"1","issued":{"date-parts":[["2013"]]},"page":"43","title":"Long-term air pollution exposure and cardio- respiratory mortality: a review","type":"article-journal","volume":"12"},"uris":["http://www.mendeley.com/documents/?uuid=651a36da-7c9e-4490-ac41-d15f32ea9a18"]},{"id":"ITEM-5","itemData":{"DOI":"10.1056/NEJM199312093292401","ISBN":"0028-4793","ISSN":"0028-4793","PMID":"8179653","abstract":"BACKGROUND: Recent studies have reported associations between particulate air pollution and daily mortality rates. Population-based, cross-sectional studies of metropolitan areas in the United States have also found associations between particulate air pollution and annual mortality rates, but these studies have been criticized, in part because they did not directly control for cigarette smoking and other health risks. METHODS: In this prospective cohort study, we estimated the effects of air pollution on mortality, while controlling for individual risk factors. Survival analysis, including Cox proportional-hazards regression modeling, was conducted with data from a 14-to-16-year mortality follow-up of 8111 adults in six U.S. cities. RESULTS: Mortality rates were most strongly associated with cigarette smoking. After adjusting for smoking and other risk factors, we observed statistically significant and robust associations between air pollution and mortality. The adjusted mortality-rate ratio for the most polluted of the cities as compared with the least polluted was 1.26 (95 percent confidence interval, 1.08 to 1.47). Air pollution was positively associated with death from lung cancer and cardiopulmonary disease but not with death from other causes considered together. Mortality was most strongly associated with air pollution with fine particulates, including sulfates. CONCLUSIONS: Although the effects of other, unmeasured risk factors cannot be excluded with certainty, these results suggest that fine-particulate air pollution, or a more complex pollution mixture associated with fine particulate matter, contributes to excess mortality in certain U.S. cities.","author":[{"dropping-particle":"","family":"Dockery","given":"Douglas W.","non-dropping-particle":"","parse-names":false,"suffix":""},{"dropping-particle":"","family":"Pope","given":"C. Arden","non-dropping-particle":"","parse-names":false,"suffix":""},{"dropping-particle":"","family":"Xu","given":"Xiping","non-dropping-particle":"","parse-names":false,"suffix":""},{"dropping-particle":"","family":"Spengler","given":"John D.","non-dropping-particle":"","parse-names":false,"suffix":""},{"dropping-particle":"","family":"Ware","given":"James H.","non-dropping-particle":"","parse-names":false,"suffix":""},{"dropping-particle":"","family":"Fay","given":"Martha E.","non-dropping-particle":"","parse-names":false,"suffix":""},{"dropping-particle":"","family":"Ferris","given":"B G","non-dropping-particle":"","parse-names":false,"suffix":""},{"dropping-particle":"","family":"Speizer","given":"Frank E.","non-dropping-particle":"","parse-names":false,"suffix":""}],"container-title":"The New England Journal of Medicine","id":"ITEM-5","issue":"24","issued":{"date-parts":[["1993"]]},"page":"1753-9","title":"An association between air pollution and mortality in six U.S. cities.","type":"article-journal","volume":"329"},"uris":["http://www.mendeley.com/documents/?uuid=e1ea4bb9-92c7-4b5c-ba00-fe8a5e599f10"]},{"id":"ITEM-6","itemData":{"DOI":"00001648-200501000-00009 [pii]","ISBN":"1044-3983 (Print)\\n1044-3983 (Linking)","ISSN":"10443983 (ISSN)","PMID":"15613946","abstract":"BACKGROUND: Time-series analyses have been used for decades to investigate time-varying environmental exposures. Recently, the case-crossover design has been applied to assess acute effects of air pollution. Our objective was to compare time-series and case-crossover analyses using varying referent periods (ie, unidirectional, ambidirectional, and time-stratified). METHODS: We examined the association between temperature and cardiorespiratory mortality among the elderly population in the 20 largest metropolitan areas of the United States. Risks were estimated by season and geographic region in 1992. We obtained weather data from the National Climatic Data Center and mortality data from the Division of Vital Statistics. Conditional logistic regression (case-crossover) and Poisson regression (time-series) were used to estimate the increased risk of cardiorespiratory mortality associated with a 10 degrees F increase in daily temperature, accounting for dew-point temperature and other potential confounding factors. RESULTS: In the time-stratified case-crossover analysis, the strongest associations were found in the summer; in the Southwest, Southeast, Northwest, Northeast, and Midwest, the odds ratios were 1.15 (95% confidence interval=1.07-1.24), 1.10 (0.96-1.27), 1.08 (0.92-1.26), 1.08 (1.02-1.15), and 1.01 (0.92-1.11), respectively. Mostly null or negative associations were found in the winter, spring, and fall. The ambidirectional case-crossover and the time-series analyses produced quantitatively similar results to those from the time-stratified analysis. The unidirectional analysis produced conflicting results. CONCLUSIONS: Inferences from studies of weather and mortality using the ambidirectional or time-stratified case-crossover approaches and the time-series analyses are comparable and provide consistent findings in this study.","author":[{"dropping-particle":"","family":"Basu","given":"R","non-dropping-particle":"","parse-names":false,"suffix":""},{"dropping-particle":"","family":"Dominici","given":"F","non-dropping-particle":"","parse-names":false,"suffix":""},{"dropping-particle":"","family":"Samet","given":"J M","non-dropping-particle":"","parse-names":false,"suffix":""}],"container-title":"Epidemiology","id":"ITEM-6","issue":"1","issued":{"date-parts":[["2005"]]},"page":"58-66","title":"Temperature and mortality among the elderly in the United States: a comparison of epidemiologic methods","type":"article-journal","volume":"16"},"uris":["http://www.mendeley.com/documents/?uuid=e6719697-9836-471b-af4d-39f251c6613a"]},{"id":"ITEM-7","itemData":{"DOI":"10.1093/aje/155.1.80","ISBN":"0002-9262 (Print)\\r0002-9262 (Linking)","ISSN":"00029262","PMID":"11772788","abstract":"Episodes of extremely hot or cold temperatures are associated with increased mortality. Time-series analyses show an association between temperature and mortality across a range of less extreme temperatures. In this paper, the authors describe the temperature-mortality association for 11 large eastern US cities in 1973-1994 by estimating the relative risks of mortality using log-linear regression analysis for time-series data and by exploring city characteristics associated with variations in this temperature-mortality relation. Current and recent days' temperatures were the weather components most strongly predictive of mortality, and mortality risk generally decreased as temperature increased from the coldest days to a certain threshold temperature, which varied by latitude, above which mortality risk increased as temperature increased. The authors also found a strong association of the temperature-mortality relation with latitude, with a greater effect of colder temperatures on mortality risk in more-southern cities and of warmer temperatures in more-northern cities. The percentage of households with air conditioners in the south and heaters in the north, which serve as indicators of socioeconomic status of the city population, also predicted weather-related mortality. The model developed in this analysis is potentially useful for projecting the consequences of climate-change scenarios and offering insights into susceptibility to the adverse effects of weather.","author":[{"dropping-particle":"","family":"Curriero","given":"Frank C.","non-dropping-particle":"","parse-names":false,"suffix":""},{"dropping-particle":"","family":"Heiner","given":"Karlyn S.","non-dropping-particle":"","parse-names":false,"suffix":""},{"dropping-particle":"","family":"Samet","given":"Jonathan M.","non-dropping-particle":"","parse-names":false,"suffix":""},{"dropping-particle":"","family":"Zeger","given":"Scott L.","non-dropping-particle":"","parse-names":false,"suffix":""},{"dropping-particle":"","family":"Strug","given":"Lisa","non-dropping-particle":"","parse-names":false,"suffix":""},{"dropping-particle":"","family":"Patz","given":"Jonathan A.","non-dropping-particle":"","parse-names":false,"suffix":""}],"container-title":"American Journal of Epidemiology","id":"ITEM-7","issue":"1","issued":{"date-parts":[["2002"]]},"page":"80-87","title":"Temperature and mortality in 11 cities of the eastern United States","type":"article-journal","volume":"155"},"uris":["http://www.mendeley.com/documents/?uuid=2330bb39-3b13-4067-856c-b559bd3212e2"]},{"id":"ITEM-8","itemData":{"DOI":"10.1016/S0140-6736(14)62114-0","ISBN":"1474-547X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Lancet","id":"ITEM-8","issue":"9991","issued":{"date-parts":[["2015"]]},"page":"369-375","title":"Mortality risk attributable to high and low ambient temperature: A multicountry observational study","type":"article-journal","volume":"386"},"uris":["http://www.mendeley.com/documents/?uuid=ec2ac118-d8e9-4d29-9116-d43210b3e1ca"]},{"id":"ITEM-9","itemData":{"DOI":"10.1289/ehp.02110859","ISBN":"0091-6765 (Print)\\r0091-6765 (Linking)","ISSN":"00916765","PMID":"12204818","abstract":"We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deaths.","author":[{"dropping-particle":"","family":"Braga","given":"Alfésio L.F.","non-dropping-particle":"","parse-names":false,"suffix":""},{"dropping-particle":"","family":"Zanobetti","given":"Antonella","non-dropping-particle":"","parse-names":false,"suffix":""},{"dropping-particle":"","family":"Schwartz","given":"Joel","non-dropping-particle":"","parse-names":false,"suffix":""}],"container-title":"Environmental Health Perspectives","id":"ITEM-9","issue":"9","issued":{"date-parts":[["2002"]]},"page":"859-863","title":"The effect of weather on respiratory and cardiovascular deaths in 12 U.S. cities","type":"article-journal","volume":"110"},"uris":["http://www.mendeley.com/documents/?uuid=3e710881-527a-42d3-bc7e-34c21f9cc47e"]},{"id":"ITEM-10","itemData":{"DOI":"10.1093/epirev/mxf007","ISBN":"0193-936X","ISSN":"0193936X","PMID":"12762092","abstract":"%Z %+ %^","author":[{"dropping-particle":"","family":"Basu","given":"R","non-dropping-particle":"","parse-names":false,"suffix":""},{"dropping-particle":"","family":"Samet","given":"Jonathan M.","non-dropping-particle":"","parse-names":false,"suffix":""}],"container-title":"Epidemiologic Reviews","id":"ITEM-10","issue":"2","issued":{"date-parts":[["2002"]]},"page":"190-202","title":"Relation between elevated ambient temperature and mortality: A review of the epidemiologic evidence","type":"article","volume":"24"},"uris":["http://www.mendeley.com/documents/?uuid=8c8cd126-6856-41d0-9232-6508902ee696"]}],"mendeley":{"formattedCitation":"(Basu, 2009; Basu, Dominici, &amp; Samet, 2005; Basu &amp; Samet, 2002; Bennett, Blangiardo, Fecht, Elliott, &amp; Ezzati, 2014; Braga, Zanobetti, &amp; Schwartz, 2002; Curriero et al., 2002; Dockery et al., 1993; Gasparrini et al., 2015; Hoek et al., 2013; Pope et al., 2002)","plainTextFormattedCitation":"(Basu, 2009; Basu, Dominici, &amp; Samet, 2005; Basu &amp; Samet, 2002; Bennett, Blangiardo, Fecht, Elliott, &amp; Ezzati, 2014; Braga, Zanobetti, &amp; Schwartz, 2002; Curriero et al., 2002; Dockery et al., 1993; Gasparrini et al., 2015; Hoek et al., 2013; Pope et al., 2002)","previouslyFormattedCitation":"(Basu, 2009; Basu, Dominici, &amp; Samet, 2005; Basu &amp; Samet, 2002; Bennett, Blangiardo, Fecht, Elliott, &amp; Ezzati, 2014; Braga, Zanobetti, &amp; Schwartz, 2002; Curriero et al., 2002; Dockery et al., 1993; Gasparrini et al., 2015; Hoek et al., 2013; Pope et al., 2002)"},"properties":{"noteIndex":0},"schema":"https://github.com/citation-style-language/schema/raw/master/csl-citation.json"}</w:instrText>
      </w:r>
      <w:r w:rsidR="00062E05">
        <w:rPr>
          <w:bCs/>
        </w:rPr>
        <w:fldChar w:fldCharType="separate"/>
      </w:r>
      <w:r w:rsidR="00B52BFB" w:rsidRPr="00B52BFB">
        <w:rPr>
          <w:bCs/>
          <w:noProof/>
        </w:rPr>
        <w:t>(Basu, 2009; Basu, Dominici, &amp; Samet, 2005; Basu &amp; Samet, 2002; Bennett, Blangiardo, Fecht, Elliott, &amp; Ezzati, 2014; Braga, Zanobetti, &amp; Schwartz, 2002; Curriero et al., 2002; Dockery et al., 1993; Gasparrini et al., 2015; Hoek et al., 2013; Pope et al., 2002)</w:t>
      </w:r>
      <w:r w:rsidR="00062E05">
        <w:rPr>
          <w:bCs/>
        </w:rPr>
        <w:fldChar w:fldCharType="end"/>
      </w:r>
      <w:r w:rsidR="007E0D70">
        <w:rPr>
          <w:bCs/>
        </w:rPr>
        <w:t xml:space="preserve">, possibly because of </w:t>
      </w:r>
      <w:r w:rsidR="00224D88">
        <w:rPr>
          <w:bCs/>
        </w:rPr>
        <w:t xml:space="preserve">their </w:t>
      </w:r>
      <w:r w:rsidR="007E0D70">
        <w:rPr>
          <w:bCs/>
        </w:rPr>
        <w:t xml:space="preserve">shared aetiology (e.g., death from </w:t>
      </w:r>
      <w:r w:rsidR="007E0D70" w:rsidRPr="00CD71BB">
        <w:rPr>
          <w:bCs/>
        </w:rPr>
        <w:t>cor pulmonale</w:t>
      </w:r>
      <w:r w:rsidR="007E0D70">
        <w:rPr>
          <w:bCs/>
        </w:rPr>
        <w:t xml:space="preserve"> arising from COPD or death from pneumonia in patients with acute vascular events)</w:t>
      </w:r>
      <w:r w:rsidR="00224D88">
        <w:rPr>
          <w:bCs/>
        </w:rPr>
        <w:t xml:space="preserve"> and because </w:t>
      </w:r>
      <w:r w:rsidR="002A3DB9">
        <w:rPr>
          <w:bCs/>
        </w:rPr>
        <w:t xml:space="preserve">assignment of cause </w:t>
      </w:r>
      <w:r w:rsidR="00224D88">
        <w:rPr>
          <w:bCs/>
        </w:rPr>
        <w:t xml:space="preserve">of death </w:t>
      </w:r>
      <w:r w:rsidR="002A3DB9">
        <w:rPr>
          <w:bCs/>
        </w:rPr>
        <w:t xml:space="preserve">may use </w:t>
      </w:r>
      <w:r w:rsidR="00DF7D2C">
        <w:rPr>
          <w:bCs/>
        </w:rPr>
        <w:t>them</w:t>
      </w:r>
      <w:r w:rsidR="002A3DB9">
        <w:rPr>
          <w:bCs/>
        </w:rPr>
        <w:t xml:space="preserve"> interchangeably</w:t>
      </w:r>
      <w:r w:rsidR="00281C42">
        <w:rPr>
          <w:bCs/>
        </w:rPr>
        <w:t>.</w:t>
      </w:r>
      <w:r>
        <w:rPr>
          <w:bCs/>
        </w:rPr>
        <w:t xml:space="preserve"> We now present a third layer of disaggregation </w:t>
      </w:r>
      <w:r w:rsidR="007E0D70">
        <w:rPr>
          <w:bCs/>
        </w:rPr>
        <w:t xml:space="preserve">following the above suggestions (supplementary Figures </w:t>
      </w:r>
      <w:r w:rsidR="006242D1">
        <w:rPr>
          <w:bCs/>
        </w:rPr>
        <w:t>2</w:t>
      </w:r>
      <w:r w:rsidR="00C15D49">
        <w:rPr>
          <w:bCs/>
        </w:rPr>
        <w:t xml:space="preserve"> and</w:t>
      </w:r>
      <w:r w:rsidR="007E0D70">
        <w:rPr>
          <w:bCs/>
        </w:rPr>
        <w:t xml:space="preserve"> </w:t>
      </w:r>
      <w:r w:rsidR="006242D1">
        <w:rPr>
          <w:bCs/>
        </w:rPr>
        <w:t>3</w:t>
      </w:r>
      <w:r w:rsidR="00C15D49">
        <w:rPr>
          <w:bCs/>
        </w:rPr>
        <w:t xml:space="preserve">; </w:t>
      </w:r>
      <w:r w:rsidR="002A3DB9">
        <w:rPr>
          <w:bCs/>
        </w:rPr>
        <w:t>PP XX-XX</w:t>
      </w:r>
      <w:r w:rsidR="00C15D49">
        <w:rPr>
          <w:bCs/>
        </w:rPr>
        <w:t>, XX-XX and XX-XX</w:t>
      </w:r>
      <w:r w:rsidR="002A3DB9">
        <w:rPr>
          <w:bCs/>
        </w:rPr>
        <w:t>).</w:t>
      </w:r>
      <w:r w:rsidR="007E0D70">
        <w:rPr>
          <w:bCs/>
        </w:rPr>
        <w:t xml:space="preserve">  </w:t>
      </w:r>
    </w:p>
    <w:p w14:paraId="6E3B2D86" w14:textId="77777777" w:rsidR="00727652" w:rsidRDefault="00727652" w:rsidP="00E61AB2">
      <w:pPr>
        <w:pStyle w:val="BodyText"/>
        <w:spacing w:after="0" w:line="240" w:lineRule="auto"/>
        <w:rPr>
          <w:bCs/>
        </w:rPr>
      </w:pPr>
    </w:p>
    <w:p w14:paraId="13E3ECC6" w14:textId="77777777" w:rsidR="00B11CF3" w:rsidRPr="00B11CF3" w:rsidRDefault="00B11CF3" w:rsidP="00E61AB2">
      <w:pPr>
        <w:pStyle w:val="BodyText"/>
        <w:spacing w:after="0" w:line="240" w:lineRule="auto"/>
        <w:rPr>
          <w:b/>
          <w:bCs/>
        </w:rPr>
      </w:pPr>
      <w:r w:rsidRPr="00B11CF3">
        <w:rPr>
          <w:b/>
          <w:bCs/>
        </w:rPr>
        <w:t xml:space="preserve">2) The authors pointed out in the introduction that global warming may impact on excess cold weather death rates. Presumably a major part of the rationale for testing the differences in regions overtime was to help inform our understanding of what the impact may be. However no conclusions were reached with regard to the implications of the findings. Clearly any such conclusions would need to be appropriately and heavily caveated but as this is a major reason for the analysis. Please expand the Discussion to include these points. </w:t>
      </w:r>
    </w:p>
    <w:p w14:paraId="29FF3449" w14:textId="4CA2ACF9" w:rsidR="00B11CF3" w:rsidRPr="00BD0E87" w:rsidRDefault="00B11CF3" w:rsidP="00E61AB2">
      <w:pPr>
        <w:pStyle w:val="BodyText"/>
        <w:spacing w:after="0" w:line="240" w:lineRule="auto"/>
        <w:rPr>
          <w:bCs/>
        </w:rPr>
      </w:pPr>
    </w:p>
    <w:p w14:paraId="17D29B49" w14:textId="174D9236" w:rsidR="00116830" w:rsidRPr="00BD0E87" w:rsidRDefault="00BD0E87" w:rsidP="00E61AB2">
      <w:pPr>
        <w:pStyle w:val="BodyText"/>
        <w:spacing w:after="0" w:line="240" w:lineRule="auto"/>
        <w:rPr>
          <w:bCs/>
        </w:rPr>
      </w:pPr>
      <w:r w:rsidRPr="00BD0E87">
        <w:rPr>
          <w:bCs/>
        </w:rPr>
        <w:t xml:space="preserve">To </w:t>
      </w:r>
      <w:r>
        <w:rPr>
          <w:bCs/>
        </w:rPr>
        <w:t xml:space="preserve">quantitatively analyse the potential implications of global climate change, one would need to formally incorporate temperature in the analysis which would involve a distinct analytical framework and presentation. As correctly pointed out in this comment, the current analysis </w:t>
      </w:r>
      <w:r>
        <w:rPr>
          <w:bCs/>
        </w:rPr>
        <w:lastRenderedPageBreak/>
        <w:t xml:space="preserve">can nonetheless provide qualitative insights into such effects, which we have now discussed with appropriate caveats </w:t>
      </w:r>
      <w:r w:rsidR="00EA4A0E">
        <w:rPr>
          <w:bCs/>
        </w:rPr>
        <w:t>(PP XX-XX)</w:t>
      </w:r>
      <w:r>
        <w:rPr>
          <w:bCs/>
        </w:rPr>
        <w:t>.</w:t>
      </w:r>
    </w:p>
    <w:p w14:paraId="245CA9D7" w14:textId="77777777" w:rsidR="00116830" w:rsidRPr="00BD0E87" w:rsidRDefault="00116830" w:rsidP="00E61AB2">
      <w:pPr>
        <w:pStyle w:val="BodyText"/>
        <w:spacing w:after="0" w:line="240" w:lineRule="auto"/>
        <w:rPr>
          <w:bCs/>
        </w:rPr>
      </w:pPr>
    </w:p>
    <w:p w14:paraId="3E858B84" w14:textId="77777777" w:rsidR="00B11CF3" w:rsidRPr="00B11CF3" w:rsidRDefault="00B11CF3" w:rsidP="00E61AB2">
      <w:pPr>
        <w:pStyle w:val="BodyText"/>
        <w:spacing w:after="0" w:line="240" w:lineRule="auto"/>
        <w:rPr>
          <w:b/>
          <w:bCs/>
        </w:rPr>
      </w:pPr>
      <w:r w:rsidRPr="00B11CF3">
        <w:rPr>
          <w:b/>
          <w:bCs/>
        </w:rPr>
        <w:t xml:space="preserve">3) Methodology: </w:t>
      </w:r>
    </w:p>
    <w:p w14:paraId="24462D3B" w14:textId="77777777" w:rsidR="00B11CF3" w:rsidRPr="00B11CF3" w:rsidRDefault="00B11CF3" w:rsidP="00E61AB2">
      <w:pPr>
        <w:pStyle w:val="BodyText"/>
        <w:spacing w:after="0" w:line="240" w:lineRule="auto"/>
        <w:rPr>
          <w:b/>
          <w:bCs/>
        </w:rPr>
      </w:pPr>
    </w:p>
    <w:p w14:paraId="0737D51D" w14:textId="395DA3C9" w:rsidR="00B11CF3" w:rsidRPr="00B11CF3" w:rsidRDefault="00B11CF3" w:rsidP="00E61AB2">
      <w:pPr>
        <w:pStyle w:val="BodyText"/>
        <w:spacing w:after="0" w:line="240" w:lineRule="auto"/>
        <w:rPr>
          <w:b/>
          <w:bCs/>
        </w:rPr>
      </w:pPr>
      <w:r w:rsidRPr="00B11CF3">
        <w:rPr>
          <w:b/>
          <w:bCs/>
        </w:rPr>
        <w:t xml:space="preserve">A) Wavelet power spectra are not always easy to interpret, and the uncertainty in estimated wavelet coefficients is difficult to quantify. The wavelet analysis makes for an interesting exploratory tool, showing that for the most part cycles have a duration of 12 months and are reasonably stable over time. It does not seem possible to draw firm conclusions about the research hypothesis using wavelets, however. All cause male mortality for 15-24 year olds appears to be less cyclical in recent years, although how to quantify this effect and assign a statistical significance to it is not apparent from the power spectrum shown. </w:t>
      </w:r>
    </w:p>
    <w:p w14:paraId="7D8D0D46" w14:textId="6DF93316" w:rsidR="00D02BB5" w:rsidRDefault="00D02BB5" w:rsidP="00E61AB2">
      <w:pPr>
        <w:rPr>
          <w:bCs/>
        </w:rPr>
      </w:pPr>
    </w:p>
    <w:p w14:paraId="28CA4EF5" w14:textId="4BF8F31D" w:rsidR="000668FF" w:rsidRDefault="00EA4A0E" w:rsidP="00E61AB2">
      <w:pPr>
        <w:rPr>
          <w:bCs/>
        </w:rPr>
      </w:pPr>
      <w:r>
        <w:rPr>
          <w:bCs/>
        </w:rPr>
        <w:t xml:space="preserve">Wavelet analysis is a formal analytical framework that can </w:t>
      </w:r>
      <w:r w:rsidR="00B06581">
        <w:rPr>
          <w:bCs/>
        </w:rPr>
        <w:t>provide</w:t>
      </w:r>
      <w:r>
        <w:rPr>
          <w:bCs/>
        </w:rPr>
        <w:t xml:space="preserve"> quantitative conclusions</w:t>
      </w:r>
      <w:r w:rsidR="0076160A">
        <w:rPr>
          <w:bCs/>
        </w:rPr>
        <w:t xml:space="preserve"> </w:t>
      </w:r>
      <w:r w:rsidR="00627F9F">
        <w:rPr>
          <w:bCs/>
        </w:rPr>
        <w:fldChar w:fldCharType="begin" w:fldLock="1"/>
      </w:r>
      <w:r w:rsidR="00707D8D">
        <w:rPr>
          <w:bCs/>
        </w:rPr>
        <w:instrText>ADDIN CSL_CITATION {"citationItems":[{"id":"ITEM-1","itemData":{"ISBN":"1-56881-047-4","abstract":"This best-selling book introduces a broad audience including scientists and engineers working in a variety of fields as well as mathematicians from other subspecialties to one of the most active new areas of applied mathematics and the story of its discovery and development. Organized in \"hypertext fashion\", the book tells a story of scientific discovery with separate brief entries for technical terms and explicit appendices in a section called \"Beyond Plain English\".","author":[{"dropping-particle":"","family":"Hubbard","given":"Barbara Burke","non-dropping-particle":"","parse-names":false,"suffix":""}],"container-title":"NOTICES OF THE AMS","id":"ITEM-1","issued":{"date-parts":[["1996"]]},"title":"The world according to wavelets: the story of a mathematical technique in the making","type":"book"},"uris":["http://www.mendeley.com/documents/?uuid=c0318730-63cb-4808-bc08-757d8c45d2b1"]},{"id":"ITEM-2","itemData":{"DOI":"10.1175/1520-0477(1998)079&lt;0061:APGTWA&gt;2.0.CO;2","ISBN":"0871706881","ISSN":"00030007","PMID":"21229804","abstract":"A practical step-by-step guide to wavelet analysis is given, with examples taken from time series of the El Niño–Southern Oscillation (ENSO). The guide includes a comparison to the windowed Fourier transform, the choice of an appropriate wavelet basis function, edge effects due to finite-length time series, and the relationship between wavelet scale and Fourier frequency. New statistical significance tests for wavelet power spectra are developed by deriving theoretical wavelet spectra for white and red noise processes and using these to establish significance levels and confidence intervals. It is shown that smoothing in time or scale can be used to increase the confidence of the wavelet spectrum. Empirical formulas are given for the effect of smoothing on significance levels and confidence intervals. Extensions to wavelet analysis such as filtering, the power Hovmöller, cross-wavelet spectra, and coherence are described. The statistical significance tests are used to give a quantitative measure of changes in ENSO variance on interdecadal timescales. Using new datasets that extend back to 1871, the Niño3 sea surface temperature and the Southern Oscillation index show significantly higher power during 1880–1920 and 1960–90, and lower power during 1920–60, as well as a possible 15-yr modulation of variance. The power Hovmöller of sea level pressure shows significant variations in 2–8-yr wavelet power in both longitude and time.","author":[{"dropping-particle":"","family":"Torrence","given":"Christopher","non-dropping-particle":"","parse-names":false,"suffix":""},{"dropping-particle":"","family":"Compo","given":"Gilbert P.","non-dropping-particle":"","parse-names":false,"suffix":""}],"container-title":"Bulletin of the American Meteorological Society","id":"ITEM-2","issued":{"date-parts":[["1998"]]},"title":"A Practical Guide to Wavelet Analysis","type":"article-journal"},"uris":["http://www.mendeley.com/documents/?uuid=01ea8ad1-904b-46e4-a3e4-6cbc5d8756a0"]}],"mendeley":{"formattedCitation":"(Hubbard, 1996; Torrence &amp; Compo, 1998)","plainTextFormattedCitation":"(Hubbard, 1996; Torrence &amp; Compo, 1998)","previouslyFormattedCitation":"(Hubbard, 1996; Torrence &amp; Compo, 1998)"},"properties":{"noteIndex":0},"schema":"https://github.com/citation-style-language/schema/raw/master/csl-citation.json"}</w:instrText>
      </w:r>
      <w:r w:rsidR="00627F9F">
        <w:rPr>
          <w:bCs/>
        </w:rPr>
        <w:fldChar w:fldCharType="separate"/>
      </w:r>
      <w:r w:rsidR="007009AA" w:rsidRPr="007009AA">
        <w:rPr>
          <w:bCs/>
          <w:noProof/>
        </w:rPr>
        <w:t>(Hubbard, 1996; Torrence &amp; Compo, 1998)</w:t>
      </w:r>
      <w:r w:rsidR="00627F9F">
        <w:rPr>
          <w:bCs/>
        </w:rPr>
        <w:fldChar w:fldCharType="end"/>
      </w:r>
      <w:r>
        <w:rPr>
          <w:bCs/>
        </w:rPr>
        <w:t xml:space="preserve">, and has been applied </w:t>
      </w:r>
      <w:r w:rsidR="00197613">
        <w:rPr>
          <w:bCs/>
        </w:rPr>
        <w:t xml:space="preserve">in different areas of health and the environment, for example </w:t>
      </w:r>
      <w:r w:rsidR="00C30F67">
        <w:rPr>
          <w:bCs/>
        </w:rPr>
        <w:t>measles epidemics</w:t>
      </w:r>
      <w:r>
        <w:rPr>
          <w:bCs/>
        </w:rPr>
        <w:t xml:space="preserve"> and </w:t>
      </w:r>
      <w:r w:rsidR="00C07823">
        <w:rPr>
          <w:bCs/>
        </w:rPr>
        <w:t>El Niño oscillations</w:t>
      </w:r>
      <w:r w:rsidR="00197613">
        <w:rPr>
          <w:bCs/>
        </w:rPr>
        <w:t>,</w:t>
      </w:r>
      <w:r w:rsidR="00C07823">
        <w:rPr>
          <w:bCs/>
        </w:rPr>
        <w:t xml:space="preserve"> </w:t>
      </w:r>
      <w:r w:rsidR="00B06581">
        <w:rPr>
          <w:bCs/>
        </w:rPr>
        <w:t>to quantitatively characterise their seasonality including</w:t>
      </w:r>
      <w:r>
        <w:rPr>
          <w:bCs/>
        </w:rPr>
        <w:t>.</w:t>
      </w:r>
      <w:r w:rsidR="00766448">
        <w:rPr>
          <w:bCs/>
        </w:rPr>
        <w:fldChar w:fldCharType="begin" w:fldLock="1"/>
      </w:r>
      <w:r w:rsidR="00627F9F">
        <w:rPr>
          <w:bCs/>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epidemics","type":"article-journal","volume":"414"},"uris":["http://www.mendeley.com/documents/?uuid=a83e09d1-1d49-4349-ba0e-7126e1caba90"]},{"id":"ITEM-2","itemData":{"DOI":"10.1038/nature01194","ISBN":"0028-0836","ISSN":"00280836","PMID":"12432388","abstract":"The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M.","non-dropping-particle":"","parse-names":false,"suffix":""}],"container-title":"Nature","id":"ITEM-2","issue":"6912","issued":{"date-parts":[["2002"]]},"page":"162-165","title":"Variability of El Niño/Southern Oscillation activity at millennial timescales during the Holocene epoch","type":"article-journal","volume":"420"},"uris":["http://www.mendeley.com/documents/?uuid=7d5ba32f-935d-46a0-82d2-3b510f617cdd"]}],"mendeley":{"formattedCitation":"(Grenfell, Bjørnstad, &amp; Kappey, 2001; Moy, Seltzer, Rodbell, &amp; Anderson, 2002)","plainTextFormattedCitation":"(Grenfell, Bjørnstad, &amp; Kappey, 2001; Moy, Seltzer, Rodbell, &amp; Anderson, 2002)","previouslyFormattedCitation":"(Grenfell, Bjørnstad, &amp; Kappey, 2001; Moy, Seltzer, Rodbell, &amp; Anderson, 2002)"},"properties":{"noteIndex":0},"schema":"https://github.com/citation-style-language/schema/raw/master/csl-citation.json"}</w:instrText>
      </w:r>
      <w:r w:rsidR="00766448">
        <w:rPr>
          <w:bCs/>
        </w:rPr>
        <w:fldChar w:fldCharType="separate"/>
      </w:r>
      <w:r w:rsidR="00766448" w:rsidRPr="00766448">
        <w:rPr>
          <w:bCs/>
          <w:noProof/>
        </w:rPr>
        <w:t>(Grenfell, Bjørnstad, &amp; Kappey, 2001; Moy, Seltzer, Rodbell, &amp; Anderson, 2002)</w:t>
      </w:r>
      <w:r w:rsidR="00766448">
        <w:rPr>
          <w:bCs/>
        </w:rPr>
        <w:fldChar w:fldCharType="end"/>
      </w:r>
      <w:r w:rsidR="006C28FF">
        <w:rPr>
          <w:bCs/>
        </w:rPr>
        <w:t xml:space="preserve"> </w:t>
      </w:r>
      <w:r w:rsidR="000668FF">
        <w:rPr>
          <w:bCs/>
        </w:rPr>
        <w:t>A key</w:t>
      </w:r>
      <w:r w:rsidR="00BF5A90">
        <w:rPr>
          <w:bCs/>
        </w:rPr>
        <w:t xml:space="preserve"> advantage</w:t>
      </w:r>
      <w:r w:rsidR="000668FF">
        <w:rPr>
          <w:bCs/>
        </w:rPr>
        <w:t xml:space="preserve"> of wavelet analysis is that </w:t>
      </w:r>
      <w:r w:rsidR="00BF5A90">
        <w:rPr>
          <w:bCs/>
        </w:rPr>
        <w:t xml:space="preserve">it does not </w:t>
      </w:r>
      <w:r w:rsidR="00B10767">
        <w:rPr>
          <w:bCs/>
        </w:rPr>
        <w:t>assume</w:t>
      </w:r>
      <w:r w:rsidR="00D15548">
        <w:rPr>
          <w:bCs/>
        </w:rPr>
        <w:t xml:space="preserve"> </w:t>
      </w:r>
      <w:r w:rsidR="00BF5A90">
        <w:rPr>
          <w:bCs/>
        </w:rPr>
        <w:t>a stationary time series</w:t>
      </w:r>
      <w:r w:rsidR="000668FF">
        <w:rPr>
          <w:bCs/>
        </w:rPr>
        <w:t xml:space="preserve">, and hence can easily capture a decline/increase in or appearance/disappearance </w:t>
      </w:r>
      <w:r w:rsidR="000931A3">
        <w:rPr>
          <w:bCs/>
        </w:rPr>
        <w:t>of seasonality.</w:t>
      </w:r>
      <w:r w:rsidR="00357531">
        <w:rPr>
          <w:bCs/>
        </w:rPr>
        <w:t xml:space="preserve"> </w:t>
      </w:r>
      <w:r w:rsidR="000668FF">
        <w:rPr>
          <w:bCs/>
        </w:rPr>
        <w:t>To our knowledge, the uncertainty of wavelet spectra are also well-characterised</w:t>
      </w:r>
      <w:r w:rsidR="00E01D37">
        <w:rPr>
          <w:bCs/>
        </w:rPr>
        <w:t xml:space="preserve"> </w:t>
      </w:r>
      <w:r w:rsidR="00707D8D">
        <w:rPr>
          <w:bCs/>
        </w:rPr>
        <w:fldChar w:fldCharType="begin" w:fldLock="1"/>
      </w:r>
      <w:r w:rsidR="00707D8D">
        <w:rPr>
          <w:bCs/>
        </w:rPr>
        <w:instrText>ADDIN CSL_CITATION {"citationItems":[{"id":"ITEM-1","itemData":{"ISBN":"1-56881-047-4","abstract":"This best-selling book introduces a broad audience including scientists and engineers working in a variety of fields as well as mathematicians from other subspecialties to one of the most active new areas of applied mathematics and the story of its discovery and development. Organized in \"hypertext fashion\", the book tells a story of scientific discovery with separate brief entries for technical terms and explicit appendices in a section called \"Beyond Plain English\".","author":[{"dropping-particle":"","family":"Hubbard","given":"Barbara Burke","non-dropping-particle":"","parse-names":false,"suffix":""}],"container-title":"NOTICES OF THE AMS","id":"ITEM-1","issued":{"date-parts":[["1996"]]},"title":"The world according to wavelets: the story of a mathematical technique in the making","type":"book"},"uris":["http://www.mendeley.com/documents/?uuid=c0318730-63cb-4808-bc08-757d8c45d2b1"]}],"mendeley":{"formattedCitation":"(Hubbard, 1996)","plainTextFormattedCitation":"(Hubbard, 1996)"},"properties":{"noteIndex":0},"schema":"https://github.com/citation-style-language/schema/raw/master/csl-citation.json"}</w:instrText>
      </w:r>
      <w:r w:rsidR="00707D8D">
        <w:rPr>
          <w:bCs/>
        </w:rPr>
        <w:fldChar w:fldCharType="separate"/>
      </w:r>
      <w:r w:rsidR="00707D8D" w:rsidRPr="00707D8D">
        <w:rPr>
          <w:bCs/>
          <w:noProof/>
        </w:rPr>
        <w:t>(Hubbard, 1996)</w:t>
      </w:r>
      <w:r w:rsidR="00707D8D">
        <w:rPr>
          <w:bCs/>
        </w:rPr>
        <w:fldChar w:fldCharType="end"/>
      </w:r>
      <w:r w:rsidR="000668FF">
        <w:rPr>
          <w:bCs/>
        </w:rPr>
        <w:t xml:space="preserve">. </w:t>
      </w:r>
      <w:r w:rsidR="00E46374">
        <w:rPr>
          <w:bCs/>
        </w:rPr>
        <w:t>W</w:t>
      </w:r>
      <w:r w:rsidR="000668FF">
        <w:rPr>
          <w:bCs/>
        </w:rPr>
        <w:t>e follow wavelet analysis with a centre of gravity analysis</w:t>
      </w:r>
      <w:r w:rsidR="00E46374">
        <w:rPr>
          <w:bCs/>
        </w:rPr>
        <w:t xml:space="preserve"> to identify the months of maximum and minimum mortality (PP. XX-XX), and with a quantitative analysis of (percentage) difference in death rates from 1980 to 2016. </w:t>
      </w:r>
    </w:p>
    <w:p w14:paraId="33EE2505" w14:textId="77777777" w:rsidR="00C42B83" w:rsidRDefault="00C42B83" w:rsidP="00E61AB2">
      <w:pPr>
        <w:rPr>
          <w:bCs/>
        </w:rPr>
      </w:pPr>
    </w:p>
    <w:p w14:paraId="26FBB67D" w14:textId="76EFACE4" w:rsidR="00C42B83" w:rsidRDefault="00C42B83" w:rsidP="00E61AB2">
      <w:pPr>
        <w:rPr>
          <w:bCs/>
        </w:rPr>
      </w:pPr>
      <w:r>
        <w:rPr>
          <w:bCs/>
        </w:rPr>
        <w:t>We note that even in standard statistical comparisons, p-values and statistical significance are not apparent from figures but are a part of the analysis.</w:t>
      </w:r>
      <w:r w:rsidR="002E2E87">
        <w:rPr>
          <w:bCs/>
        </w:rPr>
        <w:t xml:space="preserve"> We have added p-values to each of the wavelet analyses in </w:t>
      </w:r>
      <w:r w:rsidR="002D5213">
        <w:rPr>
          <w:bCs/>
        </w:rPr>
        <w:t>Figure 2 and Supplementary Figure 1.</w:t>
      </w:r>
    </w:p>
    <w:p w14:paraId="0C3E3C16" w14:textId="77777777" w:rsidR="00E00372" w:rsidRDefault="00E00372" w:rsidP="00E61AB2">
      <w:pPr>
        <w:rPr>
          <w:bCs/>
        </w:rPr>
      </w:pPr>
    </w:p>
    <w:p w14:paraId="2D34752E" w14:textId="77777777" w:rsidR="00E00372" w:rsidRDefault="00E00372" w:rsidP="00E00372">
      <w:pPr>
        <w:pStyle w:val="BodyText"/>
        <w:spacing w:after="0" w:line="240" w:lineRule="auto"/>
        <w:rPr>
          <w:b/>
          <w:bCs/>
        </w:rPr>
      </w:pPr>
      <w:r w:rsidRPr="00B11CF3">
        <w:rPr>
          <w:b/>
          <w:bCs/>
        </w:rPr>
        <w:t>The second analysis is more appropriate, although the details of this analysis are sparse</w:t>
      </w:r>
      <w:r w:rsidRPr="002E2E87">
        <w:rPr>
          <w:b/>
          <w:bCs/>
        </w:rPr>
        <w:t>. It appears that the model used is something like the following</w:t>
      </w:r>
      <w:r w:rsidRPr="00B11CF3">
        <w:rPr>
          <w:b/>
          <w:bCs/>
        </w:rPr>
        <w:t xml:space="preserve">, where Yit is the count of deaths in age group i at time t. </w:t>
      </w:r>
    </w:p>
    <w:p w14:paraId="50802806" w14:textId="77777777" w:rsidR="00E00372" w:rsidRDefault="00E00372" w:rsidP="00E00372">
      <w:pPr>
        <w:pStyle w:val="BodyText"/>
        <w:spacing w:after="0" w:line="240" w:lineRule="auto"/>
        <w:rPr>
          <w:b/>
          <w:bCs/>
        </w:rPr>
      </w:pPr>
    </w:p>
    <w:p w14:paraId="5F8C3E80" w14:textId="77777777" w:rsidR="00E00372" w:rsidRPr="00B11CF3" w:rsidRDefault="00E00372" w:rsidP="00E00372">
      <w:pPr>
        <w:pStyle w:val="BodyText"/>
        <w:spacing w:after="0" w:line="240" w:lineRule="auto"/>
        <w:rPr>
          <w:b/>
          <w:bCs/>
        </w:rPr>
      </w:pPr>
      <w:r>
        <w:rPr>
          <w:b/>
          <w:bCs/>
        </w:rPr>
        <w:t>---------------------</w:t>
      </w:r>
      <w:r w:rsidRPr="00B11CF3">
        <w:rPr>
          <w:b/>
          <w:bCs/>
        </w:rPr>
        <w:t xml:space="preserve">------------------------------------- </w:t>
      </w:r>
    </w:p>
    <w:p w14:paraId="2246A9EA" w14:textId="77777777" w:rsidR="00E00372" w:rsidRPr="00B11CF3" w:rsidRDefault="00E00372" w:rsidP="00C13011">
      <w:pPr>
        <w:pStyle w:val="BodyText"/>
        <w:spacing w:after="0" w:line="240" w:lineRule="auto"/>
        <w:outlineLvl w:val="0"/>
        <w:rPr>
          <w:b/>
          <w:bCs/>
        </w:rPr>
      </w:pPr>
      <w:r w:rsidRPr="00B11CF3">
        <w:rPr>
          <w:b/>
          <w:bCs/>
        </w:rPr>
        <w:t>Yit</w:t>
      </w:r>
      <w:r w:rsidRPr="00B11CF3">
        <w:rPr>
          <w:rFonts w:ascii="Cambria Math" w:hAnsi="Cambria Math" w:cs="Cambria Math"/>
          <w:b/>
          <w:bCs/>
        </w:rPr>
        <w:t>∼</w:t>
      </w:r>
      <w:r w:rsidRPr="00B11CF3">
        <w:rPr>
          <w:b/>
          <w:bCs/>
        </w:rPr>
        <w:t xml:space="preserve"> Poisson(Nit </w:t>
      </w:r>
      <w:r w:rsidRPr="00B11CF3">
        <w:rPr>
          <w:rFonts w:ascii="Cambria Math" w:hAnsi="Cambria Math" w:cs="Cambria Math"/>
          <w:b/>
          <w:bCs/>
        </w:rPr>
        <w:t>⋅</w:t>
      </w:r>
      <w:r w:rsidRPr="00B11CF3">
        <w:rPr>
          <w:b/>
          <w:bCs/>
        </w:rPr>
        <w:t xml:space="preserve"> </w:t>
      </w:r>
      <w:r w:rsidRPr="00B11CF3">
        <w:rPr>
          <w:rFonts w:cs="Arial"/>
          <w:b/>
          <w:bCs/>
        </w:rPr>
        <w:t>λ</w:t>
      </w:r>
      <w:r w:rsidRPr="00B11CF3">
        <w:rPr>
          <w:b/>
          <w:bCs/>
        </w:rPr>
        <w:t xml:space="preserve">it) </w:t>
      </w:r>
    </w:p>
    <w:p w14:paraId="0BF141B0" w14:textId="77777777" w:rsidR="00E00372" w:rsidRPr="00B11CF3" w:rsidRDefault="00E00372" w:rsidP="00E00372">
      <w:pPr>
        <w:pStyle w:val="BodyText"/>
        <w:spacing w:after="0" w:line="240" w:lineRule="auto"/>
        <w:rPr>
          <w:b/>
          <w:bCs/>
        </w:rPr>
      </w:pPr>
      <w:r w:rsidRPr="00B11CF3">
        <w:rPr>
          <w:b/>
          <w:bCs/>
        </w:rPr>
        <w:t xml:space="preserve">log(λit)= μi + βit + Mit </w:t>
      </w:r>
      <w:r w:rsidRPr="00B11CF3">
        <w:rPr>
          <w:rFonts w:ascii="Cambria Math" w:hAnsi="Cambria Math" w:cs="Cambria Math"/>
          <w:b/>
          <w:bCs/>
        </w:rPr>
        <w:t>⋅</w:t>
      </w:r>
      <w:r w:rsidRPr="00B11CF3">
        <w:rPr>
          <w:b/>
          <w:bCs/>
        </w:rPr>
        <w:t xml:space="preserve"> [</w:t>
      </w:r>
      <w:r w:rsidRPr="00B11CF3">
        <w:rPr>
          <w:rFonts w:cs="Arial"/>
          <w:b/>
          <w:bCs/>
        </w:rPr>
        <w:t>α</w:t>
      </w:r>
      <w:r w:rsidRPr="00B11CF3">
        <w:rPr>
          <w:b/>
          <w:bCs/>
        </w:rPr>
        <w:t xml:space="preserve">1i </w:t>
      </w:r>
      <w:r w:rsidRPr="00B11CF3">
        <w:rPr>
          <w:rFonts w:ascii="Cambria Math" w:hAnsi="Cambria Math" w:cs="Cambria Math"/>
          <w:b/>
          <w:bCs/>
        </w:rPr>
        <w:t>⋅</w:t>
      </w:r>
      <w:r w:rsidRPr="00B11CF3">
        <w:rPr>
          <w:b/>
          <w:bCs/>
        </w:rPr>
        <w:t xml:space="preserve"> cos(2</w:t>
      </w:r>
      <w:r w:rsidRPr="00B11CF3">
        <w:rPr>
          <w:rFonts w:cs="Arial"/>
          <w:b/>
          <w:bCs/>
        </w:rPr>
        <w:t>π</w:t>
      </w:r>
      <w:r w:rsidRPr="00B11CF3">
        <w:rPr>
          <w:b/>
          <w:bCs/>
        </w:rPr>
        <w:t xml:space="preserve">t/12) </w:t>
      </w:r>
    </w:p>
    <w:p w14:paraId="4171C1F2" w14:textId="77777777" w:rsidR="00E00372" w:rsidRPr="00B11CF3" w:rsidRDefault="00E00372" w:rsidP="00E00372">
      <w:pPr>
        <w:pStyle w:val="BodyText"/>
        <w:spacing w:after="0" w:line="240" w:lineRule="auto"/>
        <w:rPr>
          <w:b/>
          <w:bCs/>
        </w:rPr>
      </w:pPr>
      <w:r w:rsidRPr="00B11CF3">
        <w:rPr>
          <w:b/>
          <w:bCs/>
        </w:rPr>
        <w:t xml:space="preserve">+α2i </w:t>
      </w:r>
      <w:r w:rsidRPr="00B11CF3">
        <w:rPr>
          <w:rFonts w:ascii="Cambria Math" w:hAnsi="Cambria Math" w:cs="Cambria Math"/>
          <w:b/>
          <w:bCs/>
        </w:rPr>
        <w:t>⋅</w:t>
      </w:r>
      <w:r w:rsidRPr="00B11CF3">
        <w:rPr>
          <w:b/>
          <w:bCs/>
        </w:rPr>
        <w:t xml:space="preserve"> sin(2</w:t>
      </w:r>
      <w:r w:rsidRPr="00B11CF3">
        <w:rPr>
          <w:rFonts w:cs="Arial"/>
          <w:b/>
          <w:bCs/>
        </w:rPr>
        <w:t>π</w:t>
      </w:r>
      <w:r w:rsidRPr="00B11CF3">
        <w:rPr>
          <w:b/>
          <w:bCs/>
        </w:rPr>
        <w:t>t/12)+</w:t>
      </w:r>
      <w:r w:rsidRPr="00B11CF3">
        <w:rPr>
          <w:rFonts w:cs="Arial"/>
          <w:b/>
          <w:bCs/>
        </w:rPr>
        <w:t>α</w:t>
      </w:r>
      <w:r w:rsidRPr="00B11CF3">
        <w:rPr>
          <w:b/>
          <w:bCs/>
        </w:rPr>
        <w:t xml:space="preserve">3i </w:t>
      </w:r>
      <w:r w:rsidRPr="00B11CF3">
        <w:rPr>
          <w:rFonts w:ascii="Cambria Math" w:hAnsi="Cambria Math" w:cs="Cambria Math"/>
          <w:b/>
          <w:bCs/>
        </w:rPr>
        <w:t>⋅</w:t>
      </w:r>
      <w:r w:rsidRPr="00B11CF3">
        <w:rPr>
          <w:b/>
          <w:bCs/>
        </w:rPr>
        <w:t xml:space="preserve"> cos(2</w:t>
      </w:r>
      <w:r w:rsidRPr="00B11CF3">
        <w:rPr>
          <w:rFonts w:cs="Arial"/>
          <w:b/>
          <w:bCs/>
        </w:rPr>
        <w:t>π</w:t>
      </w:r>
      <w:r w:rsidRPr="00B11CF3">
        <w:rPr>
          <w:b/>
          <w:bCs/>
        </w:rPr>
        <w:t xml:space="preserve">t/6) </w:t>
      </w:r>
    </w:p>
    <w:p w14:paraId="442A45EB" w14:textId="77777777" w:rsidR="00E00372" w:rsidRPr="00B11CF3" w:rsidRDefault="00E00372" w:rsidP="00E00372">
      <w:pPr>
        <w:pStyle w:val="BodyText"/>
        <w:spacing w:after="0" w:line="240" w:lineRule="auto"/>
        <w:rPr>
          <w:b/>
          <w:bCs/>
        </w:rPr>
      </w:pPr>
      <w:r w:rsidRPr="00B11CF3">
        <w:rPr>
          <w:b/>
          <w:bCs/>
        </w:rPr>
        <w:t xml:space="preserve">+α4i </w:t>
      </w:r>
      <w:r w:rsidRPr="00B11CF3">
        <w:rPr>
          <w:rFonts w:ascii="Cambria Math" w:hAnsi="Cambria Math" w:cs="Cambria Math"/>
          <w:b/>
          <w:bCs/>
        </w:rPr>
        <w:t>⋅</w:t>
      </w:r>
      <w:r w:rsidRPr="00B11CF3">
        <w:rPr>
          <w:b/>
          <w:bCs/>
        </w:rPr>
        <w:t xml:space="preserve"> sin(2</w:t>
      </w:r>
      <w:r w:rsidRPr="00B11CF3">
        <w:rPr>
          <w:rFonts w:cs="Arial"/>
          <w:b/>
          <w:bCs/>
        </w:rPr>
        <w:t>π</w:t>
      </w:r>
      <w:r w:rsidRPr="00B11CF3">
        <w:rPr>
          <w:b/>
          <w:bCs/>
        </w:rPr>
        <w:t xml:space="preserve">t/6)] </w:t>
      </w:r>
    </w:p>
    <w:p w14:paraId="24C91C84" w14:textId="77777777" w:rsidR="00E00372" w:rsidRPr="00B11CF3" w:rsidRDefault="00E00372" w:rsidP="00C13011">
      <w:pPr>
        <w:pStyle w:val="BodyText"/>
        <w:spacing w:after="0" w:line="240" w:lineRule="auto"/>
        <w:outlineLvl w:val="0"/>
        <w:rPr>
          <w:b/>
          <w:bCs/>
        </w:rPr>
      </w:pPr>
      <w:r w:rsidRPr="00B11CF3">
        <w:rPr>
          <w:b/>
          <w:bCs/>
        </w:rPr>
        <w:t xml:space="preserve">Mit= ρi + γit </w:t>
      </w:r>
    </w:p>
    <w:p w14:paraId="5257CD1E" w14:textId="77777777" w:rsidR="00E00372" w:rsidRPr="00BD0E87" w:rsidRDefault="00E00372" w:rsidP="00E00372">
      <w:pPr>
        <w:pStyle w:val="BodyText"/>
        <w:spacing w:after="0" w:line="240" w:lineRule="auto"/>
        <w:rPr>
          <w:b/>
          <w:bCs/>
        </w:rPr>
      </w:pPr>
      <w:r w:rsidRPr="00BD0E87">
        <w:rPr>
          <w:b/>
          <w:bCs/>
        </w:rPr>
        <w:t>----------------------------------------------------------</w:t>
      </w:r>
    </w:p>
    <w:p w14:paraId="0D64D796" w14:textId="77777777" w:rsidR="00E00372" w:rsidRPr="00BD0E87" w:rsidRDefault="00E00372" w:rsidP="00E00372">
      <w:pPr>
        <w:pStyle w:val="BodyText"/>
        <w:spacing w:after="0" w:line="240" w:lineRule="auto"/>
        <w:rPr>
          <w:b/>
          <w:bCs/>
        </w:rPr>
      </w:pPr>
    </w:p>
    <w:p w14:paraId="70AF473E" w14:textId="77777777" w:rsidR="00E00372" w:rsidRPr="00BD0E87" w:rsidRDefault="00E00372" w:rsidP="00E00372">
      <w:pPr>
        <w:rPr>
          <w:b/>
          <w:bCs/>
        </w:rPr>
      </w:pPr>
      <w:r w:rsidRPr="00BD0E87">
        <w:rPr>
          <w:b/>
          <w:bCs/>
        </w:rPr>
        <w:t xml:space="preserve">A model of this could answer the following questions, with p-values produced from a likelihood ratio test. </w:t>
      </w:r>
    </w:p>
    <w:p w14:paraId="0F4D06BE" w14:textId="77777777" w:rsidR="00E00372" w:rsidRPr="00BD0E87" w:rsidRDefault="00E00372" w:rsidP="00E00372">
      <w:pPr>
        <w:rPr>
          <w:b/>
          <w:bCs/>
        </w:rPr>
      </w:pPr>
    </w:p>
    <w:p w14:paraId="19086C2F" w14:textId="77777777" w:rsidR="00E00372" w:rsidRPr="00BD0E87" w:rsidRDefault="00E00372" w:rsidP="00E00372">
      <w:pPr>
        <w:rPr>
          <w:b/>
          <w:bCs/>
        </w:rPr>
      </w:pPr>
      <w:r w:rsidRPr="00BD0E87">
        <w:rPr>
          <w:b/>
          <w:bCs/>
        </w:rPr>
        <w:t xml:space="preserve">- Is γi negative? If so the seasonal effect is becoming less severe for age group i. </w:t>
      </w:r>
    </w:p>
    <w:p w14:paraId="732B13A6" w14:textId="77777777" w:rsidR="00E00372" w:rsidRPr="00EF755D" w:rsidRDefault="00E00372" w:rsidP="00E00372">
      <w:pPr>
        <w:rPr>
          <w:b/>
          <w:bCs/>
        </w:rPr>
      </w:pPr>
      <w:r w:rsidRPr="00EF755D">
        <w:rPr>
          <w:b/>
          <w:bCs/>
        </w:rPr>
        <w:t>- Does it look like all age groups have the same trend, with γi = γ</w:t>
      </w:r>
      <w:r w:rsidRPr="00EF755D">
        <w:rPr>
          <w:rFonts w:ascii="Cambria Math" w:hAnsi="Cambria Math" w:cs="Cambria Math"/>
          <w:b/>
          <w:bCs/>
        </w:rPr>
        <w:t>₀</w:t>
      </w:r>
      <w:r w:rsidRPr="00EF755D">
        <w:rPr>
          <w:b/>
          <w:bCs/>
        </w:rPr>
        <w:t xml:space="preserve"> for all i? </w:t>
      </w:r>
    </w:p>
    <w:p w14:paraId="569DB992" w14:textId="77777777" w:rsidR="00E00372" w:rsidRPr="00EF755D" w:rsidRDefault="00E00372" w:rsidP="00E00372">
      <w:pPr>
        <w:rPr>
          <w:b/>
          <w:bCs/>
        </w:rPr>
      </w:pPr>
      <w:r w:rsidRPr="00EF755D">
        <w:rPr>
          <w:b/>
          <w:bCs/>
        </w:rPr>
        <w:t xml:space="preserve">- Do all age groups have the same cycle, with αpi = αp0? </w:t>
      </w:r>
    </w:p>
    <w:p w14:paraId="7BE4F006" w14:textId="77777777" w:rsidR="00E00372" w:rsidRPr="00EF755D" w:rsidRDefault="00E00372" w:rsidP="00E00372">
      <w:pPr>
        <w:rPr>
          <w:b/>
          <w:bCs/>
        </w:rPr>
      </w:pPr>
      <w:r w:rsidRPr="00EF755D">
        <w:rPr>
          <w:b/>
          <w:bCs/>
        </w:rPr>
        <w:t xml:space="preserve">- Does γ vary by region (negative in cold-climate regions?) </w:t>
      </w:r>
    </w:p>
    <w:p w14:paraId="18D91C27" w14:textId="77777777" w:rsidR="00E00372" w:rsidRPr="00BD0E87" w:rsidRDefault="00E00372" w:rsidP="00E00372">
      <w:pPr>
        <w:rPr>
          <w:b/>
          <w:bCs/>
        </w:rPr>
      </w:pPr>
      <w:r w:rsidRPr="00BD0E87">
        <w:rPr>
          <w:b/>
          <w:bCs/>
        </w:rPr>
        <w:t xml:space="preserve">- Do the cycles, given by the α, vary by region or is a nation-wide cycle sufficient? </w:t>
      </w:r>
    </w:p>
    <w:p w14:paraId="5C19D550" w14:textId="77777777" w:rsidR="00E00372" w:rsidRPr="00BD0E87" w:rsidRDefault="00E00372" w:rsidP="00E00372">
      <w:pPr>
        <w:rPr>
          <w:b/>
          <w:bCs/>
        </w:rPr>
      </w:pPr>
    </w:p>
    <w:p w14:paraId="66195366" w14:textId="77777777" w:rsidR="00E00372" w:rsidRPr="00BD0E87" w:rsidRDefault="00E00372" w:rsidP="00E00372">
      <w:pPr>
        <w:rPr>
          <w:b/>
          <w:bCs/>
        </w:rPr>
      </w:pPr>
      <w:r w:rsidRPr="00BD0E87">
        <w:rPr>
          <w:b/>
          <w:bCs/>
        </w:rPr>
        <w:lastRenderedPageBreak/>
        <w:t xml:space="preserve">The above model is easier to interpret than the wavelet analysis. The quantity 1 − exp(120γ) is the change per decade in the seasonality effect, which could be reported with a 95% confidence interval. </w:t>
      </w:r>
    </w:p>
    <w:p w14:paraId="24E2D5E5" w14:textId="77777777" w:rsidR="00E00372" w:rsidRDefault="00E00372" w:rsidP="00E61AB2">
      <w:pPr>
        <w:rPr>
          <w:bCs/>
        </w:rPr>
      </w:pPr>
    </w:p>
    <w:p w14:paraId="3DFEAC6D" w14:textId="5D28A419" w:rsidR="00C5408C" w:rsidRDefault="00C5408C" w:rsidP="00080FE2">
      <w:pPr>
        <w:rPr>
          <w:ins w:id="0" w:author="Ezzati, Majid" w:date="2018-07-27T12:29:00Z"/>
          <w:bCs/>
        </w:rPr>
      </w:pPr>
      <w:r>
        <w:rPr>
          <w:bCs/>
        </w:rPr>
        <w:t xml:space="preserve">Our current methods </w:t>
      </w:r>
      <w:r w:rsidR="00E154D0">
        <w:rPr>
          <w:bCs/>
        </w:rPr>
        <w:t xml:space="preserve">successfully </w:t>
      </w:r>
      <w:r>
        <w:rPr>
          <w:bCs/>
        </w:rPr>
        <w:t>answer the questions that the reviewer has raised.</w:t>
      </w:r>
      <w:r w:rsidR="00E154D0">
        <w:rPr>
          <w:bCs/>
        </w:rPr>
        <w:t xml:space="preserve"> </w:t>
      </w:r>
      <w:r w:rsidR="00C529EB">
        <w:rPr>
          <w:bCs/>
        </w:rPr>
        <w:t>We</w:t>
      </w:r>
      <w:r w:rsidR="00E154D0">
        <w:rPr>
          <w:bCs/>
        </w:rPr>
        <w:t xml:space="preserve"> </w:t>
      </w:r>
      <w:r w:rsidR="00C529EB">
        <w:rPr>
          <w:bCs/>
        </w:rPr>
        <w:t>have clarified our method</w:t>
      </w:r>
      <w:r w:rsidR="00E154D0">
        <w:rPr>
          <w:bCs/>
        </w:rPr>
        <w:t>, especially those</w:t>
      </w:r>
      <w:r w:rsidR="00C529EB">
        <w:rPr>
          <w:bCs/>
        </w:rPr>
        <w:t xml:space="preserve"> for Figure</w:t>
      </w:r>
      <w:r w:rsidR="009435B6">
        <w:rPr>
          <w:bCs/>
        </w:rPr>
        <w:t>s</w:t>
      </w:r>
      <w:r w:rsidR="00C529EB">
        <w:rPr>
          <w:bCs/>
        </w:rPr>
        <w:t xml:space="preserve"> </w:t>
      </w:r>
      <w:r w:rsidR="00F52832">
        <w:rPr>
          <w:bCs/>
        </w:rPr>
        <w:t>3</w:t>
      </w:r>
      <w:r w:rsidR="00640D82">
        <w:rPr>
          <w:bCs/>
        </w:rPr>
        <w:t xml:space="preserve"> to </w:t>
      </w:r>
      <w:r w:rsidR="009435B6">
        <w:rPr>
          <w:bCs/>
        </w:rPr>
        <w:t>5</w:t>
      </w:r>
      <w:r w:rsidR="00CC0081">
        <w:rPr>
          <w:bCs/>
        </w:rPr>
        <w:t xml:space="preserve"> and Supplementary Figures 2 and 3</w:t>
      </w:r>
      <w:r w:rsidR="00BD7BC6">
        <w:rPr>
          <w:bCs/>
        </w:rPr>
        <w:t xml:space="preserve"> (referred to </w:t>
      </w:r>
      <w:r w:rsidR="006F2B0E">
        <w:rPr>
          <w:bCs/>
        </w:rPr>
        <w:t xml:space="preserve">as the ‘second analysis’ </w:t>
      </w:r>
      <w:r w:rsidR="00BD7BC6">
        <w:rPr>
          <w:bCs/>
        </w:rPr>
        <w:t>above)</w:t>
      </w:r>
      <w:r w:rsidR="00E154D0">
        <w:rPr>
          <w:bCs/>
        </w:rPr>
        <w:t>,</w:t>
      </w:r>
      <w:r w:rsidR="00F52832">
        <w:rPr>
          <w:bCs/>
        </w:rPr>
        <w:t xml:space="preserve"> </w:t>
      </w:r>
      <w:r w:rsidR="00C529EB">
        <w:rPr>
          <w:bCs/>
        </w:rPr>
        <w:t>in the revised manuscript</w:t>
      </w:r>
      <w:r w:rsidR="00E154D0">
        <w:rPr>
          <w:bCs/>
        </w:rPr>
        <w:t xml:space="preserve"> and summarise the approach and its findings below</w:t>
      </w:r>
      <w:r w:rsidR="00C529EB">
        <w:rPr>
          <w:bCs/>
        </w:rPr>
        <w:t xml:space="preserve">. </w:t>
      </w:r>
    </w:p>
    <w:p w14:paraId="352786F5" w14:textId="77777777" w:rsidR="006C6128" w:rsidRDefault="006C6128" w:rsidP="00E61AB2">
      <w:pPr>
        <w:rPr>
          <w:bCs/>
        </w:rPr>
      </w:pPr>
    </w:p>
    <w:p w14:paraId="7252D390" w14:textId="43F4AC76" w:rsidR="006C6128" w:rsidRDefault="006C6128" w:rsidP="006C6128">
      <w:pPr>
        <w:rPr>
          <w:ins w:id="1" w:author="Parks, Robbie M" w:date="2018-07-26T15:21:00Z"/>
          <w:bCs/>
          <w:i/>
        </w:rPr>
      </w:pPr>
      <w:r w:rsidRPr="00721CDE">
        <w:rPr>
          <w:bCs/>
          <w:i/>
        </w:rPr>
        <w:t>- Is γi negative? If so the seasonal effect is becoming less severe for age group i.</w:t>
      </w:r>
    </w:p>
    <w:p w14:paraId="20454F31" w14:textId="1B915048" w:rsidR="00BD21F5" w:rsidRPr="00721CDE" w:rsidRDefault="00BD21F5" w:rsidP="006C6128">
      <w:pPr>
        <w:rPr>
          <w:bCs/>
          <w:i/>
        </w:rPr>
      </w:pPr>
      <w:r w:rsidRPr="00721CDE">
        <w:rPr>
          <w:bCs/>
          <w:i/>
        </w:rPr>
        <w:t>- Does it look like all age groups have the same trend, with γi = γ</w:t>
      </w:r>
      <w:r w:rsidRPr="00721CDE">
        <w:rPr>
          <w:rFonts w:ascii="Cambria Math" w:hAnsi="Cambria Math" w:cs="Cambria Math"/>
          <w:bCs/>
          <w:i/>
        </w:rPr>
        <w:t>₀</w:t>
      </w:r>
      <w:r w:rsidRPr="00721CDE">
        <w:rPr>
          <w:bCs/>
          <w:i/>
        </w:rPr>
        <w:t xml:space="preserve"> for all i? </w:t>
      </w:r>
    </w:p>
    <w:p w14:paraId="6DA25244" w14:textId="77777777" w:rsidR="006C6128" w:rsidRPr="00A77758" w:rsidRDefault="006C6128" w:rsidP="006C6128">
      <w:pPr>
        <w:rPr>
          <w:bCs/>
        </w:rPr>
      </w:pPr>
    </w:p>
    <w:p w14:paraId="04EF879A" w14:textId="211E0A49" w:rsidR="00CC5390" w:rsidRDefault="007658CA" w:rsidP="00CA186A">
      <w:pPr>
        <w:rPr>
          <w:ins w:id="2" w:author="Parks, Robbie M" w:date="2018-07-26T15:24:00Z"/>
          <w:bCs/>
        </w:rPr>
      </w:pPr>
      <w:r>
        <w:rPr>
          <w:bCs/>
        </w:rPr>
        <w:t xml:space="preserve">We calculated change in percent difference between </w:t>
      </w:r>
      <w:r w:rsidR="004469C4">
        <w:rPr>
          <w:bCs/>
        </w:rPr>
        <w:t>1980</w:t>
      </w:r>
      <w:r>
        <w:rPr>
          <w:bCs/>
        </w:rPr>
        <w:t xml:space="preserve"> and </w:t>
      </w:r>
      <w:r w:rsidR="004469C4">
        <w:rPr>
          <w:bCs/>
        </w:rPr>
        <w:t>2016</w:t>
      </w:r>
      <w:r>
        <w:rPr>
          <w:bCs/>
        </w:rPr>
        <w:t xml:space="preserve"> by </w:t>
      </w:r>
      <w:r w:rsidR="00CA186A">
        <w:rPr>
          <w:bCs/>
        </w:rPr>
        <w:t>fitting a linear regression to the time series of seasonal differences</w:t>
      </w:r>
      <w:r w:rsidR="0069460E">
        <w:rPr>
          <w:bCs/>
        </w:rPr>
        <w:t xml:space="preserve"> in mortality within a year</w:t>
      </w:r>
      <w:r w:rsidR="00CA186A">
        <w:rPr>
          <w:bCs/>
        </w:rPr>
        <w:t>. W</w:t>
      </w:r>
      <w:r w:rsidR="0028467A" w:rsidRPr="005A69D3">
        <w:rPr>
          <w:bCs/>
        </w:rPr>
        <w:t xml:space="preserve">e have reported </w:t>
      </w:r>
      <w:r w:rsidR="005A69D3">
        <w:rPr>
          <w:bCs/>
        </w:rPr>
        <w:t>th</w:t>
      </w:r>
      <w:r>
        <w:rPr>
          <w:bCs/>
        </w:rPr>
        <w:t>e</w:t>
      </w:r>
      <w:r w:rsidR="00423FFF">
        <w:rPr>
          <w:bCs/>
        </w:rPr>
        <w:t xml:space="preserve"> percentage point</w:t>
      </w:r>
      <w:r w:rsidR="005A69D3">
        <w:rPr>
          <w:bCs/>
        </w:rPr>
        <w:t xml:space="preserve"> change in seasonalit</w:t>
      </w:r>
      <w:r w:rsidR="00423FFF">
        <w:rPr>
          <w:bCs/>
        </w:rPr>
        <w:t>y</w:t>
      </w:r>
      <w:r w:rsidR="00930328">
        <w:rPr>
          <w:bCs/>
        </w:rPr>
        <w:t>, with p-values and 95% confidence intervals quoted,</w:t>
      </w:r>
      <w:r w:rsidR="005A69D3">
        <w:rPr>
          <w:bCs/>
        </w:rPr>
        <w:t xml:space="preserve"> </w:t>
      </w:r>
      <w:r w:rsidR="008D39B6">
        <w:rPr>
          <w:bCs/>
        </w:rPr>
        <w:t>from 1980 to 2016</w:t>
      </w:r>
      <w:r w:rsidR="00D80979">
        <w:rPr>
          <w:bCs/>
        </w:rPr>
        <w:t xml:space="preserve"> </w:t>
      </w:r>
      <w:r w:rsidR="00E41781">
        <w:rPr>
          <w:bCs/>
        </w:rPr>
        <w:t>b</w:t>
      </w:r>
      <w:r w:rsidR="00E41781" w:rsidRPr="005A69D3">
        <w:rPr>
          <w:bCs/>
        </w:rPr>
        <w:t>y</w:t>
      </w:r>
      <w:r w:rsidR="0028467A" w:rsidRPr="005A69D3">
        <w:rPr>
          <w:bCs/>
        </w:rPr>
        <w:t xml:space="preserve"> age, sex, and cause of death (Figure </w:t>
      </w:r>
      <w:r w:rsidR="005A69D3">
        <w:rPr>
          <w:bCs/>
        </w:rPr>
        <w:t>4 and Supplementary Figure 3</w:t>
      </w:r>
      <w:r w:rsidR="0028467A" w:rsidRPr="005A69D3">
        <w:rPr>
          <w:bCs/>
        </w:rPr>
        <w:t>)</w:t>
      </w:r>
      <w:r w:rsidR="0085259A">
        <w:rPr>
          <w:bCs/>
        </w:rPr>
        <w:t>.</w:t>
      </w:r>
      <w:r w:rsidR="00B34C53">
        <w:rPr>
          <w:bCs/>
        </w:rPr>
        <w:t xml:space="preserve"> </w:t>
      </w:r>
    </w:p>
    <w:p w14:paraId="20EAD23B" w14:textId="7431DA96" w:rsidR="00A74C38" w:rsidRPr="00677BE9" w:rsidRDefault="00BA1230" w:rsidP="006C6128">
      <w:pPr>
        <w:rPr>
          <w:bCs/>
        </w:rPr>
      </w:pPr>
      <w:ins w:id="3" w:author="Parks, Robbie M" w:date="2018-07-23T16:18:00Z">
        <w:r w:rsidRPr="00677BE9">
          <w:rPr>
            <w:bCs/>
          </w:rPr>
          <w:t xml:space="preserve"> </w:t>
        </w:r>
      </w:ins>
    </w:p>
    <w:p w14:paraId="4035719D" w14:textId="77777777" w:rsidR="006C6128" w:rsidRPr="00677BE9" w:rsidRDefault="006C6128" w:rsidP="006C6128">
      <w:pPr>
        <w:rPr>
          <w:bCs/>
          <w:i/>
        </w:rPr>
      </w:pPr>
      <w:r w:rsidRPr="00677BE9">
        <w:rPr>
          <w:bCs/>
          <w:i/>
        </w:rPr>
        <w:t xml:space="preserve">- Do all age groups have the same cycle, with αpi = αp0? </w:t>
      </w:r>
    </w:p>
    <w:p w14:paraId="785270B6" w14:textId="77777777" w:rsidR="00A74C38" w:rsidRPr="008C10D7" w:rsidRDefault="00A74C38" w:rsidP="006C6128">
      <w:pPr>
        <w:rPr>
          <w:bCs/>
        </w:rPr>
      </w:pPr>
    </w:p>
    <w:p w14:paraId="3619B9CC" w14:textId="4FCE2211" w:rsidR="007658CA" w:rsidRDefault="00930328" w:rsidP="006C6128">
      <w:pPr>
        <w:rPr>
          <w:bCs/>
        </w:rPr>
      </w:pPr>
      <w:r>
        <w:rPr>
          <w:bCs/>
        </w:rPr>
        <w:t xml:space="preserve">We calculated the timing of maximum and minimum mortality using centre of gravity analysis, using </w:t>
      </w:r>
      <w:r w:rsidR="004904A1">
        <w:rPr>
          <w:bCs/>
        </w:rPr>
        <w:t>circular statistics to calculate the mean, and 1000 bootstrap samples to calculate the 95% confidence intervals. We have reporte</w:t>
      </w:r>
      <w:r w:rsidR="00BB44CF">
        <w:rPr>
          <w:bCs/>
        </w:rPr>
        <w:t>d the max</w:t>
      </w:r>
      <w:r w:rsidR="004904A1">
        <w:rPr>
          <w:bCs/>
        </w:rPr>
        <w:t xml:space="preserve">imum and minimum values by age, sex, and cause of death (Figure 3 and Supplementary Figure 2). </w:t>
      </w:r>
    </w:p>
    <w:p w14:paraId="2EA7001E" w14:textId="77777777" w:rsidR="00A74C38" w:rsidRPr="00677BE9" w:rsidRDefault="00A74C38" w:rsidP="006C6128">
      <w:pPr>
        <w:rPr>
          <w:bCs/>
          <w:i/>
        </w:rPr>
      </w:pPr>
    </w:p>
    <w:p w14:paraId="5D545812" w14:textId="3A8AA40B" w:rsidR="006C6128" w:rsidRPr="00677BE9" w:rsidRDefault="006C6128" w:rsidP="006C6128">
      <w:pPr>
        <w:rPr>
          <w:bCs/>
          <w:i/>
        </w:rPr>
      </w:pPr>
      <w:r w:rsidRPr="00677BE9">
        <w:rPr>
          <w:bCs/>
          <w:i/>
        </w:rPr>
        <w:t>- Does γ vary by region (ne</w:t>
      </w:r>
      <w:r w:rsidR="00B23A5B" w:rsidRPr="00677BE9">
        <w:rPr>
          <w:bCs/>
          <w:i/>
        </w:rPr>
        <w:t>gative in cold-climate regions</w:t>
      </w:r>
      <w:r w:rsidR="00821D49">
        <w:rPr>
          <w:bCs/>
          <w:i/>
        </w:rPr>
        <w:t>)</w:t>
      </w:r>
      <w:r w:rsidR="00B23A5B" w:rsidRPr="00677BE9">
        <w:rPr>
          <w:bCs/>
          <w:i/>
        </w:rPr>
        <w:t>?</w:t>
      </w:r>
      <w:r w:rsidRPr="00677BE9">
        <w:rPr>
          <w:bCs/>
          <w:i/>
        </w:rPr>
        <w:t xml:space="preserve"> </w:t>
      </w:r>
    </w:p>
    <w:p w14:paraId="75E12625" w14:textId="77777777" w:rsidR="00B162ED" w:rsidRDefault="00B162ED" w:rsidP="006C6128">
      <w:pPr>
        <w:rPr>
          <w:ins w:id="4" w:author="Parks, Robbie M" w:date="2018-08-03T15:42:00Z"/>
          <w:bCs/>
          <w:i/>
        </w:rPr>
      </w:pPr>
    </w:p>
    <w:p w14:paraId="4096E968" w14:textId="2F976730" w:rsidR="00513796" w:rsidRDefault="002D5E92" w:rsidP="006C6128">
      <w:pPr>
        <w:rPr>
          <w:bCs/>
        </w:rPr>
      </w:pPr>
      <w:r>
        <w:rPr>
          <w:bCs/>
        </w:rPr>
        <w:t>We reported cross-section percent difference by reg</w:t>
      </w:r>
      <w:r w:rsidR="00006864">
        <w:rPr>
          <w:bCs/>
        </w:rPr>
        <w:t xml:space="preserve">ion </w:t>
      </w:r>
      <w:r w:rsidR="00A24284">
        <w:rPr>
          <w:bCs/>
        </w:rPr>
        <w:t>for all-cause death</w:t>
      </w:r>
      <w:r w:rsidR="00A0329E">
        <w:rPr>
          <w:bCs/>
        </w:rPr>
        <w:t>s</w:t>
      </w:r>
      <w:r w:rsidR="00D6407A">
        <w:rPr>
          <w:bCs/>
        </w:rPr>
        <w:t xml:space="preserve"> </w:t>
      </w:r>
      <w:r w:rsidR="00006864">
        <w:rPr>
          <w:bCs/>
        </w:rPr>
        <w:t>(Figure 6)</w:t>
      </w:r>
      <w:r w:rsidR="002C1120">
        <w:rPr>
          <w:bCs/>
        </w:rPr>
        <w:t>, after fi</w:t>
      </w:r>
      <w:r w:rsidR="00CD4036">
        <w:rPr>
          <w:bCs/>
        </w:rPr>
        <w:t>tting</w:t>
      </w:r>
      <w:r w:rsidR="002C1120">
        <w:rPr>
          <w:bCs/>
        </w:rPr>
        <w:t xml:space="preserve"> a linear regression to the time series of seasonal difference in mortality within a year</w:t>
      </w:r>
      <w:r w:rsidR="00006864">
        <w:rPr>
          <w:bCs/>
        </w:rPr>
        <w:t>.</w:t>
      </w:r>
      <w:ins w:id="5" w:author="Parks, Robbie M" w:date="2018-08-03T15:48:00Z">
        <w:r w:rsidR="00494849">
          <w:rPr>
            <w:bCs/>
          </w:rPr>
          <w:t xml:space="preserve"> </w:t>
        </w:r>
      </w:ins>
      <w:r w:rsidR="002C1120">
        <w:rPr>
          <w:bCs/>
        </w:rPr>
        <w:t xml:space="preserve">We </w:t>
      </w:r>
      <w:r w:rsidR="00494849">
        <w:rPr>
          <w:bCs/>
        </w:rPr>
        <w:t>have</w:t>
      </w:r>
      <w:r w:rsidR="002C1120">
        <w:rPr>
          <w:bCs/>
        </w:rPr>
        <w:t xml:space="preserve"> also calculated change in percent difference between 1980 and 2016 by region, shown in the figure below for all-cause mortality</w:t>
      </w:r>
      <w:r w:rsidR="001D0F94">
        <w:rPr>
          <w:bCs/>
        </w:rPr>
        <w:t xml:space="preserve">, though not included in the main paper for the </w:t>
      </w:r>
      <w:r w:rsidR="00A55085">
        <w:rPr>
          <w:bCs/>
        </w:rPr>
        <w:t xml:space="preserve">clarity of the main points </w:t>
      </w:r>
      <w:r w:rsidR="00770338">
        <w:rPr>
          <w:bCs/>
        </w:rPr>
        <w:t>of interest already given</w:t>
      </w:r>
      <w:r w:rsidR="00A55085">
        <w:rPr>
          <w:bCs/>
        </w:rPr>
        <w:t>.</w:t>
      </w:r>
    </w:p>
    <w:p w14:paraId="57FCA454" w14:textId="679994E1" w:rsidR="00513796" w:rsidRDefault="00BD733B" w:rsidP="006C6128">
      <w:pPr>
        <w:rPr>
          <w:bCs/>
          <w:color w:val="FF0000"/>
        </w:rPr>
      </w:pPr>
      <w:r>
        <w:rPr>
          <w:bCs/>
          <w:noProof/>
          <w:lang w:eastAsia="en-GB"/>
        </w:rPr>
        <w:lastRenderedPageBreak/>
        <w:drawing>
          <wp:inline distT="0" distB="0" distL="0" distR="0" wp14:anchorId="7CF3D2C7" wp14:editId="755F6459">
            <wp:extent cx="5740400" cy="4053840"/>
            <wp:effectExtent l="0" t="0" r="0" b="0"/>
            <wp:docPr id="2" name="Picture 2" descr="../../../../../../../output/seasonality_index/regional/seasonality_index_regional_against_national_index_AllCause_1980_2016.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utput/seasonality_index/regional/seasonality_index_regional_against_national_index_AllCause_1980_2016.pd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40400" cy="4053840"/>
                    </a:xfrm>
                    <a:prstGeom prst="rect">
                      <a:avLst/>
                    </a:prstGeom>
                    <a:noFill/>
                    <a:ln>
                      <a:noFill/>
                    </a:ln>
                  </pic:spPr>
                </pic:pic>
              </a:graphicData>
            </a:graphic>
          </wp:inline>
        </w:drawing>
      </w:r>
    </w:p>
    <w:p w14:paraId="07B9E176" w14:textId="1AF6BD3E" w:rsidR="00BD733B" w:rsidRDefault="00BD733B" w:rsidP="00BD733B">
      <w:pPr>
        <w:rPr>
          <w:bCs/>
        </w:rPr>
      </w:pPr>
      <w:r w:rsidRPr="001B2A4F">
        <w:rPr>
          <w:b/>
          <w:bCs/>
        </w:rPr>
        <w:t>Figure</w:t>
      </w:r>
      <w:r>
        <w:rPr>
          <w:bCs/>
        </w:rPr>
        <w:t xml:space="preserve">: </w:t>
      </w:r>
      <w:r>
        <w:rPr>
          <w:color w:val="000000" w:themeColor="text1"/>
        </w:rPr>
        <w:t xml:space="preserve">Regional percent point change </w:t>
      </w:r>
      <w:r w:rsidR="009D1677">
        <w:rPr>
          <w:color w:val="000000" w:themeColor="text1"/>
        </w:rPr>
        <w:t xml:space="preserve">per year </w:t>
      </w:r>
      <w:r w:rsidRPr="00AC73A1">
        <w:rPr>
          <w:color w:val="000000" w:themeColor="text1"/>
        </w:rPr>
        <w:t>in death rates between the maximum and minimum mortality months</w:t>
      </w:r>
      <w:r>
        <w:rPr>
          <w:color w:val="000000" w:themeColor="text1"/>
        </w:rPr>
        <w:t xml:space="preserve"> for all-cause </w:t>
      </w:r>
      <w:r w:rsidRPr="00AC73A1">
        <w:rPr>
          <w:color w:val="000000" w:themeColor="text1"/>
        </w:rPr>
        <w:t>mortality</w:t>
      </w:r>
      <w:r w:rsidDel="00F84E39">
        <w:rPr>
          <w:color w:val="000000" w:themeColor="text1"/>
        </w:rPr>
        <w:t xml:space="preserve"> </w:t>
      </w:r>
      <w:r w:rsidRPr="00AC73A1">
        <w:rPr>
          <w:color w:val="000000" w:themeColor="text1"/>
        </w:rPr>
        <w:t>in 201</w:t>
      </w:r>
      <w:r>
        <w:rPr>
          <w:color w:val="000000" w:themeColor="text1"/>
        </w:rPr>
        <w:t>6</w:t>
      </w:r>
      <w:r w:rsidRPr="00AC73A1">
        <w:rPr>
          <w:color w:val="000000" w:themeColor="text1"/>
        </w:rPr>
        <w:t xml:space="preserve"> versus 1980 by sex and age group</w:t>
      </w:r>
      <w:r w:rsidR="007418D2">
        <w:rPr>
          <w:color w:val="000000" w:themeColor="text1"/>
        </w:rPr>
        <w:t>, coloured by climate region</w:t>
      </w:r>
      <w:r w:rsidRPr="00AC73A1">
        <w:rPr>
          <w:color w:val="000000" w:themeColor="text1"/>
        </w:rPr>
        <w:t>.</w:t>
      </w:r>
      <w:r w:rsidR="00CE5EA3">
        <w:rPr>
          <w:color w:val="000000" w:themeColor="text1"/>
        </w:rPr>
        <w:t xml:space="preserve"> N</w:t>
      </w:r>
      <w:r w:rsidR="0063419E">
        <w:rPr>
          <w:color w:val="000000" w:themeColor="text1"/>
        </w:rPr>
        <w:t>ational</w:t>
      </w:r>
      <w:r w:rsidR="007418D2">
        <w:rPr>
          <w:color w:val="000000" w:themeColor="text1"/>
        </w:rPr>
        <w:t xml:space="preserve"> a</w:t>
      </w:r>
      <w:r w:rsidRPr="00AC73A1">
        <w:rPr>
          <w:color w:val="000000" w:themeColor="text1"/>
        </w:rPr>
        <w:t xml:space="preserve">ge-sex groups </w:t>
      </w:r>
      <w:r w:rsidR="007418D2">
        <w:rPr>
          <w:color w:val="000000" w:themeColor="text1"/>
        </w:rPr>
        <w:t xml:space="preserve">(in black) </w:t>
      </w:r>
      <w:r w:rsidRPr="00AC73A1">
        <w:rPr>
          <w:color w:val="000000" w:themeColor="text1"/>
        </w:rPr>
        <w:t xml:space="preserve">with a </w:t>
      </w:r>
      <w:r>
        <w:rPr>
          <w:color w:val="000000" w:themeColor="text1"/>
        </w:rPr>
        <w:t>p-value less than 0.05</w:t>
      </w:r>
      <w:r w:rsidRPr="00AC73A1">
        <w:rPr>
          <w:color w:val="000000" w:themeColor="text1"/>
        </w:rPr>
        <w:t xml:space="preserve"> are highlighted with a bold pink outline.</w:t>
      </w:r>
    </w:p>
    <w:p w14:paraId="74D3DC6F" w14:textId="77777777" w:rsidR="00B162ED" w:rsidRPr="00BD7CB1" w:rsidRDefault="00B162ED" w:rsidP="006C6128">
      <w:pPr>
        <w:rPr>
          <w:bCs/>
          <w:i/>
          <w:color w:val="FF0000"/>
        </w:rPr>
      </w:pPr>
    </w:p>
    <w:p w14:paraId="07C381AF" w14:textId="77777777" w:rsidR="006C6128" w:rsidRPr="00BD7CB1" w:rsidRDefault="006C6128" w:rsidP="006C6128">
      <w:pPr>
        <w:rPr>
          <w:bCs/>
          <w:i/>
        </w:rPr>
      </w:pPr>
      <w:r w:rsidRPr="00BD7CB1">
        <w:rPr>
          <w:bCs/>
          <w:i/>
        </w:rPr>
        <w:t xml:space="preserve">- Do the cycles, given by the α, vary by region or is a nation-wide cycle sufficient? </w:t>
      </w:r>
    </w:p>
    <w:p w14:paraId="63C77173" w14:textId="77777777" w:rsidR="006C6128" w:rsidRDefault="006C6128" w:rsidP="00E61AB2">
      <w:pPr>
        <w:rPr>
          <w:bCs/>
        </w:rPr>
      </w:pPr>
    </w:p>
    <w:p w14:paraId="70AAB1D1" w14:textId="7329693B" w:rsidR="005D08A3" w:rsidRDefault="005D08A3" w:rsidP="005D08A3">
      <w:pPr>
        <w:rPr>
          <w:bCs/>
        </w:rPr>
      </w:pPr>
      <w:r>
        <w:rPr>
          <w:bCs/>
        </w:rPr>
        <w:t xml:space="preserve">We calculated the </w:t>
      </w:r>
      <w:r w:rsidR="00F72373">
        <w:rPr>
          <w:bCs/>
        </w:rPr>
        <w:t xml:space="preserve">subnational </w:t>
      </w:r>
      <w:r>
        <w:rPr>
          <w:bCs/>
        </w:rPr>
        <w:t>timing of maximum and minimum mortality using centre of gravity analysis</w:t>
      </w:r>
      <w:r w:rsidR="00F72373">
        <w:rPr>
          <w:bCs/>
        </w:rPr>
        <w:t>, as in the national study.</w:t>
      </w:r>
      <w:r>
        <w:rPr>
          <w:bCs/>
        </w:rPr>
        <w:t xml:space="preserve"> </w:t>
      </w:r>
      <w:r w:rsidR="005F6191">
        <w:rPr>
          <w:bCs/>
        </w:rPr>
        <w:t>We have reported the maximum and minimum values by age</w:t>
      </w:r>
      <w:r w:rsidR="0010614D">
        <w:rPr>
          <w:bCs/>
        </w:rPr>
        <w:t xml:space="preserve"> and sex for all-cause death</w:t>
      </w:r>
      <w:r w:rsidR="005F6191">
        <w:rPr>
          <w:bCs/>
        </w:rPr>
        <w:t xml:space="preserve"> (Figure 5).</w:t>
      </w:r>
    </w:p>
    <w:p w14:paraId="7C7AF818" w14:textId="77777777" w:rsidR="00587530" w:rsidRDefault="00587530" w:rsidP="00E61AB2">
      <w:pPr>
        <w:rPr>
          <w:bCs/>
        </w:rPr>
      </w:pPr>
    </w:p>
    <w:p w14:paraId="63224B93" w14:textId="5EC46194" w:rsidR="004278B4" w:rsidRDefault="00317DF6" w:rsidP="00E61AB2">
      <w:pPr>
        <w:rPr>
          <w:bCs/>
        </w:rPr>
      </w:pPr>
      <w:r>
        <w:rPr>
          <w:bCs/>
        </w:rPr>
        <w:t>We have therefore successfully answered</w:t>
      </w:r>
      <w:r w:rsidR="004278B4">
        <w:rPr>
          <w:bCs/>
        </w:rPr>
        <w:t xml:space="preserve"> all the questions posed by the reviewers with o</w:t>
      </w:r>
      <w:r>
        <w:rPr>
          <w:bCs/>
        </w:rPr>
        <w:t>ur current methods in the paper. T</w:t>
      </w:r>
      <w:r w:rsidR="004278B4">
        <w:rPr>
          <w:bCs/>
        </w:rPr>
        <w:t xml:space="preserve">he further inclusion of the wavelet analysis allows greater flexibility </w:t>
      </w:r>
      <w:r>
        <w:rPr>
          <w:bCs/>
        </w:rPr>
        <w:t xml:space="preserve">when compared to the </w:t>
      </w:r>
      <w:r w:rsidR="007F2A40">
        <w:rPr>
          <w:bCs/>
        </w:rPr>
        <w:t xml:space="preserve">model suggested by the reviewer above, as it </w:t>
      </w:r>
      <w:r w:rsidR="00D03055">
        <w:rPr>
          <w:bCs/>
        </w:rPr>
        <w:t xml:space="preserve">provides a robust framework for </w:t>
      </w:r>
      <w:r w:rsidR="00587530">
        <w:rPr>
          <w:bCs/>
        </w:rPr>
        <w:t xml:space="preserve">an investigation into the dynamics of seasonal behaviour across </w:t>
      </w:r>
      <w:r w:rsidR="00150AC8">
        <w:rPr>
          <w:bCs/>
        </w:rPr>
        <w:t>time without assuming only 6- and 12-month periodicity.</w:t>
      </w:r>
    </w:p>
    <w:p w14:paraId="46009343" w14:textId="77777777" w:rsidR="007658CA" w:rsidRDefault="007658CA" w:rsidP="00E61AB2">
      <w:pPr>
        <w:rPr>
          <w:ins w:id="6" w:author="Ezzati, Majid" w:date="2018-07-27T12:39:00Z"/>
          <w:bCs/>
        </w:rPr>
      </w:pPr>
    </w:p>
    <w:p w14:paraId="7AFD118E" w14:textId="2E3C22CA" w:rsidR="007658CA" w:rsidRDefault="00F56564" w:rsidP="00E61AB2">
      <w:pPr>
        <w:rPr>
          <w:bCs/>
        </w:rPr>
      </w:pPr>
      <w:r>
        <w:rPr>
          <w:bCs/>
        </w:rPr>
        <w:t>W</w:t>
      </w:r>
      <w:r w:rsidR="007658CA">
        <w:rPr>
          <w:bCs/>
        </w:rPr>
        <w:t xml:space="preserve">e </w:t>
      </w:r>
      <w:r w:rsidR="00150AC8">
        <w:rPr>
          <w:bCs/>
        </w:rPr>
        <w:t xml:space="preserve">have </w:t>
      </w:r>
      <w:r w:rsidR="007658CA">
        <w:rPr>
          <w:bCs/>
        </w:rPr>
        <w:t>nonetheless implemented the approach above</w:t>
      </w:r>
      <w:r w:rsidR="007F2A40">
        <w:rPr>
          <w:bCs/>
        </w:rPr>
        <w:t xml:space="preserve">, with results given for </w:t>
      </w:r>
      <w:r w:rsidR="00150AC8">
        <w:rPr>
          <w:bCs/>
        </w:rPr>
        <w:t xml:space="preserve">change in </w:t>
      </w:r>
      <w:r w:rsidR="007F2A40">
        <w:rPr>
          <w:bCs/>
        </w:rPr>
        <w:t xml:space="preserve">percentage point difference </w:t>
      </w:r>
      <w:r w:rsidR="00150AC8">
        <w:rPr>
          <w:bCs/>
        </w:rPr>
        <w:t xml:space="preserve">for all-cause deaths </w:t>
      </w:r>
      <w:r w:rsidR="007F2A40">
        <w:rPr>
          <w:bCs/>
        </w:rPr>
        <w:t>in</w:t>
      </w:r>
      <w:r w:rsidR="00150AC8">
        <w:rPr>
          <w:bCs/>
        </w:rPr>
        <w:t xml:space="preserve"> the table below</w:t>
      </w:r>
      <w:r w:rsidR="006C34B3">
        <w:rPr>
          <w:bCs/>
        </w:rPr>
        <w:t xml:space="preserve"> [[to include]]</w:t>
      </w:r>
      <w:ins w:id="7" w:author="Parks, Robbie M" w:date="2018-08-03T16:18:00Z">
        <w:r w:rsidR="008A7E0A">
          <w:rPr>
            <w:bCs/>
          </w:rPr>
          <w:t xml:space="preserve">. </w:t>
        </w:r>
      </w:ins>
      <w:r w:rsidR="008A7E0A">
        <w:rPr>
          <w:bCs/>
        </w:rPr>
        <w:t xml:space="preserve">Several of the parameters above (e.g. </w:t>
      </w:r>
      <w:r w:rsidR="00412DB0">
        <w:rPr>
          <w:bCs/>
        </w:rPr>
        <w:t xml:space="preserve">the </w:t>
      </w:r>
      <w:r w:rsidR="00412DB0">
        <w:rPr>
          <w:bCs/>
        </w:rPr>
        <w:sym w:font="Symbol" w:char="F072"/>
      </w:r>
      <w:r w:rsidR="00412DB0">
        <w:rPr>
          <w:bCs/>
        </w:rPr>
        <w:t xml:space="preserve">, </w:t>
      </w:r>
      <w:r w:rsidR="00412DB0">
        <w:rPr>
          <w:bCs/>
        </w:rPr>
        <w:sym w:font="Symbol" w:char="F067"/>
      </w:r>
      <w:r w:rsidR="00412DB0">
        <w:rPr>
          <w:bCs/>
        </w:rPr>
        <w:t xml:space="preserve">, and </w:t>
      </w:r>
      <w:r w:rsidR="00412DB0">
        <w:rPr>
          <w:bCs/>
        </w:rPr>
        <w:sym w:font="Symbol" w:char="F061"/>
      </w:r>
      <w:r w:rsidR="00412DB0">
        <w:rPr>
          <w:bCs/>
        </w:rPr>
        <w:t xml:space="preserve"> terms) are difficult to interpret, as the</w:t>
      </w:r>
      <w:r w:rsidR="00FB614F">
        <w:rPr>
          <w:bCs/>
        </w:rPr>
        <w:t>y</w:t>
      </w:r>
      <w:r w:rsidR="00412DB0">
        <w:rPr>
          <w:bCs/>
        </w:rPr>
        <w:t xml:space="preserve"> produce interaction terms in the results. In addition, the interpretation of </w:t>
      </w:r>
      <w:r w:rsidR="00412DB0">
        <w:rPr>
          <w:bCs/>
        </w:rPr>
        <w:sym w:font="Symbol" w:char="F067"/>
      </w:r>
      <w:r w:rsidR="00412DB0">
        <w:rPr>
          <w:bCs/>
        </w:rPr>
        <w:t xml:space="preserve"> is also dependant on the sign of </w:t>
      </w:r>
      <w:r w:rsidR="00412DB0">
        <w:rPr>
          <w:bCs/>
        </w:rPr>
        <w:sym w:font="Symbol" w:char="F061"/>
      </w:r>
      <w:r w:rsidR="00412DB0">
        <w:rPr>
          <w:bCs/>
        </w:rPr>
        <w:t xml:space="preserve">, as, for example, a negative value of </w:t>
      </w:r>
      <w:r w:rsidR="00412DB0">
        <w:rPr>
          <w:bCs/>
        </w:rPr>
        <w:sym w:font="Symbol" w:char="F061"/>
      </w:r>
      <w:r w:rsidR="00412DB0">
        <w:rPr>
          <w:bCs/>
        </w:rPr>
        <w:t xml:space="preserve"> with a negative value of </w:t>
      </w:r>
      <w:r w:rsidR="00412DB0">
        <w:rPr>
          <w:bCs/>
        </w:rPr>
        <w:sym w:font="Symbol" w:char="F067"/>
      </w:r>
      <w:r w:rsidR="00412DB0">
        <w:rPr>
          <w:bCs/>
        </w:rPr>
        <w:t xml:space="preserve"> indicates the percentage difference between maximum and minimum mortality is increasing, whereas a positive value of </w:t>
      </w:r>
      <w:r w:rsidR="00412DB0">
        <w:rPr>
          <w:bCs/>
        </w:rPr>
        <w:sym w:font="Symbol" w:char="F061"/>
      </w:r>
      <w:r w:rsidR="00412DB0">
        <w:rPr>
          <w:bCs/>
        </w:rPr>
        <w:t xml:space="preserve"> with a negative value of </w:t>
      </w:r>
      <w:r w:rsidR="00412DB0">
        <w:rPr>
          <w:bCs/>
        </w:rPr>
        <w:sym w:font="Symbol" w:char="F067"/>
      </w:r>
      <w:r w:rsidR="00412DB0">
        <w:rPr>
          <w:bCs/>
        </w:rPr>
        <w:t xml:space="preserve"> indicates that the </w:t>
      </w:r>
      <w:r w:rsidR="00933338">
        <w:rPr>
          <w:bCs/>
        </w:rPr>
        <w:t>percentage difference between maximum and minimum mortality is decreasing.</w:t>
      </w:r>
    </w:p>
    <w:p w14:paraId="4036712F" w14:textId="77777777" w:rsidR="00412DB0" w:rsidRDefault="00412DB0" w:rsidP="00E61AB2">
      <w:pPr>
        <w:rPr>
          <w:bCs/>
        </w:rPr>
      </w:pPr>
    </w:p>
    <w:p w14:paraId="274327B9" w14:textId="77777777" w:rsidR="00D02BB5" w:rsidRDefault="00D02BB5" w:rsidP="00E61AB2">
      <w:pPr>
        <w:rPr>
          <w:b/>
          <w:bCs/>
        </w:rPr>
      </w:pPr>
      <w:r w:rsidRPr="00BD0E87">
        <w:rPr>
          <w:b/>
          <w:bCs/>
        </w:rPr>
        <w:lastRenderedPageBreak/>
        <w:t xml:space="preserve">B) The approach is different to a number of those referenced (particularly the standard measure of excess winter deaths). It would be helpful to have some comment on this, particularly the generalisability to other studies. The focus has been on peak months in this analysis, but the standard assessment of excess winter deaths is to compare December to March months to the rest of the year. </w:t>
      </w:r>
    </w:p>
    <w:p w14:paraId="34316467" w14:textId="77777777" w:rsidR="000A3852" w:rsidRDefault="000A3852" w:rsidP="00E61AB2">
      <w:pPr>
        <w:rPr>
          <w:b/>
          <w:bCs/>
        </w:rPr>
      </w:pPr>
    </w:p>
    <w:p w14:paraId="5D900B6A" w14:textId="5758B46F" w:rsidR="000A3852" w:rsidRDefault="000A3852" w:rsidP="00E61AB2">
      <w:pPr>
        <w:rPr>
          <w:bCs/>
        </w:rPr>
      </w:pPr>
      <w:r>
        <w:rPr>
          <w:bCs/>
        </w:rPr>
        <w:t xml:space="preserve">We </w:t>
      </w:r>
      <w:r w:rsidR="0030793D">
        <w:rPr>
          <w:bCs/>
        </w:rPr>
        <w:t xml:space="preserve">have </w:t>
      </w:r>
      <w:r>
        <w:rPr>
          <w:bCs/>
        </w:rPr>
        <w:t>avoided the term Excess Winter Deaths (EWDs)</w:t>
      </w:r>
      <w:r w:rsidR="0030793D">
        <w:rPr>
          <w:bCs/>
        </w:rPr>
        <w:t xml:space="preserve"> because the latter assumes higher deaths in</w:t>
      </w:r>
      <w:r>
        <w:rPr>
          <w:bCs/>
        </w:rPr>
        <w:t xml:space="preserve"> winter than in the summer</w:t>
      </w:r>
      <w:r w:rsidR="0030793D">
        <w:rPr>
          <w:bCs/>
        </w:rPr>
        <w:t>, and requires a priori decisions about which months to include in “winter” and “summer”. Our empirical results show that peak mortality not only varies from age group to age group or cause by cause, but also can in the extreme take place in summer</w:t>
      </w:r>
      <w:r w:rsidR="00825700">
        <w:rPr>
          <w:bCs/>
        </w:rPr>
        <w:t xml:space="preserve">, </w:t>
      </w:r>
      <w:r w:rsidR="0030793D">
        <w:rPr>
          <w:bCs/>
        </w:rPr>
        <w:t>e.g., for young adult males</w:t>
      </w:r>
      <w:r>
        <w:rPr>
          <w:bCs/>
        </w:rPr>
        <w:t>. We have</w:t>
      </w:r>
      <w:r w:rsidR="0030793D">
        <w:rPr>
          <w:bCs/>
        </w:rPr>
        <w:t xml:space="preserve"> </w:t>
      </w:r>
      <w:r w:rsidR="000F5FF2">
        <w:rPr>
          <w:bCs/>
        </w:rPr>
        <w:t>added a brief overview of</w:t>
      </w:r>
      <w:r w:rsidR="00F63ABE">
        <w:rPr>
          <w:bCs/>
        </w:rPr>
        <w:t xml:space="preserve"> EWDs</w:t>
      </w:r>
      <w:r w:rsidR="000F5FF2">
        <w:rPr>
          <w:bCs/>
        </w:rPr>
        <w:t>, and why an empirical approach like ours is preferred to its strong assumptions</w:t>
      </w:r>
      <w:r>
        <w:rPr>
          <w:bCs/>
        </w:rPr>
        <w:t xml:space="preserve"> </w:t>
      </w:r>
      <w:r w:rsidR="000F5FF2">
        <w:rPr>
          <w:bCs/>
        </w:rPr>
        <w:t>(</w:t>
      </w:r>
      <w:r w:rsidR="0070750E">
        <w:rPr>
          <w:bCs/>
        </w:rPr>
        <w:t>P.</w:t>
      </w:r>
      <w:r w:rsidR="00F63ABE">
        <w:rPr>
          <w:bCs/>
        </w:rPr>
        <w:t xml:space="preserve"> XX</w:t>
      </w:r>
      <w:r w:rsidR="000F5FF2">
        <w:rPr>
          <w:bCs/>
        </w:rPr>
        <w:t>)</w:t>
      </w:r>
      <w:r w:rsidR="00F63ABE">
        <w:rPr>
          <w:bCs/>
        </w:rPr>
        <w:t>.</w:t>
      </w:r>
    </w:p>
    <w:p w14:paraId="06164D35" w14:textId="77777777" w:rsidR="00BD0E87" w:rsidRPr="00D02BB5" w:rsidRDefault="00BD0E87" w:rsidP="00E61AB2">
      <w:pPr>
        <w:rPr>
          <w:bCs/>
        </w:rPr>
      </w:pPr>
    </w:p>
    <w:p w14:paraId="7D11BBD3" w14:textId="77777777" w:rsidR="00D02BB5" w:rsidRPr="00C14A58" w:rsidRDefault="00D02BB5" w:rsidP="00E61AB2">
      <w:pPr>
        <w:rPr>
          <w:b/>
          <w:bCs/>
        </w:rPr>
      </w:pPr>
      <w:r w:rsidRPr="00C14A58">
        <w:rPr>
          <w:b/>
          <w:bCs/>
        </w:rPr>
        <w:t xml:space="preserve">C) Appropriate rationale was given to the regional splits used in the analysis. However no description was given of the characteristics of these regional areas other than subsequent information on temperatures. As pointed out there could be a number of factors that are important. I would expect some reference to their differing characteristics. </w:t>
      </w:r>
    </w:p>
    <w:p w14:paraId="2C5F846A" w14:textId="3FB26C5E" w:rsidR="00D02BB5" w:rsidRDefault="00D02BB5" w:rsidP="00E61AB2">
      <w:pPr>
        <w:rPr>
          <w:bCs/>
        </w:rPr>
      </w:pPr>
    </w:p>
    <w:p w14:paraId="3AF42731" w14:textId="3D9E6800" w:rsidR="00BD0E87" w:rsidRDefault="00BD0E87" w:rsidP="00E61AB2">
      <w:pPr>
        <w:rPr>
          <w:bCs/>
        </w:rPr>
      </w:pPr>
      <w:r>
        <w:rPr>
          <w:bCs/>
        </w:rPr>
        <w:t>A fair comment and addressed in the revised manuscript</w:t>
      </w:r>
      <w:r w:rsidR="00C14A58">
        <w:rPr>
          <w:bCs/>
        </w:rPr>
        <w:t xml:space="preserve"> by providing an overview of the characteristics of the r</w:t>
      </w:r>
      <w:r w:rsidR="006D1920">
        <w:rPr>
          <w:bCs/>
        </w:rPr>
        <w:t>e</w:t>
      </w:r>
      <w:r w:rsidR="00C14A58">
        <w:rPr>
          <w:bCs/>
        </w:rPr>
        <w:t>gions</w:t>
      </w:r>
      <w:r>
        <w:rPr>
          <w:bCs/>
        </w:rPr>
        <w:t xml:space="preserve"> (P. </w:t>
      </w:r>
      <w:r w:rsidR="0070750E">
        <w:rPr>
          <w:bCs/>
        </w:rPr>
        <w:t>XX</w:t>
      </w:r>
      <w:r w:rsidR="00BA7F9D">
        <w:rPr>
          <w:bCs/>
        </w:rPr>
        <w:t xml:space="preserve"> and Table </w:t>
      </w:r>
      <w:r w:rsidR="00A752CF">
        <w:rPr>
          <w:bCs/>
        </w:rPr>
        <w:t>2</w:t>
      </w:r>
      <w:r>
        <w:rPr>
          <w:bCs/>
        </w:rPr>
        <w:t>).</w:t>
      </w:r>
    </w:p>
    <w:p w14:paraId="6C9DEB4E" w14:textId="77777777" w:rsidR="00BD0E87" w:rsidRPr="00D02BB5" w:rsidRDefault="00BD0E87" w:rsidP="00E61AB2">
      <w:pPr>
        <w:rPr>
          <w:bCs/>
        </w:rPr>
      </w:pPr>
    </w:p>
    <w:p w14:paraId="6767AC99" w14:textId="77777777" w:rsidR="00D02BB5" w:rsidRPr="006D1920" w:rsidRDefault="00D02BB5" w:rsidP="00E61AB2">
      <w:pPr>
        <w:rPr>
          <w:b/>
          <w:bCs/>
        </w:rPr>
      </w:pPr>
      <w:r w:rsidRPr="006D1920">
        <w:rPr>
          <w:b/>
          <w:bCs/>
        </w:rPr>
        <w:t xml:space="preserve">4) Interpretation: </w:t>
      </w:r>
    </w:p>
    <w:p w14:paraId="0F555E79" w14:textId="77777777" w:rsidR="00D02BB5" w:rsidRPr="006D1920" w:rsidRDefault="00D02BB5" w:rsidP="00E61AB2">
      <w:pPr>
        <w:rPr>
          <w:b/>
          <w:bCs/>
        </w:rPr>
      </w:pPr>
    </w:p>
    <w:p w14:paraId="59160938" w14:textId="77777777" w:rsidR="00D02BB5" w:rsidRPr="006D1920" w:rsidRDefault="00D02BB5" w:rsidP="00E61AB2">
      <w:pPr>
        <w:rPr>
          <w:b/>
          <w:bCs/>
        </w:rPr>
      </w:pPr>
      <w:r w:rsidRPr="006D1920">
        <w:rPr>
          <w:b/>
          <w:bCs/>
        </w:rPr>
        <w:t xml:space="preserve">A) No table is presented with descriptive statistics, i.e. on the sample size of cases that fall into each disease category. </w:t>
      </w:r>
    </w:p>
    <w:p w14:paraId="3D6C8B33" w14:textId="1CBD2DDC" w:rsidR="00D02BB5" w:rsidRDefault="00D02BB5" w:rsidP="00E61AB2">
      <w:pPr>
        <w:rPr>
          <w:bCs/>
        </w:rPr>
      </w:pPr>
    </w:p>
    <w:p w14:paraId="20951A94" w14:textId="548259DA" w:rsidR="006D1920" w:rsidRDefault="006D1920" w:rsidP="00C13011">
      <w:pPr>
        <w:outlineLvl w:val="0"/>
        <w:rPr>
          <w:bCs/>
        </w:rPr>
      </w:pPr>
      <w:r>
        <w:rPr>
          <w:bCs/>
        </w:rPr>
        <w:t>We have added a table of descriptive statistics (Table</w:t>
      </w:r>
      <w:r w:rsidR="00C13780">
        <w:rPr>
          <w:bCs/>
        </w:rPr>
        <w:t xml:space="preserve"> 1</w:t>
      </w:r>
      <w:r>
        <w:rPr>
          <w:bCs/>
        </w:rPr>
        <w:t>).</w:t>
      </w:r>
    </w:p>
    <w:p w14:paraId="34584CBB" w14:textId="77777777" w:rsidR="006D1920" w:rsidRPr="00D02BB5" w:rsidRDefault="006D1920" w:rsidP="00E61AB2">
      <w:pPr>
        <w:rPr>
          <w:bCs/>
        </w:rPr>
      </w:pPr>
    </w:p>
    <w:p w14:paraId="082505E9" w14:textId="77777777" w:rsidR="00D02BB5" w:rsidRPr="006D1920" w:rsidRDefault="00D02BB5" w:rsidP="00E61AB2">
      <w:pPr>
        <w:rPr>
          <w:b/>
          <w:bCs/>
        </w:rPr>
      </w:pPr>
      <w:r w:rsidRPr="006D1920">
        <w:rPr>
          <w:b/>
          <w:bCs/>
        </w:rPr>
        <w:t xml:space="preserve">B) I may be misreading the paper (in which case it would be helpful to clarify so others do not make the same mistake), however the analysis in figure 6 compares the difference in temperature experienced in those regions between the warmest and coldest months versus the % seasonal difference in death. In the discussion this in contrasted with findings from Europe where countries with a more temperate winter have, paradoxically, higher rates of excess winter mortality. However this is not an appropriate direct comparison, regional extremes in variation were not looked at when comparisons between countries are made. This does not invalidate the comparison but it would be helpful to explicitly summarise if there are any differences between regions and examine what those are, </w:t>
      </w:r>
    </w:p>
    <w:p w14:paraId="0F608215" w14:textId="247FF14B" w:rsidR="00D02BB5" w:rsidRDefault="00D02BB5" w:rsidP="00E61AB2">
      <w:pPr>
        <w:rPr>
          <w:bCs/>
        </w:rPr>
      </w:pPr>
    </w:p>
    <w:p w14:paraId="0B8D1C95" w14:textId="19244540" w:rsidR="00DC0E3F" w:rsidRDefault="00BE0B8B" w:rsidP="0003425D">
      <w:pPr>
        <w:rPr>
          <w:bCs/>
        </w:rPr>
      </w:pPr>
      <w:r>
        <w:rPr>
          <w:bCs/>
        </w:rPr>
        <w:t>A fair comment and address</w:t>
      </w:r>
      <w:r w:rsidR="00554D06">
        <w:rPr>
          <w:bCs/>
        </w:rPr>
        <w:t xml:space="preserve">ed </w:t>
      </w:r>
      <w:r>
        <w:rPr>
          <w:bCs/>
        </w:rPr>
        <w:t xml:space="preserve">in the </w:t>
      </w:r>
      <w:r w:rsidR="00B71F4E">
        <w:rPr>
          <w:bCs/>
        </w:rPr>
        <w:t>revised manuscript in the discussion</w:t>
      </w:r>
      <w:r>
        <w:rPr>
          <w:bCs/>
        </w:rPr>
        <w:t xml:space="preserve">. </w:t>
      </w:r>
      <w:r w:rsidR="007103CF">
        <w:rPr>
          <w:bCs/>
        </w:rPr>
        <w:t xml:space="preserve">Specifically, the European papers that we had cited </w:t>
      </w:r>
      <w:r w:rsidR="007103CF">
        <w:rPr>
          <w:bCs/>
        </w:rPr>
        <w:fldChar w:fldCharType="begin" w:fldLock="1"/>
      </w:r>
      <w:r w:rsidR="00627F9F">
        <w:rPr>
          <w:bCs/>
        </w:rPr>
        <w:instrText>ADDIN CSL_CITATION {"citationItems":[{"id":"ITEM-1","itemData":{"DOI":"10.1093/eurpub/cku073","ISBN":"1464-360X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Health","id":"ITEM-1","issue":"2","issued":{"date-parts":[["2015"]]},"page":"339-345","title":"Excess winter deaths in Europe: A multi-country descriptive analysis","type":"article-journal","volume":"25"},"uris":["http://www.mendeley.com/documents/?uuid=b30766a9-cdc0-41a0-95d8-1ca7a2391ddd"]},{"id":"ITEM-2","itemData":{"DOI":"10.1136/jech.57.10.784","ISBN":"0143-005X","ISSN":"0143005X","PMID":"14573581","abstract":"OBJECTIVE: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Epidemiology","id":"ITEM-3","issue":"2","issued":{"date-parts":[["1989"]]},"page":"178-182","title":"Deaths in winter: Can Britain learn from Europe?","type":"article-journal","volume":"5"},"uris":["http://www.mendeley.com/documents/?uuid=3cd840a5-addb-4d68-9dcf-039d2f2f1220"]}],"mendeley":{"formattedCitation":"(Fowler et al., 2015; Healy, 2003; McKee, 1989)","plainTextFormattedCitation":"(Fowler et al., 2015; Healy, 2003; McKee, 1989)","previouslyFormattedCitation":"(Fowler et al., 2015; Healy, 2003; McKee, 1989)"},"properties":{"noteIndex":0},"schema":"https://github.com/citation-style-language/schema/raw/master/csl-citation.json"}</w:instrText>
      </w:r>
      <w:r w:rsidR="007103CF">
        <w:rPr>
          <w:bCs/>
        </w:rPr>
        <w:fldChar w:fldCharType="separate"/>
      </w:r>
      <w:r w:rsidR="007103CF" w:rsidRPr="003A105F">
        <w:rPr>
          <w:bCs/>
          <w:noProof/>
        </w:rPr>
        <w:t>(Fowler et al., 2015; Healy, 2003; McKee, 1989)</w:t>
      </w:r>
      <w:r w:rsidR="007103CF">
        <w:rPr>
          <w:bCs/>
        </w:rPr>
        <w:fldChar w:fldCharType="end"/>
      </w:r>
      <w:r w:rsidR="007103CF">
        <w:rPr>
          <w:bCs/>
        </w:rPr>
        <w:t xml:space="preserve"> had based their comparison on annual mean temperature whereas ours was based on the temperature range. We have clarified this distinction in the revised Discussion, noting that the two temperature metrics are correlated (see Figure below).</w:t>
      </w:r>
    </w:p>
    <w:p w14:paraId="5C4BCC08" w14:textId="095B5D50" w:rsidR="007103CF" w:rsidRDefault="00200430" w:rsidP="0003425D">
      <w:pPr>
        <w:rPr>
          <w:bCs/>
        </w:rPr>
      </w:pPr>
      <w:r w:rsidRPr="00E30376">
        <w:rPr>
          <w:bCs/>
          <w:noProof/>
          <w:lang w:eastAsia="en-GB"/>
        </w:rPr>
        <w:lastRenderedPageBreak/>
        <w:drawing>
          <wp:inline distT="0" distB="0" distL="0" distR="0" wp14:anchorId="0463FDFF" wp14:editId="40F7B079">
            <wp:extent cx="5740400" cy="4053840"/>
            <wp:effectExtent l="0" t="0" r="0" b="0"/>
            <wp:docPr id="1" name="Picture 1" descr="../../../../../../../../../../climate/countries/USA/output/seasonality_index_against_mean/t2m/mean/comparison_of_mean_against_range_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imate/countries/USA/output/seasonality_index_against_mean/t2m/mean/comparison_of_mean_against_range_19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40400" cy="4053840"/>
                    </a:xfrm>
                    <a:prstGeom prst="rect">
                      <a:avLst/>
                    </a:prstGeom>
                    <a:noFill/>
                    <a:ln>
                      <a:noFill/>
                    </a:ln>
                  </pic:spPr>
                </pic:pic>
              </a:graphicData>
            </a:graphic>
          </wp:inline>
        </w:drawing>
      </w:r>
    </w:p>
    <w:p w14:paraId="2DD4413B" w14:textId="1C2FC410" w:rsidR="007103CF" w:rsidRDefault="007103CF" w:rsidP="0003425D">
      <w:pPr>
        <w:rPr>
          <w:bCs/>
        </w:rPr>
      </w:pPr>
      <w:r>
        <w:rPr>
          <w:bCs/>
        </w:rPr>
        <w:t xml:space="preserve">Figure: The relationship between annual mean temperature (used in European papers) and temperature range between maximum and minimum mortality months (used in our paper). </w:t>
      </w:r>
    </w:p>
    <w:p w14:paraId="62437E46" w14:textId="77777777" w:rsidR="0002089D" w:rsidRDefault="0002089D" w:rsidP="0003425D">
      <w:pPr>
        <w:rPr>
          <w:bCs/>
        </w:rPr>
      </w:pPr>
    </w:p>
    <w:p w14:paraId="7CC183C7" w14:textId="3F8E77AD" w:rsidR="006D1920" w:rsidRDefault="00D02BB5" w:rsidP="00E61AB2">
      <w:pPr>
        <w:rPr>
          <w:b/>
          <w:bCs/>
        </w:rPr>
      </w:pPr>
      <w:r w:rsidRPr="006D1920">
        <w:rPr>
          <w:b/>
          <w:bCs/>
        </w:rPr>
        <w:t xml:space="preserve">C) One option for this paper would be to be admittedly exploratory, avoiding the use of the word 'significant' and simplifying the analysis. Simple monthly averages and testing for the months having the same mean could replace the wavelet analysis. A second option would be to focus on a specific research hypothesis, explain carefully how the model estimates relate to this research hypothesis, and adjust the p-values for multiple testing. </w:t>
      </w:r>
    </w:p>
    <w:p w14:paraId="4C67630D" w14:textId="19E4A3ED" w:rsidR="006D1920" w:rsidRDefault="006D1920" w:rsidP="00E61AB2">
      <w:pPr>
        <w:rPr>
          <w:bCs/>
        </w:rPr>
      </w:pPr>
    </w:p>
    <w:p w14:paraId="737172FE" w14:textId="00711C2F" w:rsidR="0084489A" w:rsidRDefault="00A918ED" w:rsidP="00E61AB2">
      <w:pPr>
        <w:rPr>
          <w:bCs/>
        </w:rPr>
      </w:pPr>
      <w:r>
        <w:rPr>
          <w:bCs/>
        </w:rPr>
        <w:t xml:space="preserve">As above, </w:t>
      </w:r>
      <w:r w:rsidR="00367C69">
        <w:rPr>
          <w:bCs/>
        </w:rPr>
        <w:t>w</w:t>
      </w:r>
      <w:r>
        <w:rPr>
          <w:bCs/>
        </w:rPr>
        <w:t>avelet analysis</w:t>
      </w:r>
      <w:r w:rsidR="00367C69">
        <w:rPr>
          <w:bCs/>
        </w:rPr>
        <w:t>,</w:t>
      </w:r>
      <w:r>
        <w:rPr>
          <w:bCs/>
        </w:rPr>
        <w:t xml:space="preserve"> the subsequent step</w:t>
      </w:r>
      <w:r w:rsidR="00BD521E">
        <w:rPr>
          <w:bCs/>
        </w:rPr>
        <w:t>s</w:t>
      </w:r>
      <w:r>
        <w:rPr>
          <w:bCs/>
        </w:rPr>
        <w:t xml:space="preserve"> of </w:t>
      </w:r>
      <w:r w:rsidR="00367C69">
        <w:rPr>
          <w:bCs/>
        </w:rPr>
        <w:t xml:space="preserve">centre-of-gravity analysis to identify peak and minimum mortality months, and </w:t>
      </w:r>
      <w:r w:rsidR="00C66403">
        <w:rPr>
          <w:bCs/>
        </w:rPr>
        <w:t>estimation</w:t>
      </w:r>
      <w:r w:rsidR="00367C69">
        <w:rPr>
          <w:bCs/>
        </w:rPr>
        <w:t xml:space="preserve"> of changes in seasonal mortality range are all formal analyses.</w:t>
      </w:r>
      <w:r w:rsidR="00097BC9">
        <w:rPr>
          <w:bCs/>
        </w:rPr>
        <w:t xml:space="preserve"> We </w:t>
      </w:r>
      <w:r w:rsidR="00F40365">
        <w:rPr>
          <w:bCs/>
        </w:rPr>
        <w:t>quote</w:t>
      </w:r>
      <w:r w:rsidR="00097BC9">
        <w:rPr>
          <w:bCs/>
        </w:rPr>
        <w:t xml:space="preserve"> p-values in results, as opposed to setting a</w:t>
      </w:r>
      <w:r w:rsidR="00C73D9A">
        <w:rPr>
          <w:bCs/>
        </w:rPr>
        <w:t>n explicit</w:t>
      </w:r>
      <w:r w:rsidR="00097BC9">
        <w:rPr>
          <w:bCs/>
        </w:rPr>
        <w:t xml:space="preserve"> threshold for significance.</w:t>
      </w:r>
      <w:r w:rsidR="00D7295C">
        <w:rPr>
          <w:bCs/>
        </w:rPr>
        <w:t xml:space="preserve"> &lt;&lt;CHECK IN CASE OF ADJUSTMENT ON P-VALUE</w:t>
      </w:r>
      <w:bookmarkStart w:id="8" w:name="_GoBack"/>
      <w:bookmarkEnd w:id="8"/>
      <w:r w:rsidR="00D7295C">
        <w:rPr>
          <w:bCs/>
        </w:rPr>
        <w:t>&gt;&gt;</w:t>
      </w:r>
    </w:p>
    <w:p w14:paraId="53E468E1" w14:textId="77777777" w:rsidR="0084489A" w:rsidRPr="00D02BB5" w:rsidRDefault="0084489A" w:rsidP="00E61AB2">
      <w:pPr>
        <w:rPr>
          <w:bCs/>
        </w:rPr>
      </w:pPr>
    </w:p>
    <w:p w14:paraId="46D7E281" w14:textId="77777777" w:rsidR="00D02BB5" w:rsidRPr="006D1920" w:rsidRDefault="00D02BB5" w:rsidP="00C13011">
      <w:pPr>
        <w:outlineLvl w:val="0"/>
        <w:rPr>
          <w:b/>
          <w:bCs/>
        </w:rPr>
      </w:pPr>
      <w:r w:rsidRPr="006D1920">
        <w:rPr>
          <w:b/>
          <w:bCs/>
        </w:rPr>
        <w:t xml:space="preserve">MINOR POINTS: </w:t>
      </w:r>
    </w:p>
    <w:p w14:paraId="6319585C" w14:textId="77777777" w:rsidR="00D02BB5" w:rsidRPr="006D1920" w:rsidRDefault="00D02BB5" w:rsidP="00E61AB2">
      <w:pPr>
        <w:rPr>
          <w:b/>
          <w:bCs/>
        </w:rPr>
      </w:pPr>
    </w:p>
    <w:p w14:paraId="3F169913" w14:textId="77777777" w:rsidR="00D779EA" w:rsidRDefault="00D02BB5" w:rsidP="00E61AB2">
      <w:pPr>
        <w:rPr>
          <w:b/>
          <w:bCs/>
        </w:rPr>
      </w:pPr>
      <w:r w:rsidRPr="006D1920">
        <w:rPr>
          <w:b/>
          <w:bCs/>
        </w:rPr>
        <w:t>There are various grammatical issues in the manuscript, it could benefit from a further proof reading.</w:t>
      </w:r>
    </w:p>
    <w:p w14:paraId="2277DBA5" w14:textId="77777777" w:rsidR="00D779EA" w:rsidRDefault="00D779EA" w:rsidP="00E61AB2">
      <w:pPr>
        <w:rPr>
          <w:b/>
          <w:bCs/>
        </w:rPr>
      </w:pPr>
    </w:p>
    <w:p w14:paraId="5E5FB808" w14:textId="2060C841" w:rsidR="00D02BB5" w:rsidRPr="00CD148A" w:rsidRDefault="00367C69" w:rsidP="00E61AB2">
      <w:pPr>
        <w:rPr>
          <w:bCs/>
        </w:rPr>
      </w:pPr>
      <w:r>
        <w:rPr>
          <w:bCs/>
        </w:rPr>
        <w:t>W</w:t>
      </w:r>
      <w:r w:rsidR="00D779EA">
        <w:rPr>
          <w:bCs/>
        </w:rPr>
        <w:t xml:space="preserve">e have </w:t>
      </w:r>
      <w:r>
        <w:rPr>
          <w:bCs/>
        </w:rPr>
        <w:t xml:space="preserve">read the paper carefully to find and correct editorial issues, and of course welcome suggestions for specific corrections. </w:t>
      </w:r>
    </w:p>
    <w:p w14:paraId="1923F95A" w14:textId="77777777" w:rsidR="00D02BB5" w:rsidRPr="006D1920" w:rsidRDefault="00D02BB5" w:rsidP="00E61AB2">
      <w:pPr>
        <w:rPr>
          <w:b/>
          <w:bCs/>
        </w:rPr>
      </w:pPr>
    </w:p>
    <w:p w14:paraId="1421C17F" w14:textId="77777777" w:rsidR="00D02BB5" w:rsidRPr="006D1920" w:rsidRDefault="00D02BB5" w:rsidP="00C13011">
      <w:pPr>
        <w:outlineLvl w:val="0"/>
        <w:rPr>
          <w:b/>
          <w:bCs/>
        </w:rPr>
      </w:pPr>
      <w:r w:rsidRPr="006D1920">
        <w:rPr>
          <w:b/>
          <w:bCs/>
        </w:rPr>
        <w:t xml:space="preserve">For example in the abstract the starting sentence </w:t>
      </w:r>
    </w:p>
    <w:p w14:paraId="6E08E9C5" w14:textId="77777777" w:rsidR="00D02BB5" w:rsidRPr="006D1920" w:rsidRDefault="00D02BB5" w:rsidP="00E61AB2">
      <w:pPr>
        <w:rPr>
          <w:b/>
          <w:bCs/>
        </w:rPr>
      </w:pPr>
    </w:p>
    <w:p w14:paraId="66FD1317" w14:textId="77777777" w:rsidR="00D02BB5" w:rsidRPr="006D1920" w:rsidRDefault="00D02BB5" w:rsidP="00E61AB2">
      <w:pPr>
        <w:rPr>
          <w:b/>
          <w:bCs/>
        </w:rPr>
      </w:pPr>
      <w:r w:rsidRPr="006D1920">
        <w:rPr>
          <w:b/>
          <w:bCs/>
        </w:rPr>
        <w:t xml:space="preserve">'It has been hypothesized that a warmer world may lower winter mortality in temperate climates, where winter deaths exceed summer ones.' </w:t>
      </w:r>
    </w:p>
    <w:p w14:paraId="15D2422F" w14:textId="77777777" w:rsidR="00D02BB5" w:rsidRPr="006D1920" w:rsidRDefault="00D02BB5" w:rsidP="00E61AB2">
      <w:pPr>
        <w:rPr>
          <w:b/>
          <w:bCs/>
        </w:rPr>
      </w:pPr>
    </w:p>
    <w:p w14:paraId="3E41BCF9" w14:textId="77777777" w:rsidR="00D02BB5" w:rsidRPr="006D1920" w:rsidRDefault="00D02BB5" w:rsidP="00E61AB2">
      <w:pPr>
        <w:rPr>
          <w:b/>
          <w:bCs/>
        </w:rPr>
      </w:pPr>
      <w:r w:rsidRPr="006D1920">
        <w:rPr>
          <w:b/>
          <w:bCs/>
        </w:rPr>
        <w:t xml:space="preserve">Could be taken to imply that it is temperate climates where winter deaths exceed summer ones. It may be clearer to use the more standardised terminology of 'excess winter mortality ' e.g., 'It has been hypothesized that a warmer world may lower excess winter mortality in temperate climates.' </w:t>
      </w:r>
    </w:p>
    <w:p w14:paraId="7AFB6343" w14:textId="3B536FFA" w:rsidR="00D02BB5" w:rsidRDefault="00D02BB5" w:rsidP="00E61AB2">
      <w:pPr>
        <w:rPr>
          <w:bCs/>
        </w:rPr>
      </w:pPr>
    </w:p>
    <w:p w14:paraId="0AFB9C3F" w14:textId="02EEEA61" w:rsidR="006D1920" w:rsidRDefault="006D1920" w:rsidP="00E61AB2">
      <w:pPr>
        <w:rPr>
          <w:bCs/>
        </w:rPr>
      </w:pPr>
      <w:r>
        <w:rPr>
          <w:bCs/>
        </w:rPr>
        <w:t xml:space="preserve">We have </w:t>
      </w:r>
      <w:r w:rsidR="005D48DC">
        <w:rPr>
          <w:bCs/>
        </w:rPr>
        <w:t>avoided the term excess winter mortality because</w:t>
      </w:r>
      <w:r w:rsidR="00367C69">
        <w:rPr>
          <w:bCs/>
        </w:rPr>
        <w:t>, as above,</w:t>
      </w:r>
      <w:r w:rsidR="005D48DC">
        <w:rPr>
          <w:bCs/>
        </w:rPr>
        <w:t xml:space="preserve"> it is commonly used f</w:t>
      </w:r>
      <w:r w:rsidR="006600A6">
        <w:rPr>
          <w:bCs/>
        </w:rPr>
        <w:t>or a very specific calculation</w:t>
      </w:r>
      <w:r w:rsidR="005D48DC">
        <w:rPr>
          <w:bCs/>
        </w:rPr>
        <w:t>.</w:t>
      </w:r>
      <w:r w:rsidR="00367C69">
        <w:rPr>
          <w:bCs/>
        </w:rPr>
        <w:t xml:space="preserve"> We have nonetheless modified this sentence for clarity (P. XX).</w:t>
      </w:r>
    </w:p>
    <w:p w14:paraId="18BE887C" w14:textId="77777777" w:rsidR="006D1920" w:rsidRPr="00D02BB5" w:rsidRDefault="006D1920" w:rsidP="00E61AB2">
      <w:pPr>
        <w:rPr>
          <w:bCs/>
        </w:rPr>
      </w:pPr>
    </w:p>
    <w:p w14:paraId="191BF422" w14:textId="77777777" w:rsidR="00D02BB5" w:rsidRPr="005D48DC" w:rsidRDefault="00D02BB5" w:rsidP="00C13011">
      <w:pPr>
        <w:outlineLvl w:val="0"/>
        <w:rPr>
          <w:b/>
          <w:bCs/>
        </w:rPr>
      </w:pPr>
      <w:r w:rsidRPr="005D48DC">
        <w:rPr>
          <w:b/>
          <w:bCs/>
        </w:rPr>
        <w:t xml:space="preserve">Introduction </w:t>
      </w:r>
    </w:p>
    <w:p w14:paraId="60717A51" w14:textId="77777777" w:rsidR="00D02BB5" w:rsidRPr="005D48DC" w:rsidRDefault="00D02BB5" w:rsidP="00E61AB2">
      <w:pPr>
        <w:rPr>
          <w:b/>
          <w:bCs/>
        </w:rPr>
      </w:pPr>
      <w:r w:rsidRPr="005D48DC">
        <w:rPr>
          <w:b/>
          <w:bCs/>
        </w:rPr>
        <w:t xml:space="preserve">41 - what is a weather regime? </w:t>
      </w:r>
    </w:p>
    <w:p w14:paraId="7C6E5794" w14:textId="025CA386" w:rsidR="00D02BB5" w:rsidRDefault="00D02BB5" w:rsidP="00E61AB2">
      <w:pPr>
        <w:rPr>
          <w:bCs/>
        </w:rPr>
      </w:pPr>
    </w:p>
    <w:p w14:paraId="36F9F21E" w14:textId="22B0F89A" w:rsidR="005D48DC" w:rsidRDefault="005D48DC" w:rsidP="00C13011">
      <w:pPr>
        <w:outlineLvl w:val="0"/>
        <w:rPr>
          <w:bCs/>
        </w:rPr>
      </w:pPr>
      <w:r>
        <w:rPr>
          <w:bCs/>
        </w:rPr>
        <w:t xml:space="preserve">We have reworded for clarity (P. </w:t>
      </w:r>
      <w:r w:rsidR="007F3884">
        <w:rPr>
          <w:bCs/>
        </w:rPr>
        <w:t>XX</w:t>
      </w:r>
      <w:r>
        <w:rPr>
          <w:bCs/>
        </w:rPr>
        <w:t>).</w:t>
      </w:r>
    </w:p>
    <w:p w14:paraId="08343B2E" w14:textId="77777777" w:rsidR="005D48DC" w:rsidRPr="00D02BB5" w:rsidRDefault="005D48DC" w:rsidP="00E61AB2">
      <w:pPr>
        <w:rPr>
          <w:bCs/>
        </w:rPr>
      </w:pPr>
    </w:p>
    <w:p w14:paraId="3022C705" w14:textId="77777777" w:rsidR="00D02BB5" w:rsidRPr="005D48DC" w:rsidRDefault="00D02BB5" w:rsidP="00C13011">
      <w:pPr>
        <w:outlineLvl w:val="0"/>
        <w:rPr>
          <w:b/>
          <w:bCs/>
        </w:rPr>
      </w:pPr>
      <w:r w:rsidRPr="005D48DC">
        <w:rPr>
          <w:b/>
          <w:bCs/>
        </w:rPr>
        <w:t xml:space="preserve">Discussion </w:t>
      </w:r>
    </w:p>
    <w:p w14:paraId="552261E8" w14:textId="36DF0141" w:rsidR="00BA466B" w:rsidRPr="005D48DC" w:rsidRDefault="00D02BB5" w:rsidP="00E61AB2">
      <w:pPr>
        <w:rPr>
          <w:b/>
          <w:bCs/>
        </w:rPr>
      </w:pPr>
      <w:r w:rsidRPr="005D48DC">
        <w:rPr>
          <w:b/>
          <w:bCs/>
        </w:rPr>
        <w:t>131 - is it not seasonal patterns rather than seasonal behaviors?</w:t>
      </w:r>
    </w:p>
    <w:p w14:paraId="5C6443A9" w14:textId="77777777" w:rsidR="005D48DC" w:rsidRDefault="005D48DC" w:rsidP="00E61AB2">
      <w:pPr>
        <w:jc w:val="left"/>
        <w:rPr>
          <w:bCs/>
        </w:rPr>
      </w:pPr>
    </w:p>
    <w:p w14:paraId="5D00C770" w14:textId="2B6B94FF" w:rsidR="007E0D70" w:rsidRDefault="005D48DC" w:rsidP="00C13011">
      <w:pPr>
        <w:jc w:val="left"/>
        <w:outlineLvl w:val="0"/>
        <w:rPr>
          <w:bCs/>
        </w:rPr>
      </w:pPr>
      <w:r>
        <w:rPr>
          <w:bCs/>
        </w:rPr>
        <w:t xml:space="preserve">We have reworded as suggested (P. </w:t>
      </w:r>
      <w:r w:rsidR="007F3884">
        <w:rPr>
          <w:bCs/>
        </w:rPr>
        <w:t>XX</w:t>
      </w:r>
      <w:r w:rsidR="00D97DDE">
        <w:rPr>
          <w:bCs/>
        </w:rPr>
        <w:t>,</w:t>
      </w:r>
      <w:r w:rsidR="007F3884">
        <w:rPr>
          <w:bCs/>
        </w:rPr>
        <w:t>XX</w:t>
      </w:r>
      <w:r>
        <w:rPr>
          <w:bCs/>
        </w:rPr>
        <w:t>).</w:t>
      </w:r>
    </w:p>
    <w:p w14:paraId="70A295BB" w14:textId="77777777" w:rsidR="007E0D70" w:rsidRDefault="007E0D70" w:rsidP="00E61AB2">
      <w:pPr>
        <w:jc w:val="left"/>
        <w:rPr>
          <w:bCs/>
        </w:rPr>
      </w:pPr>
    </w:p>
    <w:p w14:paraId="334BA964" w14:textId="77777777" w:rsidR="007E0D70" w:rsidRPr="00DE63FA" w:rsidRDefault="007E0D70" w:rsidP="00C13011">
      <w:pPr>
        <w:jc w:val="left"/>
        <w:outlineLvl w:val="0"/>
        <w:rPr>
          <w:b/>
          <w:bCs/>
        </w:rPr>
      </w:pPr>
      <w:r w:rsidRPr="00DE63FA">
        <w:rPr>
          <w:b/>
          <w:bCs/>
        </w:rPr>
        <w:t>Additional revisions</w:t>
      </w:r>
    </w:p>
    <w:p w14:paraId="500987D1" w14:textId="582E3661" w:rsidR="007E0D70" w:rsidRPr="00CD71BB" w:rsidRDefault="007E0D70" w:rsidP="007E0D70">
      <w:pPr>
        <w:pStyle w:val="BodyText"/>
        <w:spacing w:after="0" w:line="240" w:lineRule="auto"/>
        <w:rPr>
          <w:bCs/>
        </w:rPr>
      </w:pPr>
      <w:r>
        <w:rPr>
          <w:bCs/>
        </w:rPr>
        <w:t>We have obtained</w:t>
      </w:r>
      <w:r w:rsidR="00831D8C">
        <w:rPr>
          <w:bCs/>
        </w:rPr>
        <w:t>, and included in the analysis, three</w:t>
      </w:r>
      <w:r>
        <w:rPr>
          <w:bCs/>
        </w:rPr>
        <w:t xml:space="preserve"> </w:t>
      </w:r>
      <w:r w:rsidR="00831D8C">
        <w:rPr>
          <w:bCs/>
        </w:rPr>
        <w:t>additional</w:t>
      </w:r>
      <w:r>
        <w:rPr>
          <w:bCs/>
        </w:rPr>
        <w:t xml:space="preserve"> years of data</w:t>
      </w:r>
      <w:r w:rsidR="00831D8C">
        <w:rPr>
          <w:bCs/>
        </w:rPr>
        <w:t xml:space="preserve"> </w:t>
      </w:r>
      <w:r w:rsidR="0067476B">
        <w:rPr>
          <w:bCs/>
        </w:rPr>
        <w:t>(</w:t>
      </w:r>
      <w:r w:rsidR="00831D8C">
        <w:rPr>
          <w:bCs/>
        </w:rPr>
        <w:t xml:space="preserve">2014 </w:t>
      </w:r>
      <w:r w:rsidR="0067476B">
        <w:rPr>
          <w:bCs/>
        </w:rPr>
        <w:t xml:space="preserve">to </w:t>
      </w:r>
      <w:r>
        <w:rPr>
          <w:bCs/>
        </w:rPr>
        <w:t>2016</w:t>
      </w:r>
      <w:r w:rsidR="0067476B">
        <w:rPr>
          <w:bCs/>
        </w:rPr>
        <w:t>)</w:t>
      </w:r>
      <w:r>
        <w:rPr>
          <w:bCs/>
        </w:rPr>
        <w:t>.</w:t>
      </w:r>
    </w:p>
    <w:p w14:paraId="18AC41DB" w14:textId="77777777" w:rsidR="007E0D70" w:rsidRPr="00CD71BB" w:rsidRDefault="007E0D70" w:rsidP="007E0D70">
      <w:pPr>
        <w:pStyle w:val="BodyText"/>
        <w:spacing w:after="0" w:line="240" w:lineRule="auto"/>
        <w:rPr>
          <w:bCs/>
        </w:rPr>
      </w:pPr>
    </w:p>
    <w:p w14:paraId="1DA4CF81" w14:textId="78AE413C" w:rsidR="00BA466B" w:rsidRPr="000A14BA" w:rsidRDefault="00BA466B" w:rsidP="00E61AB2">
      <w:pPr>
        <w:jc w:val="left"/>
        <w:rPr>
          <w:bCs/>
        </w:rPr>
      </w:pPr>
      <w:r w:rsidRPr="000A14BA">
        <w:rPr>
          <w:bCs/>
        </w:rPr>
        <w:br w:type="page"/>
      </w:r>
    </w:p>
    <w:p w14:paraId="6CD3E660" w14:textId="3FDCD736" w:rsidR="00E15FDA" w:rsidRPr="000A14BA" w:rsidRDefault="00E15FDA" w:rsidP="00C13011">
      <w:pPr>
        <w:outlineLvl w:val="0"/>
        <w:rPr>
          <w:b/>
          <w:bCs/>
        </w:rPr>
      </w:pPr>
      <w:r w:rsidRPr="000A14BA">
        <w:rPr>
          <w:b/>
          <w:bCs/>
        </w:rPr>
        <w:lastRenderedPageBreak/>
        <w:t>References</w:t>
      </w:r>
    </w:p>
    <w:p w14:paraId="564BDF58" w14:textId="0EAFCCA4" w:rsidR="008439C3" w:rsidRDefault="008439C3" w:rsidP="00E61AB2">
      <w:pPr>
        <w:rPr>
          <w:bCs/>
        </w:rPr>
      </w:pPr>
    </w:p>
    <w:p w14:paraId="5280A8ED" w14:textId="0F3AFD40" w:rsidR="00707D8D" w:rsidRPr="00707D8D" w:rsidRDefault="008338F8" w:rsidP="00707D8D">
      <w:pPr>
        <w:widowControl w:val="0"/>
        <w:autoSpaceDE w:val="0"/>
        <w:autoSpaceDN w:val="0"/>
        <w:adjustRightInd w:val="0"/>
        <w:ind w:left="480" w:hanging="480"/>
        <w:rPr>
          <w:rFonts w:eastAsia="Times New Roman" w:cs="Arial"/>
          <w:noProof/>
        </w:rPr>
      </w:pPr>
      <w:ins w:id="9" w:author="Parks, Robbie M" w:date="2018-06-19T10:09:00Z">
        <w:r>
          <w:rPr>
            <w:bCs/>
          </w:rPr>
          <w:fldChar w:fldCharType="begin" w:fldLock="1"/>
        </w:r>
        <w:r>
          <w:rPr>
            <w:bCs/>
          </w:rPr>
          <w:instrText xml:space="preserve">ADDIN Mendeley Bibliography CSL_BIBLIOGRAPHY </w:instrText>
        </w:r>
      </w:ins>
      <w:r>
        <w:rPr>
          <w:bCs/>
        </w:rPr>
        <w:fldChar w:fldCharType="separate"/>
      </w:r>
      <w:r w:rsidR="00707D8D" w:rsidRPr="00707D8D">
        <w:rPr>
          <w:rFonts w:eastAsia="Times New Roman" w:cs="Arial"/>
          <w:noProof/>
        </w:rPr>
        <w:t xml:space="preserve">Basu, R. (2009). High ambient temperature and mortality: A review of epidemiologic studies from 2001 to 2008. </w:t>
      </w:r>
      <w:r w:rsidR="00707D8D" w:rsidRPr="00707D8D">
        <w:rPr>
          <w:rFonts w:eastAsia="Times New Roman" w:cs="Arial"/>
          <w:i/>
          <w:iCs/>
          <w:noProof/>
        </w:rPr>
        <w:t>Environmental Health: A Global Access Science Source</w:t>
      </w:r>
      <w:r w:rsidR="00707D8D" w:rsidRPr="00707D8D">
        <w:rPr>
          <w:rFonts w:eastAsia="Times New Roman" w:cs="Arial"/>
          <w:noProof/>
        </w:rPr>
        <w:t>. https://doi.org/10.1186/1476-069X-8-40</w:t>
      </w:r>
    </w:p>
    <w:p w14:paraId="2CDD809D"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Basu, R., Dominici, F., &amp; Samet, J. M. (2005). Temperature and mortality among the elderly in the United States: a comparison of epidemiologic methods. </w:t>
      </w:r>
      <w:r w:rsidRPr="00707D8D">
        <w:rPr>
          <w:rFonts w:eastAsia="Times New Roman" w:cs="Arial"/>
          <w:i/>
          <w:iCs/>
          <w:noProof/>
        </w:rPr>
        <w:t>Epidemiology</w:t>
      </w:r>
      <w:r w:rsidRPr="00707D8D">
        <w:rPr>
          <w:rFonts w:eastAsia="Times New Roman" w:cs="Arial"/>
          <w:noProof/>
        </w:rPr>
        <w:t xml:space="preserve">, </w:t>
      </w:r>
      <w:r w:rsidRPr="00707D8D">
        <w:rPr>
          <w:rFonts w:eastAsia="Times New Roman" w:cs="Arial"/>
          <w:i/>
          <w:iCs/>
          <w:noProof/>
        </w:rPr>
        <w:t>16</w:t>
      </w:r>
      <w:r w:rsidRPr="00707D8D">
        <w:rPr>
          <w:rFonts w:eastAsia="Times New Roman" w:cs="Arial"/>
          <w:noProof/>
        </w:rPr>
        <w:t>(1), 58–66. https://doi.org/00001648-200501000-00009 [pii]</w:t>
      </w:r>
    </w:p>
    <w:p w14:paraId="489BCBD2"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Basu, R., &amp; Samet, J. M. (2002). Relation between elevated ambient temperature and mortality: A review of the epidemiologic evidence. </w:t>
      </w:r>
      <w:r w:rsidRPr="00707D8D">
        <w:rPr>
          <w:rFonts w:eastAsia="Times New Roman" w:cs="Arial"/>
          <w:i/>
          <w:iCs/>
          <w:noProof/>
        </w:rPr>
        <w:t>Epidemiologic Reviews</w:t>
      </w:r>
      <w:r w:rsidRPr="00707D8D">
        <w:rPr>
          <w:rFonts w:eastAsia="Times New Roman" w:cs="Arial"/>
          <w:noProof/>
        </w:rPr>
        <w:t>. https://doi.org/10.1093/epirev/mxf007</w:t>
      </w:r>
    </w:p>
    <w:p w14:paraId="1BE70764"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Bennett, J. E., Blangiardo, M., Fecht, D., Elliott, P., &amp; Ezzati, M. (2014). Vulnerability to the mortality effects of warm temperature in the districts of England and Wales. </w:t>
      </w:r>
      <w:r w:rsidRPr="00707D8D">
        <w:rPr>
          <w:rFonts w:eastAsia="Times New Roman" w:cs="Arial"/>
          <w:i/>
          <w:iCs/>
          <w:noProof/>
        </w:rPr>
        <w:t>Nature Climate Change</w:t>
      </w:r>
      <w:r w:rsidRPr="00707D8D">
        <w:rPr>
          <w:rFonts w:eastAsia="Times New Roman" w:cs="Arial"/>
          <w:noProof/>
        </w:rPr>
        <w:t xml:space="preserve">, </w:t>
      </w:r>
      <w:r w:rsidRPr="00707D8D">
        <w:rPr>
          <w:rFonts w:eastAsia="Times New Roman" w:cs="Arial"/>
          <w:i/>
          <w:iCs/>
          <w:noProof/>
        </w:rPr>
        <w:t>4</w:t>
      </w:r>
      <w:r w:rsidRPr="00707D8D">
        <w:rPr>
          <w:rFonts w:eastAsia="Times New Roman" w:cs="Arial"/>
          <w:noProof/>
        </w:rPr>
        <w:t>(4), 269–273. https://doi.org/10.1038/nclimate2123</w:t>
      </w:r>
    </w:p>
    <w:p w14:paraId="0913417A"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Braga, A. L. F., Zanobetti, A., &amp; Schwartz, J. (2002). The effect of weather on respiratory and cardiovascular deaths in 12 U.S. cities. </w:t>
      </w:r>
      <w:r w:rsidRPr="00707D8D">
        <w:rPr>
          <w:rFonts w:eastAsia="Times New Roman" w:cs="Arial"/>
          <w:i/>
          <w:iCs/>
          <w:noProof/>
        </w:rPr>
        <w:t>Environmental Health Perspectives</w:t>
      </w:r>
      <w:r w:rsidRPr="00707D8D">
        <w:rPr>
          <w:rFonts w:eastAsia="Times New Roman" w:cs="Arial"/>
          <w:noProof/>
        </w:rPr>
        <w:t xml:space="preserve">, </w:t>
      </w:r>
      <w:r w:rsidRPr="00707D8D">
        <w:rPr>
          <w:rFonts w:eastAsia="Times New Roman" w:cs="Arial"/>
          <w:i/>
          <w:iCs/>
          <w:noProof/>
        </w:rPr>
        <w:t>110</w:t>
      </w:r>
      <w:r w:rsidRPr="00707D8D">
        <w:rPr>
          <w:rFonts w:eastAsia="Times New Roman" w:cs="Arial"/>
          <w:noProof/>
        </w:rPr>
        <w:t>(9), 859–863. https://doi.org/10.1289/ehp.02110859</w:t>
      </w:r>
    </w:p>
    <w:p w14:paraId="42C396FF"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Curriero, F. C., Heiner, K. S., Samet, J. M., Zeger, S. L., Strug, L., &amp; Patz, J. A. (2002). Temperature and mortality in 11 cities of the eastern United States. </w:t>
      </w:r>
      <w:r w:rsidRPr="00707D8D">
        <w:rPr>
          <w:rFonts w:eastAsia="Times New Roman" w:cs="Arial"/>
          <w:i/>
          <w:iCs/>
          <w:noProof/>
        </w:rPr>
        <w:t>American Journal of Epidemiology</w:t>
      </w:r>
      <w:r w:rsidRPr="00707D8D">
        <w:rPr>
          <w:rFonts w:eastAsia="Times New Roman" w:cs="Arial"/>
          <w:noProof/>
        </w:rPr>
        <w:t xml:space="preserve">, </w:t>
      </w:r>
      <w:r w:rsidRPr="00707D8D">
        <w:rPr>
          <w:rFonts w:eastAsia="Times New Roman" w:cs="Arial"/>
          <w:i/>
          <w:iCs/>
          <w:noProof/>
        </w:rPr>
        <w:t>155</w:t>
      </w:r>
      <w:r w:rsidRPr="00707D8D">
        <w:rPr>
          <w:rFonts w:eastAsia="Times New Roman" w:cs="Arial"/>
          <w:noProof/>
        </w:rPr>
        <w:t>(1), 80–87. https://doi.org/10.1093/aje/155.1.80</w:t>
      </w:r>
    </w:p>
    <w:p w14:paraId="64849EE2"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Dockery, D. W., Pope, C. A., Xu, X., Spengler, J. D., Ware, J. H., Fay, M. E., … Speizer, F. E. (1993). An association between air pollution and mortality in six U.S. cities. </w:t>
      </w:r>
      <w:r w:rsidRPr="00707D8D">
        <w:rPr>
          <w:rFonts w:eastAsia="Times New Roman" w:cs="Arial"/>
          <w:i/>
          <w:iCs/>
          <w:noProof/>
        </w:rPr>
        <w:t>The New England Journal of Medicine</w:t>
      </w:r>
      <w:r w:rsidRPr="00707D8D">
        <w:rPr>
          <w:rFonts w:eastAsia="Times New Roman" w:cs="Arial"/>
          <w:noProof/>
        </w:rPr>
        <w:t xml:space="preserve">, </w:t>
      </w:r>
      <w:r w:rsidRPr="00707D8D">
        <w:rPr>
          <w:rFonts w:eastAsia="Times New Roman" w:cs="Arial"/>
          <w:i/>
          <w:iCs/>
          <w:noProof/>
        </w:rPr>
        <w:t>329</w:t>
      </w:r>
      <w:r w:rsidRPr="00707D8D">
        <w:rPr>
          <w:rFonts w:eastAsia="Times New Roman" w:cs="Arial"/>
          <w:noProof/>
        </w:rPr>
        <w:t>(24), 1753–9. https://doi.org/10.1056/NEJM199312093292401</w:t>
      </w:r>
    </w:p>
    <w:p w14:paraId="4ED033AB"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Fowler, T., Southgate, R. J., Waite, T., Harrell, R., Kovats, S., Bone, A., … Murray, V. (2015). Excess winter deaths in Europe: A multi-country descriptive analysis. </w:t>
      </w:r>
      <w:r w:rsidRPr="00707D8D">
        <w:rPr>
          <w:rFonts w:eastAsia="Times New Roman" w:cs="Arial"/>
          <w:i/>
          <w:iCs/>
          <w:noProof/>
        </w:rPr>
        <w:t>European Journal of Public Health</w:t>
      </w:r>
      <w:r w:rsidRPr="00707D8D">
        <w:rPr>
          <w:rFonts w:eastAsia="Times New Roman" w:cs="Arial"/>
          <w:noProof/>
        </w:rPr>
        <w:t xml:space="preserve">, </w:t>
      </w:r>
      <w:r w:rsidRPr="00707D8D">
        <w:rPr>
          <w:rFonts w:eastAsia="Times New Roman" w:cs="Arial"/>
          <w:i/>
          <w:iCs/>
          <w:noProof/>
        </w:rPr>
        <w:t>25</w:t>
      </w:r>
      <w:r w:rsidRPr="00707D8D">
        <w:rPr>
          <w:rFonts w:eastAsia="Times New Roman" w:cs="Arial"/>
          <w:noProof/>
        </w:rPr>
        <w:t>(2), 339–345. https://doi.org/10.1093/eurpub/cku073</w:t>
      </w:r>
    </w:p>
    <w:p w14:paraId="245B12B8"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Gasparrini, A., Guo, Y., Hashizume, M., Lavigne, E., Zanobetti, A., Schwartz, J., … Armstrong, B. (2015). Mortality risk attributable to high and low ambient temperature: A multicountry observational study. </w:t>
      </w:r>
      <w:r w:rsidRPr="00707D8D">
        <w:rPr>
          <w:rFonts w:eastAsia="Times New Roman" w:cs="Arial"/>
          <w:i/>
          <w:iCs/>
          <w:noProof/>
        </w:rPr>
        <w:t>The Lancet</w:t>
      </w:r>
      <w:r w:rsidRPr="00707D8D">
        <w:rPr>
          <w:rFonts w:eastAsia="Times New Roman" w:cs="Arial"/>
          <w:noProof/>
        </w:rPr>
        <w:t xml:space="preserve">, </w:t>
      </w:r>
      <w:r w:rsidRPr="00707D8D">
        <w:rPr>
          <w:rFonts w:eastAsia="Times New Roman" w:cs="Arial"/>
          <w:i/>
          <w:iCs/>
          <w:noProof/>
        </w:rPr>
        <w:t>386</w:t>
      </w:r>
      <w:r w:rsidRPr="00707D8D">
        <w:rPr>
          <w:rFonts w:eastAsia="Times New Roman" w:cs="Arial"/>
          <w:noProof/>
        </w:rPr>
        <w:t>(9991), 369–375. https://doi.org/10.1016/S0140-6736(14)62114-0</w:t>
      </w:r>
    </w:p>
    <w:p w14:paraId="54E9F063"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Grenfell, B. T., Bjørnstad, O. N., &amp; Kappey, J. (2001). Travelling waves and spatial hierarchies in measles epidemics. </w:t>
      </w:r>
      <w:r w:rsidRPr="00707D8D">
        <w:rPr>
          <w:rFonts w:eastAsia="Times New Roman" w:cs="Arial"/>
          <w:i/>
          <w:iCs/>
          <w:noProof/>
        </w:rPr>
        <w:t>Nature</w:t>
      </w:r>
      <w:r w:rsidRPr="00707D8D">
        <w:rPr>
          <w:rFonts w:eastAsia="Times New Roman" w:cs="Arial"/>
          <w:noProof/>
        </w:rPr>
        <w:t xml:space="preserve">, </w:t>
      </w:r>
      <w:r w:rsidRPr="00707D8D">
        <w:rPr>
          <w:rFonts w:eastAsia="Times New Roman" w:cs="Arial"/>
          <w:i/>
          <w:iCs/>
          <w:noProof/>
        </w:rPr>
        <w:t>414</w:t>
      </w:r>
      <w:r w:rsidRPr="00707D8D">
        <w:rPr>
          <w:rFonts w:eastAsia="Times New Roman" w:cs="Arial"/>
          <w:noProof/>
        </w:rPr>
        <w:t>(6865), 716–723. https://doi.org/10.1038/414716a</w:t>
      </w:r>
    </w:p>
    <w:p w14:paraId="2DB7F41C"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Healy, J. D. (2003). Excess winter mortality in Europe: A cross country analysis identifying key risk factors. </w:t>
      </w:r>
      <w:r w:rsidRPr="00707D8D">
        <w:rPr>
          <w:rFonts w:eastAsia="Times New Roman" w:cs="Arial"/>
          <w:i/>
          <w:iCs/>
          <w:noProof/>
        </w:rPr>
        <w:t>Journal of Epidemiology and Community Health</w:t>
      </w:r>
      <w:r w:rsidRPr="00707D8D">
        <w:rPr>
          <w:rFonts w:eastAsia="Times New Roman" w:cs="Arial"/>
          <w:noProof/>
        </w:rPr>
        <w:t xml:space="preserve">, </w:t>
      </w:r>
      <w:r w:rsidRPr="00707D8D">
        <w:rPr>
          <w:rFonts w:eastAsia="Times New Roman" w:cs="Arial"/>
          <w:i/>
          <w:iCs/>
          <w:noProof/>
        </w:rPr>
        <w:t>57</w:t>
      </w:r>
      <w:r w:rsidRPr="00707D8D">
        <w:rPr>
          <w:rFonts w:eastAsia="Times New Roman" w:cs="Arial"/>
          <w:noProof/>
        </w:rPr>
        <w:t>(10), 784–789. https://doi.org/10.1136/jech.57.10.784</w:t>
      </w:r>
    </w:p>
    <w:p w14:paraId="051CB077"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Hoek, G., Krishnan, R. M., Beelen, R., Peters, A., Ostro, B., Brunekreef, B., &amp; Kaufman, J. D. (2013). Long-term air pollution exposure and cardio- respiratory mortality: a review. </w:t>
      </w:r>
      <w:r w:rsidRPr="00707D8D">
        <w:rPr>
          <w:rFonts w:eastAsia="Times New Roman" w:cs="Arial"/>
          <w:i/>
          <w:iCs/>
          <w:noProof/>
        </w:rPr>
        <w:t>Environmental Health</w:t>
      </w:r>
      <w:r w:rsidRPr="00707D8D">
        <w:rPr>
          <w:rFonts w:eastAsia="Times New Roman" w:cs="Arial"/>
          <w:noProof/>
        </w:rPr>
        <w:t xml:space="preserve">, </w:t>
      </w:r>
      <w:r w:rsidRPr="00707D8D">
        <w:rPr>
          <w:rFonts w:eastAsia="Times New Roman" w:cs="Arial"/>
          <w:i/>
          <w:iCs/>
          <w:noProof/>
        </w:rPr>
        <w:t>12</w:t>
      </w:r>
      <w:r w:rsidRPr="00707D8D">
        <w:rPr>
          <w:rFonts w:eastAsia="Times New Roman" w:cs="Arial"/>
          <w:noProof/>
        </w:rPr>
        <w:t>(1), 43. https://doi.org/10.1186/1476-069X-12-43</w:t>
      </w:r>
    </w:p>
    <w:p w14:paraId="38AA73FD"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Hubbard, B. B. (1996). </w:t>
      </w:r>
      <w:r w:rsidRPr="00707D8D">
        <w:rPr>
          <w:rFonts w:eastAsia="Times New Roman" w:cs="Arial"/>
          <w:i/>
          <w:iCs/>
          <w:noProof/>
        </w:rPr>
        <w:t>The world according to wavelets: the story of a mathematical technique in the making</w:t>
      </w:r>
      <w:r w:rsidRPr="00707D8D">
        <w:rPr>
          <w:rFonts w:eastAsia="Times New Roman" w:cs="Arial"/>
          <w:noProof/>
        </w:rPr>
        <w:t xml:space="preserve">. </w:t>
      </w:r>
      <w:r w:rsidRPr="00707D8D">
        <w:rPr>
          <w:rFonts w:eastAsia="Times New Roman" w:cs="Arial"/>
          <w:i/>
          <w:iCs/>
          <w:noProof/>
        </w:rPr>
        <w:t>NOTICES OF THE AMS</w:t>
      </w:r>
      <w:r w:rsidRPr="00707D8D">
        <w:rPr>
          <w:rFonts w:eastAsia="Times New Roman" w:cs="Arial"/>
          <w:noProof/>
        </w:rPr>
        <w:t>.</w:t>
      </w:r>
    </w:p>
    <w:p w14:paraId="7E307192"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McKee, C. M. (1989). Deaths in winter: Can Britain learn from Europe? </w:t>
      </w:r>
      <w:r w:rsidRPr="00707D8D">
        <w:rPr>
          <w:rFonts w:eastAsia="Times New Roman" w:cs="Arial"/>
          <w:i/>
          <w:iCs/>
          <w:noProof/>
        </w:rPr>
        <w:t>European Journal of Epidemiology</w:t>
      </w:r>
      <w:r w:rsidRPr="00707D8D">
        <w:rPr>
          <w:rFonts w:eastAsia="Times New Roman" w:cs="Arial"/>
          <w:noProof/>
        </w:rPr>
        <w:t xml:space="preserve">, </w:t>
      </w:r>
      <w:r w:rsidRPr="00707D8D">
        <w:rPr>
          <w:rFonts w:eastAsia="Times New Roman" w:cs="Arial"/>
          <w:i/>
          <w:iCs/>
          <w:noProof/>
        </w:rPr>
        <w:t>5</w:t>
      </w:r>
      <w:r w:rsidRPr="00707D8D">
        <w:rPr>
          <w:rFonts w:eastAsia="Times New Roman" w:cs="Arial"/>
          <w:noProof/>
        </w:rPr>
        <w:t>(2), 178–182. https://doi.org/10.1007/BF00156826</w:t>
      </w:r>
    </w:p>
    <w:p w14:paraId="2381E4E1"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Moy, C. M., Seltzer, G. O., Rodbell, D. T., &amp; Anderson, D. M. (2002). Variability of El Niño/Southern Oscillation activity at millennial timescales during the Holocene epoch. </w:t>
      </w:r>
      <w:r w:rsidRPr="00707D8D">
        <w:rPr>
          <w:rFonts w:eastAsia="Times New Roman" w:cs="Arial"/>
          <w:i/>
          <w:iCs/>
          <w:noProof/>
        </w:rPr>
        <w:t>Nature</w:t>
      </w:r>
      <w:r w:rsidRPr="00707D8D">
        <w:rPr>
          <w:rFonts w:eastAsia="Times New Roman" w:cs="Arial"/>
          <w:noProof/>
        </w:rPr>
        <w:t xml:space="preserve">, </w:t>
      </w:r>
      <w:r w:rsidRPr="00707D8D">
        <w:rPr>
          <w:rFonts w:eastAsia="Times New Roman" w:cs="Arial"/>
          <w:i/>
          <w:iCs/>
          <w:noProof/>
        </w:rPr>
        <w:t>420</w:t>
      </w:r>
      <w:r w:rsidRPr="00707D8D">
        <w:rPr>
          <w:rFonts w:eastAsia="Times New Roman" w:cs="Arial"/>
          <w:noProof/>
        </w:rPr>
        <w:t>(6912), 162–165. https://doi.org/10.1038/nature01194</w:t>
      </w:r>
    </w:p>
    <w:p w14:paraId="49364283"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Pope, C. A., Burnett, R. T., Thun, M. J., Calle, E. E., Krewski, D., Ito, K., &amp; Thurston, G. D. (2002). Lung cancer, cardiopulmonary mortality, and long-term exposure to fine particulate air pollution. </w:t>
      </w:r>
      <w:r w:rsidRPr="00707D8D">
        <w:rPr>
          <w:rFonts w:eastAsia="Times New Roman" w:cs="Arial"/>
          <w:i/>
          <w:iCs/>
          <w:noProof/>
        </w:rPr>
        <w:t>JAMA</w:t>
      </w:r>
      <w:r w:rsidRPr="00707D8D">
        <w:rPr>
          <w:rFonts w:eastAsia="Times New Roman" w:cs="Arial"/>
          <w:noProof/>
        </w:rPr>
        <w:t xml:space="preserve">, </w:t>
      </w:r>
      <w:r w:rsidRPr="00707D8D">
        <w:rPr>
          <w:rFonts w:eastAsia="Times New Roman" w:cs="Arial"/>
          <w:i/>
          <w:iCs/>
          <w:noProof/>
        </w:rPr>
        <w:t>287</w:t>
      </w:r>
      <w:r w:rsidRPr="00707D8D">
        <w:rPr>
          <w:rFonts w:eastAsia="Times New Roman" w:cs="Arial"/>
          <w:noProof/>
        </w:rPr>
        <w:t>(9), 1132–1141. https://doi.org/joc11435 [pii]</w:t>
      </w:r>
    </w:p>
    <w:p w14:paraId="41A26CF6" w14:textId="77777777" w:rsidR="00707D8D" w:rsidRPr="00707D8D" w:rsidRDefault="00707D8D" w:rsidP="00707D8D">
      <w:pPr>
        <w:widowControl w:val="0"/>
        <w:autoSpaceDE w:val="0"/>
        <w:autoSpaceDN w:val="0"/>
        <w:adjustRightInd w:val="0"/>
        <w:ind w:left="480" w:hanging="480"/>
        <w:rPr>
          <w:rFonts w:cs="Arial"/>
          <w:noProof/>
        </w:rPr>
      </w:pPr>
      <w:r w:rsidRPr="00707D8D">
        <w:rPr>
          <w:rFonts w:eastAsia="Times New Roman" w:cs="Arial"/>
          <w:noProof/>
        </w:rPr>
        <w:t xml:space="preserve">Torrence, C., &amp; Compo, G. P. (1998). A Practical Guide to Wavelet Analysis. </w:t>
      </w:r>
      <w:r w:rsidRPr="00707D8D">
        <w:rPr>
          <w:rFonts w:eastAsia="Times New Roman" w:cs="Arial"/>
          <w:i/>
          <w:iCs/>
          <w:noProof/>
        </w:rPr>
        <w:t>Bulletin of the American Meteorological Society</w:t>
      </w:r>
      <w:r w:rsidRPr="00707D8D">
        <w:rPr>
          <w:rFonts w:eastAsia="Times New Roman" w:cs="Arial"/>
          <w:noProof/>
        </w:rPr>
        <w:t>. https://doi.org/10.1175/1520-</w:t>
      </w:r>
      <w:r w:rsidRPr="00707D8D">
        <w:rPr>
          <w:rFonts w:eastAsia="Times New Roman" w:cs="Arial"/>
          <w:noProof/>
        </w:rPr>
        <w:lastRenderedPageBreak/>
        <w:t>0477(1998)079&lt;0061:APGTWA&gt;2.0.CO;2</w:t>
      </w:r>
    </w:p>
    <w:p w14:paraId="094A715E" w14:textId="28937781" w:rsidR="00B11CF3" w:rsidRDefault="008338F8" w:rsidP="00707D8D">
      <w:pPr>
        <w:widowControl w:val="0"/>
        <w:autoSpaceDE w:val="0"/>
        <w:autoSpaceDN w:val="0"/>
        <w:adjustRightInd w:val="0"/>
        <w:ind w:left="480" w:hanging="480"/>
        <w:rPr>
          <w:bCs/>
        </w:rPr>
      </w:pPr>
      <w:ins w:id="10" w:author="Parks, Robbie M" w:date="2018-06-19T10:09:00Z">
        <w:r>
          <w:rPr>
            <w:bCs/>
          </w:rPr>
          <w:fldChar w:fldCharType="end"/>
        </w:r>
      </w:ins>
    </w:p>
    <w:p w14:paraId="4EAA7E9B" w14:textId="22A7A2A9" w:rsidR="00B11CF3" w:rsidRPr="000A14BA" w:rsidRDefault="00B11CF3" w:rsidP="00E61AB2">
      <w:pPr>
        <w:rPr>
          <w:bCs/>
        </w:rPr>
      </w:pPr>
    </w:p>
    <w:sectPr w:rsidR="00B11CF3" w:rsidRPr="000A14BA" w:rsidSect="000B342F">
      <w:headerReference w:type="default" r:id="rId10"/>
      <w:footerReference w:type="default" r:id="rId11"/>
      <w:footerReference w:type="first" r:id="rId12"/>
      <w:type w:val="continuous"/>
      <w:pgSz w:w="11907" w:h="16840" w:code="9"/>
      <w:pgMar w:top="2127" w:right="1440" w:bottom="1440" w:left="1418" w:header="720" w:footer="1021" w:gutter="0"/>
      <w:pgNumType w:start="1"/>
      <w:cols w:space="720"/>
      <w:titlePg/>
      <w:docGrid w:linePitch="299"/>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4249D8A" w14:textId="77777777" w:rsidR="00E724A7" w:rsidRDefault="00E724A7">
      <w:r>
        <w:separator/>
      </w:r>
    </w:p>
  </w:endnote>
  <w:endnote w:type="continuationSeparator" w:id="0">
    <w:p w14:paraId="19802FBF" w14:textId="77777777" w:rsidR="00E724A7" w:rsidRDefault="00E724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panose1 w:val="02010600030101010101"/>
    <w:charset w:val="86"/>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Trebuchet MS">
    <w:panose1 w:val="020B0603020202020204"/>
    <w:charset w:val="00"/>
    <w:family w:val="auto"/>
    <w:pitch w:val="variable"/>
    <w:sig w:usb0="00000287" w:usb1="00000000" w:usb2="00000000" w:usb3="00000000" w:csb0="0000009F" w:csb1="00000000"/>
  </w:font>
  <w:font w:name="Tahoma">
    <w:panose1 w:val="020B0604030504040204"/>
    <w:charset w:val="00"/>
    <w:family w:val="auto"/>
    <w:pitch w:val="variable"/>
    <w:sig w:usb0="E1002EFF" w:usb1="C000605B" w:usb2="00000029" w:usb3="00000000" w:csb0="000101FF" w:csb1="00000000"/>
  </w:font>
  <w:font w:name="Calibri">
    <w:panose1 w:val="020F0502020204030204"/>
    <w:charset w:val="00"/>
    <w:family w:val="auto"/>
    <w:pitch w:val="variable"/>
    <w:sig w:usb0="E00002FF" w:usb1="4000ACFF" w:usb2="00000001" w:usb3="00000000" w:csb0="0000019F" w:csb1="00000000"/>
  </w:font>
  <w:font w:name="Shaker 2 Lancet Regular">
    <w:altName w:val="Cambria"/>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auto"/>
    <w:pitch w:val="variable"/>
    <w:sig w:usb0="E00002FF" w:usb1="420024FF" w:usb2="00000000" w:usb3="00000000" w:csb0="0000019F" w:csb1="00000000"/>
  </w:font>
  <w:font w:name="ＭＳ ゴシック">
    <w:charset w:val="80"/>
    <w:family w:val="auto"/>
    <w:pitch w:val="variable"/>
    <w:sig w:usb0="E00002FF" w:usb1="6AC7FDFB" w:usb2="08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78FAAD" w14:textId="234DDAA4" w:rsidR="005530AF" w:rsidRDefault="005530AF">
    <w:pPr>
      <w:pStyle w:val="Footer"/>
      <w:jc w:val="right"/>
    </w:pPr>
    <w:r>
      <w:fldChar w:fldCharType="begin"/>
    </w:r>
    <w:r>
      <w:instrText xml:space="preserve"> PAGE   \* MERGEFORMAT </w:instrText>
    </w:r>
    <w:r>
      <w:fldChar w:fldCharType="separate"/>
    </w:r>
    <w:r w:rsidR="00D7295C">
      <w:rPr>
        <w:noProof/>
      </w:rPr>
      <w:t>4</w:t>
    </w:r>
    <w:r>
      <w:rPr>
        <w:noProof/>
      </w:rPr>
      <w:fldChar w:fldCharType="end"/>
    </w:r>
  </w:p>
  <w:p w14:paraId="2E358582" w14:textId="77777777" w:rsidR="005530AF" w:rsidRDefault="005530AF">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897B0D" w14:textId="7DCD4FEA" w:rsidR="005530AF" w:rsidRDefault="005530AF">
    <w:pPr>
      <w:pStyle w:val="Footer"/>
      <w:jc w:val="right"/>
    </w:pPr>
    <w:r>
      <w:fldChar w:fldCharType="begin"/>
    </w:r>
    <w:r>
      <w:instrText xml:space="preserve"> PAGE   \* MERGEFORMAT </w:instrText>
    </w:r>
    <w:r>
      <w:fldChar w:fldCharType="separate"/>
    </w:r>
    <w:r w:rsidR="00FB614F">
      <w:rPr>
        <w:noProof/>
      </w:rPr>
      <w:t>1</w:t>
    </w:r>
    <w:r>
      <w:rPr>
        <w:noProof/>
      </w:rPr>
      <w:fldChar w:fldCharType="end"/>
    </w:r>
  </w:p>
  <w:p w14:paraId="69428321" w14:textId="77777777" w:rsidR="005530AF" w:rsidRDefault="005530AF">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13FD52C" w14:textId="77777777" w:rsidR="00E724A7" w:rsidRDefault="00E724A7">
      <w:r>
        <w:separator/>
      </w:r>
    </w:p>
  </w:footnote>
  <w:footnote w:type="continuationSeparator" w:id="0">
    <w:p w14:paraId="3DB1B42C" w14:textId="77777777" w:rsidR="00E724A7" w:rsidRDefault="00E724A7">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7C123E" w14:textId="77777777" w:rsidR="005530AF" w:rsidRDefault="005530AF" w:rsidP="001C5AA6">
    <w:pPr>
      <w:pStyle w:val="Header"/>
      <w:tabs>
        <w:tab w:val="left" w:pos="225"/>
      </w:tabs>
    </w:pPr>
    <w:r>
      <w:tab/>
    </w:r>
    <w:r>
      <w:tab/>
    </w:r>
    <w:r>
      <w:tab/>
      <w:t>.</w:t>
    </w:r>
    <w:r>
      <w:tab/>
      <w:t xml:space="preserve">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8794DCE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Symbol"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Symbol"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FDA61D7"/>
    <w:multiLevelType w:val="hybridMultilevel"/>
    <w:tmpl w:val="410A71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47455FDD"/>
    <w:multiLevelType w:val="hybridMultilevel"/>
    <w:tmpl w:val="C248D2B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4D0213B8"/>
    <w:multiLevelType w:val="hybridMultilevel"/>
    <w:tmpl w:val="7CAEB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5D5854B5"/>
    <w:multiLevelType w:val="hybridMultilevel"/>
    <w:tmpl w:val="9CA87CB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5DEB4E9D"/>
    <w:multiLevelType w:val="hybridMultilevel"/>
    <w:tmpl w:val="3B9415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5"/>
  </w:num>
  <w:num w:numId="4">
    <w:abstractNumId w:val="1"/>
  </w:num>
  <w:num w:numId="5">
    <w:abstractNumId w:val="3"/>
  </w:num>
  <w:num w:numId="6">
    <w:abstractNumId w:val="2"/>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Ezzati, Majid">
    <w15:presenceInfo w15:providerId="None" w15:userId="Ezzati, Majid"/>
  </w15:person>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6"/>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1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Nature&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00vwdewz8tp9wcett925fszawtref9xta5sw&quot;&gt;EzzatiAllRefs&lt;record-ids&gt;&lt;item&gt;3757&lt;/item&gt;&lt;item&gt;4482&lt;/item&gt;&lt;item&gt;5192&lt;/item&gt;&lt;item&gt;5273&lt;/item&gt;&lt;item&gt;5275&lt;/item&gt;&lt;item&gt;5397&lt;/item&gt;&lt;item&gt;5433&lt;/item&gt;&lt;item&gt;5434&lt;/item&gt;&lt;item&gt;5435&lt;/item&gt;&lt;item&gt;5436&lt;/item&gt;&lt;item&gt;5437&lt;/item&gt;&lt;item&gt;5438&lt;/item&gt;&lt;item&gt;5441&lt;/item&gt;&lt;item&gt;5442&lt;/item&gt;&lt;/record-ids&gt;&lt;/item&gt;&lt;/Libraries&gt;"/>
  </w:docVars>
  <w:rsids>
    <w:rsidRoot w:val="00AA06B9"/>
    <w:rsid w:val="00000832"/>
    <w:rsid w:val="00000EFD"/>
    <w:rsid w:val="00005513"/>
    <w:rsid w:val="00005CF4"/>
    <w:rsid w:val="00006864"/>
    <w:rsid w:val="0000794B"/>
    <w:rsid w:val="0001054A"/>
    <w:rsid w:val="00010AD3"/>
    <w:rsid w:val="00012ABC"/>
    <w:rsid w:val="00013234"/>
    <w:rsid w:val="00014357"/>
    <w:rsid w:val="00015362"/>
    <w:rsid w:val="0002089D"/>
    <w:rsid w:val="000231F9"/>
    <w:rsid w:val="0002378D"/>
    <w:rsid w:val="00024201"/>
    <w:rsid w:val="00024212"/>
    <w:rsid w:val="00025715"/>
    <w:rsid w:val="00025F42"/>
    <w:rsid w:val="00027931"/>
    <w:rsid w:val="000320D1"/>
    <w:rsid w:val="00033D48"/>
    <w:rsid w:val="0003425D"/>
    <w:rsid w:val="0003518F"/>
    <w:rsid w:val="0003627D"/>
    <w:rsid w:val="00040519"/>
    <w:rsid w:val="00043666"/>
    <w:rsid w:val="00045516"/>
    <w:rsid w:val="0004579C"/>
    <w:rsid w:val="000467B2"/>
    <w:rsid w:val="00047EBE"/>
    <w:rsid w:val="00051557"/>
    <w:rsid w:val="00051A6F"/>
    <w:rsid w:val="00052CFB"/>
    <w:rsid w:val="000530C5"/>
    <w:rsid w:val="00056BA2"/>
    <w:rsid w:val="000604D6"/>
    <w:rsid w:val="00061971"/>
    <w:rsid w:val="00062159"/>
    <w:rsid w:val="00062E05"/>
    <w:rsid w:val="0006384C"/>
    <w:rsid w:val="00063BE5"/>
    <w:rsid w:val="00064704"/>
    <w:rsid w:val="00064B61"/>
    <w:rsid w:val="000668FF"/>
    <w:rsid w:val="0006744D"/>
    <w:rsid w:val="0007048D"/>
    <w:rsid w:val="00070D01"/>
    <w:rsid w:val="0007116F"/>
    <w:rsid w:val="0007122D"/>
    <w:rsid w:val="00071233"/>
    <w:rsid w:val="000715F0"/>
    <w:rsid w:val="00071CBE"/>
    <w:rsid w:val="00071F8E"/>
    <w:rsid w:val="00072C85"/>
    <w:rsid w:val="0007397B"/>
    <w:rsid w:val="00075C5C"/>
    <w:rsid w:val="00080F56"/>
    <w:rsid w:val="00080FE2"/>
    <w:rsid w:val="00084C94"/>
    <w:rsid w:val="00085041"/>
    <w:rsid w:val="00086E7F"/>
    <w:rsid w:val="00087C9A"/>
    <w:rsid w:val="00090E06"/>
    <w:rsid w:val="0009101C"/>
    <w:rsid w:val="000931A3"/>
    <w:rsid w:val="00093B7C"/>
    <w:rsid w:val="0009647D"/>
    <w:rsid w:val="000974B6"/>
    <w:rsid w:val="00097BC9"/>
    <w:rsid w:val="000A14BA"/>
    <w:rsid w:val="000A1A24"/>
    <w:rsid w:val="000A3852"/>
    <w:rsid w:val="000A5021"/>
    <w:rsid w:val="000A59D7"/>
    <w:rsid w:val="000A6CDA"/>
    <w:rsid w:val="000B0447"/>
    <w:rsid w:val="000B0F02"/>
    <w:rsid w:val="000B342F"/>
    <w:rsid w:val="000B35E9"/>
    <w:rsid w:val="000B6543"/>
    <w:rsid w:val="000C1194"/>
    <w:rsid w:val="000C26E9"/>
    <w:rsid w:val="000C3933"/>
    <w:rsid w:val="000C4EEA"/>
    <w:rsid w:val="000C50E4"/>
    <w:rsid w:val="000C7870"/>
    <w:rsid w:val="000C7EFF"/>
    <w:rsid w:val="000D2444"/>
    <w:rsid w:val="000D37A2"/>
    <w:rsid w:val="000D3885"/>
    <w:rsid w:val="000D39EC"/>
    <w:rsid w:val="000D5F86"/>
    <w:rsid w:val="000D760F"/>
    <w:rsid w:val="000D77E0"/>
    <w:rsid w:val="000D7BA4"/>
    <w:rsid w:val="000E369D"/>
    <w:rsid w:val="000E6589"/>
    <w:rsid w:val="000E6AE3"/>
    <w:rsid w:val="000E7E0D"/>
    <w:rsid w:val="000F1A2A"/>
    <w:rsid w:val="000F1F5B"/>
    <w:rsid w:val="000F543F"/>
    <w:rsid w:val="000F5FF2"/>
    <w:rsid w:val="000F765D"/>
    <w:rsid w:val="000F76C6"/>
    <w:rsid w:val="000F7F78"/>
    <w:rsid w:val="00101066"/>
    <w:rsid w:val="0010138F"/>
    <w:rsid w:val="00101824"/>
    <w:rsid w:val="0010238B"/>
    <w:rsid w:val="00103D74"/>
    <w:rsid w:val="0010489C"/>
    <w:rsid w:val="00105ED6"/>
    <w:rsid w:val="00105EEE"/>
    <w:rsid w:val="0010614D"/>
    <w:rsid w:val="00110227"/>
    <w:rsid w:val="001110D2"/>
    <w:rsid w:val="001121AA"/>
    <w:rsid w:val="001127E0"/>
    <w:rsid w:val="001141E2"/>
    <w:rsid w:val="00116830"/>
    <w:rsid w:val="00121256"/>
    <w:rsid w:val="00122403"/>
    <w:rsid w:val="0012337E"/>
    <w:rsid w:val="00123D02"/>
    <w:rsid w:val="00123D80"/>
    <w:rsid w:val="00124C6C"/>
    <w:rsid w:val="00125F12"/>
    <w:rsid w:val="0012778B"/>
    <w:rsid w:val="00131734"/>
    <w:rsid w:val="00132BD8"/>
    <w:rsid w:val="00135C6B"/>
    <w:rsid w:val="001366B7"/>
    <w:rsid w:val="00136E2C"/>
    <w:rsid w:val="00137F01"/>
    <w:rsid w:val="00141DE1"/>
    <w:rsid w:val="00143F4F"/>
    <w:rsid w:val="00144997"/>
    <w:rsid w:val="00146BF8"/>
    <w:rsid w:val="00146F25"/>
    <w:rsid w:val="001501F3"/>
    <w:rsid w:val="00150AC8"/>
    <w:rsid w:val="00151D82"/>
    <w:rsid w:val="00152637"/>
    <w:rsid w:val="00153D7F"/>
    <w:rsid w:val="001541FF"/>
    <w:rsid w:val="00154E48"/>
    <w:rsid w:val="00156D93"/>
    <w:rsid w:val="00157401"/>
    <w:rsid w:val="00161053"/>
    <w:rsid w:val="001613E9"/>
    <w:rsid w:val="00161467"/>
    <w:rsid w:val="00161723"/>
    <w:rsid w:val="00162D88"/>
    <w:rsid w:val="0016472B"/>
    <w:rsid w:val="001651ED"/>
    <w:rsid w:val="00165E95"/>
    <w:rsid w:val="0017045D"/>
    <w:rsid w:val="00170608"/>
    <w:rsid w:val="00172F9A"/>
    <w:rsid w:val="0017338C"/>
    <w:rsid w:val="00177240"/>
    <w:rsid w:val="00177B3D"/>
    <w:rsid w:val="0018432D"/>
    <w:rsid w:val="0018492E"/>
    <w:rsid w:val="0018543F"/>
    <w:rsid w:val="00185AFA"/>
    <w:rsid w:val="00187151"/>
    <w:rsid w:val="00190469"/>
    <w:rsid w:val="001906C8"/>
    <w:rsid w:val="0019080E"/>
    <w:rsid w:val="0019167F"/>
    <w:rsid w:val="00191D65"/>
    <w:rsid w:val="001926CC"/>
    <w:rsid w:val="00194DC7"/>
    <w:rsid w:val="00196BFA"/>
    <w:rsid w:val="00197613"/>
    <w:rsid w:val="00197A02"/>
    <w:rsid w:val="00197C3C"/>
    <w:rsid w:val="001A0299"/>
    <w:rsid w:val="001A211D"/>
    <w:rsid w:val="001A42ED"/>
    <w:rsid w:val="001A5348"/>
    <w:rsid w:val="001A5878"/>
    <w:rsid w:val="001A648F"/>
    <w:rsid w:val="001A65E3"/>
    <w:rsid w:val="001A6F50"/>
    <w:rsid w:val="001A7864"/>
    <w:rsid w:val="001A7A1C"/>
    <w:rsid w:val="001A7A67"/>
    <w:rsid w:val="001A7BA2"/>
    <w:rsid w:val="001B004A"/>
    <w:rsid w:val="001B0436"/>
    <w:rsid w:val="001B0CDA"/>
    <w:rsid w:val="001B2A4F"/>
    <w:rsid w:val="001B2B8B"/>
    <w:rsid w:val="001B4960"/>
    <w:rsid w:val="001B6921"/>
    <w:rsid w:val="001B78F4"/>
    <w:rsid w:val="001C06BB"/>
    <w:rsid w:val="001C0F4D"/>
    <w:rsid w:val="001C2896"/>
    <w:rsid w:val="001C49A5"/>
    <w:rsid w:val="001C5AA6"/>
    <w:rsid w:val="001C6956"/>
    <w:rsid w:val="001D0F94"/>
    <w:rsid w:val="001D28CE"/>
    <w:rsid w:val="001D29C2"/>
    <w:rsid w:val="001D3E69"/>
    <w:rsid w:val="001D548D"/>
    <w:rsid w:val="001D6558"/>
    <w:rsid w:val="001D67EB"/>
    <w:rsid w:val="001D75A4"/>
    <w:rsid w:val="001D7FCE"/>
    <w:rsid w:val="001E05B9"/>
    <w:rsid w:val="001E27A0"/>
    <w:rsid w:val="001E4B36"/>
    <w:rsid w:val="001E51F6"/>
    <w:rsid w:val="001E614A"/>
    <w:rsid w:val="001E650C"/>
    <w:rsid w:val="001E6A81"/>
    <w:rsid w:val="001E6B2A"/>
    <w:rsid w:val="001E7319"/>
    <w:rsid w:val="001E7347"/>
    <w:rsid w:val="001E7D44"/>
    <w:rsid w:val="001F11A9"/>
    <w:rsid w:val="001F1D6F"/>
    <w:rsid w:val="001F22CD"/>
    <w:rsid w:val="001F351C"/>
    <w:rsid w:val="001F3A6B"/>
    <w:rsid w:val="001F3F6B"/>
    <w:rsid w:val="001F5F6B"/>
    <w:rsid w:val="001F629A"/>
    <w:rsid w:val="001F6953"/>
    <w:rsid w:val="001F798F"/>
    <w:rsid w:val="0020003C"/>
    <w:rsid w:val="00200430"/>
    <w:rsid w:val="002041A9"/>
    <w:rsid w:val="00205AF4"/>
    <w:rsid w:val="00210527"/>
    <w:rsid w:val="00211726"/>
    <w:rsid w:val="0021362D"/>
    <w:rsid w:val="00216A2B"/>
    <w:rsid w:val="00216EA9"/>
    <w:rsid w:val="00221765"/>
    <w:rsid w:val="00224D88"/>
    <w:rsid w:val="00225440"/>
    <w:rsid w:val="0022691A"/>
    <w:rsid w:val="0022765C"/>
    <w:rsid w:val="002308F7"/>
    <w:rsid w:val="00230AA2"/>
    <w:rsid w:val="00231301"/>
    <w:rsid w:val="002314E2"/>
    <w:rsid w:val="002316BD"/>
    <w:rsid w:val="0023196D"/>
    <w:rsid w:val="002324EC"/>
    <w:rsid w:val="002327DA"/>
    <w:rsid w:val="00233490"/>
    <w:rsid w:val="00235BA9"/>
    <w:rsid w:val="00236766"/>
    <w:rsid w:val="002369AE"/>
    <w:rsid w:val="002400B5"/>
    <w:rsid w:val="00240FF4"/>
    <w:rsid w:val="00242648"/>
    <w:rsid w:val="002428D0"/>
    <w:rsid w:val="00242946"/>
    <w:rsid w:val="0024307E"/>
    <w:rsid w:val="00243841"/>
    <w:rsid w:val="00244E33"/>
    <w:rsid w:val="00247BE3"/>
    <w:rsid w:val="002500A7"/>
    <w:rsid w:val="00256610"/>
    <w:rsid w:val="002576F8"/>
    <w:rsid w:val="00257C71"/>
    <w:rsid w:val="0026293E"/>
    <w:rsid w:val="00262B01"/>
    <w:rsid w:val="00264445"/>
    <w:rsid w:val="00264D41"/>
    <w:rsid w:val="00266484"/>
    <w:rsid w:val="0026756F"/>
    <w:rsid w:val="002713A8"/>
    <w:rsid w:val="002722C5"/>
    <w:rsid w:val="00272467"/>
    <w:rsid w:val="00272833"/>
    <w:rsid w:val="00274528"/>
    <w:rsid w:val="00274B7A"/>
    <w:rsid w:val="00275B0A"/>
    <w:rsid w:val="00276EC5"/>
    <w:rsid w:val="0028008B"/>
    <w:rsid w:val="0028077B"/>
    <w:rsid w:val="00281C42"/>
    <w:rsid w:val="0028467A"/>
    <w:rsid w:val="002869A7"/>
    <w:rsid w:val="00286E37"/>
    <w:rsid w:val="00287195"/>
    <w:rsid w:val="00290094"/>
    <w:rsid w:val="00291A37"/>
    <w:rsid w:val="00294487"/>
    <w:rsid w:val="00295437"/>
    <w:rsid w:val="0029551D"/>
    <w:rsid w:val="00296399"/>
    <w:rsid w:val="00296E5E"/>
    <w:rsid w:val="002A0659"/>
    <w:rsid w:val="002A06AE"/>
    <w:rsid w:val="002A2130"/>
    <w:rsid w:val="002A364D"/>
    <w:rsid w:val="002A3DB9"/>
    <w:rsid w:val="002A5283"/>
    <w:rsid w:val="002A6960"/>
    <w:rsid w:val="002A6D4D"/>
    <w:rsid w:val="002A6F0C"/>
    <w:rsid w:val="002A73D0"/>
    <w:rsid w:val="002A7AD9"/>
    <w:rsid w:val="002B100B"/>
    <w:rsid w:val="002B1810"/>
    <w:rsid w:val="002B1C84"/>
    <w:rsid w:val="002B23C8"/>
    <w:rsid w:val="002B3975"/>
    <w:rsid w:val="002B3A84"/>
    <w:rsid w:val="002B5EB4"/>
    <w:rsid w:val="002B6352"/>
    <w:rsid w:val="002B7FAA"/>
    <w:rsid w:val="002C1120"/>
    <w:rsid w:val="002C2072"/>
    <w:rsid w:val="002C2397"/>
    <w:rsid w:val="002C2B8E"/>
    <w:rsid w:val="002C47D7"/>
    <w:rsid w:val="002C4F7A"/>
    <w:rsid w:val="002C60A2"/>
    <w:rsid w:val="002C7257"/>
    <w:rsid w:val="002D0D85"/>
    <w:rsid w:val="002D252E"/>
    <w:rsid w:val="002D387D"/>
    <w:rsid w:val="002D4A87"/>
    <w:rsid w:val="002D5213"/>
    <w:rsid w:val="002D5257"/>
    <w:rsid w:val="002D5C2F"/>
    <w:rsid w:val="002D5E92"/>
    <w:rsid w:val="002D6223"/>
    <w:rsid w:val="002E045B"/>
    <w:rsid w:val="002E2D66"/>
    <w:rsid w:val="002E2E87"/>
    <w:rsid w:val="002E4A44"/>
    <w:rsid w:val="002E550B"/>
    <w:rsid w:val="002F1CF2"/>
    <w:rsid w:val="002F3844"/>
    <w:rsid w:val="002F5EEC"/>
    <w:rsid w:val="002F6168"/>
    <w:rsid w:val="002F6E1A"/>
    <w:rsid w:val="002F7468"/>
    <w:rsid w:val="002F756C"/>
    <w:rsid w:val="00300D35"/>
    <w:rsid w:val="00301062"/>
    <w:rsid w:val="00306CE1"/>
    <w:rsid w:val="0030793D"/>
    <w:rsid w:val="0031079D"/>
    <w:rsid w:val="0031127E"/>
    <w:rsid w:val="00311C50"/>
    <w:rsid w:val="003120A6"/>
    <w:rsid w:val="0031246D"/>
    <w:rsid w:val="003163E9"/>
    <w:rsid w:val="00317DF6"/>
    <w:rsid w:val="0032257A"/>
    <w:rsid w:val="00322E48"/>
    <w:rsid w:val="0032315C"/>
    <w:rsid w:val="00324B68"/>
    <w:rsid w:val="003258F7"/>
    <w:rsid w:val="0032626C"/>
    <w:rsid w:val="0032659D"/>
    <w:rsid w:val="0033008C"/>
    <w:rsid w:val="00331146"/>
    <w:rsid w:val="003315D5"/>
    <w:rsid w:val="00331B7C"/>
    <w:rsid w:val="003322D2"/>
    <w:rsid w:val="00332BFE"/>
    <w:rsid w:val="00332D5F"/>
    <w:rsid w:val="0033342E"/>
    <w:rsid w:val="003358D6"/>
    <w:rsid w:val="00335E90"/>
    <w:rsid w:val="00337CD7"/>
    <w:rsid w:val="0034130C"/>
    <w:rsid w:val="00341442"/>
    <w:rsid w:val="00342900"/>
    <w:rsid w:val="00344E27"/>
    <w:rsid w:val="00346281"/>
    <w:rsid w:val="003473A7"/>
    <w:rsid w:val="00347D29"/>
    <w:rsid w:val="00347E73"/>
    <w:rsid w:val="00351D62"/>
    <w:rsid w:val="003556D6"/>
    <w:rsid w:val="003565C2"/>
    <w:rsid w:val="00357531"/>
    <w:rsid w:val="00357CF1"/>
    <w:rsid w:val="00360180"/>
    <w:rsid w:val="003612B9"/>
    <w:rsid w:val="0036181E"/>
    <w:rsid w:val="00363145"/>
    <w:rsid w:val="003643D6"/>
    <w:rsid w:val="00364655"/>
    <w:rsid w:val="0036666A"/>
    <w:rsid w:val="00367C69"/>
    <w:rsid w:val="00370365"/>
    <w:rsid w:val="00370A97"/>
    <w:rsid w:val="00372752"/>
    <w:rsid w:val="0037324C"/>
    <w:rsid w:val="00373E75"/>
    <w:rsid w:val="00374BA1"/>
    <w:rsid w:val="00376402"/>
    <w:rsid w:val="003772B6"/>
    <w:rsid w:val="003805A0"/>
    <w:rsid w:val="0038133B"/>
    <w:rsid w:val="003814CD"/>
    <w:rsid w:val="0038442E"/>
    <w:rsid w:val="0038490B"/>
    <w:rsid w:val="00384C08"/>
    <w:rsid w:val="003850FC"/>
    <w:rsid w:val="0039019D"/>
    <w:rsid w:val="003905F9"/>
    <w:rsid w:val="00394EBD"/>
    <w:rsid w:val="0039519A"/>
    <w:rsid w:val="00395A88"/>
    <w:rsid w:val="00397F2D"/>
    <w:rsid w:val="003A0F3C"/>
    <w:rsid w:val="003A105F"/>
    <w:rsid w:val="003A1176"/>
    <w:rsid w:val="003A2827"/>
    <w:rsid w:val="003A2ACD"/>
    <w:rsid w:val="003A3502"/>
    <w:rsid w:val="003A733B"/>
    <w:rsid w:val="003B16CC"/>
    <w:rsid w:val="003B2D95"/>
    <w:rsid w:val="003B5C5E"/>
    <w:rsid w:val="003B5D5F"/>
    <w:rsid w:val="003B6EF6"/>
    <w:rsid w:val="003B6F8B"/>
    <w:rsid w:val="003B781C"/>
    <w:rsid w:val="003C1041"/>
    <w:rsid w:val="003C14B7"/>
    <w:rsid w:val="003C1EC9"/>
    <w:rsid w:val="003C2D02"/>
    <w:rsid w:val="003C30EE"/>
    <w:rsid w:val="003C543C"/>
    <w:rsid w:val="003C6B84"/>
    <w:rsid w:val="003D07F4"/>
    <w:rsid w:val="003D1021"/>
    <w:rsid w:val="003D37D0"/>
    <w:rsid w:val="003D415C"/>
    <w:rsid w:val="003D46E2"/>
    <w:rsid w:val="003D4EF9"/>
    <w:rsid w:val="003D5443"/>
    <w:rsid w:val="003D78AF"/>
    <w:rsid w:val="003E1169"/>
    <w:rsid w:val="003E1E4E"/>
    <w:rsid w:val="003E28DD"/>
    <w:rsid w:val="003E33DA"/>
    <w:rsid w:val="003E3683"/>
    <w:rsid w:val="003E3BFC"/>
    <w:rsid w:val="003E3D3C"/>
    <w:rsid w:val="003E5EFF"/>
    <w:rsid w:val="003E5FCB"/>
    <w:rsid w:val="003E64B5"/>
    <w:rsid w:val="003E67A7"/>
    <w:rsid w:val="003F1E6A"/>
    <w:rsid w:val="003F2216"/>
    <w:rsid w:val="003F22F4"/>
    <w:rsid w:val="003F24F6"/>
    <w:rsid w:val="003F2AFA"/>
    <w:rsid w:val="003F57EE"/>
    <w:rsid w:val="003F5EFA"/>
    <w:rsid w:val="004002D2"/>
    <w:rsid w:val="004002FE"/>
    <w:rsid w:val="00403746"/>
    <w:rsid w:val="00404D49"/>
    <w:rsid w:val="00404FFF"/>
    <w:rsid w:val="004050A1"/>
    <w:rsid w:val="00405877"/>
    <w:rsid w:val="00405884"/>
    <w:rsid w:val="004059DE"/>
    <w:rsid w:val="00405C43"/>
    <w:rsid w:val="00406ED8"/>
    <w:rsid w:val="00410BFC"/>
    <w:rsid w:val="00410FB9"/>
    <w:rsid w:val="00412DB0"/>
    <w:rsid w:val="00412ED1"/>
    <w:rsid w:val="00414AF7"/>
    <w:rsid w:val="004153A9"/>
    <w:rsid w:val="00416B08"/>
    <w:rsid w:val="004209FB"/>
    <w:rsid w:val="004216BA"/>
    <w:rsid w:val="00421D39"/>
    <w:rsid w:val="00422233"/>
    <w:rsid w:val="004225AF"/>
    <w:rsid w:val="00422880"/>
    <w:rsid w:val="00423FFF"/>
    <w:rsid w:val="00424BE7"/>
    <w:rsid w:val="00424EB3"/>
    <w:rsid w:val="0042622B"/>
    <w:rsid w:val="0042638A"/>
    <w:rsid w:val="004269B6"/>
    <w:rsid w:val="004278B4"/>
    <w:rsid w:val="00430041"/>
    <w:rsid w:val="00430B39"/>
    <w:rsid w:val="004320BC"/>
    <w:rsid w:val="004338B0"/>
    <w:rsid w:val="00435208"/>
    <w:rsid w:val="00436FB6"/>
    <w:rsid w:val="00437EF9"/>
    <w:rsid w:val="00437F0E"/>
    <w:rsid w:val="00441094"/>
    <w:rsid w:val="00441095"/>
    <w:rsid w:val="00441617"/>
    <w:rsid w:val="0044240A"/>
    <w:rsid w:val="00443C10"/>
    <w:rsid w:val="00445651"/>
    <w:rsid w:val="00445A10"/>
    <w:rsid w:val="004469C4"/>
    <w:rsid w:val="00446E65"/>
    <w:rsid w:val="00452C6D"/>
    <w:rsid w:val="0045512F"/>
    <w:rsid w:val="00455CA2"/>
    <w:rsid w:val="004574A5"/>
    <w:rsid w:val="0045751A"/>
    <w:rsid w:val="00460218"/>
    <w:rsid w:val="004610BF"/>
    <w:rsid w:val="004658D3"/>
    <w:rsid w:val="00465C83"/>
    <w:rsid w:val="004663A8"/>
    <w:rsid w:val="004671ED"/>
    <w:rsid w:val="004672D8"/>
    <w:rsid w:val="004706DE"/>
    <w:rsid w:val="0047098E"/>
    <w:rsid w:val="00471BD5"/>
    <w:rsid w:val="00471EC8"/>
    <w:rsid w:val="0047362D"/>
    <w:rsid w:val="00475B36"/>
    <w:rsid w:val="004802DB"/>
    <w:rsid w:val="004809DF"/>
    <w:rsid w:val="0048126C"/>
    <w:rsid w:val="00481669"/>
    <w:rsid w:val="00483DAB"/>
    <w:rsid w:val="00483F09"/>
    <w:rsid w:val="00485A22"/>
    <w:rsid w:val="004904A1"/>
    <w:rsid w:val="00491411"/>
    <w:rsid w:val="0049167B"/>
    <w:rsid w:val="00491C4D"/>
    <w:rsid w:val="0049394D"/>
    <w:rsid w:val="00494719"/>
    <w:rsid w:val="00494849"/>
    <w:rsid w:val="00494B6F"/>
    <w:rsid w:val="00494E91"/>
    <w:rsid w:val="004954A5"/>
    <w:rsid w:val="004A019F"/>
    <w:rsid w:val="004A03FF"/>
    <w:rsid w:val="004A1B85"/>
    <w:rsid w:val="004A3A25"/>
    <w:rsid w:val="004A3D1D"/>
    <w:rsid w:val="004A41BC"/>
    <w:rsid w:val="004B172B"/>
    <w:rsid w:val="004B2EFE"/>
    <w:rsid w:val="004B3018"/>
    <w:rsid w:val="004B34DB"/>
    <w:rsid w:val="004B35A6"/>
    <w:rsid w:val="004B5499"/>
    <w:rsid w:val="004B61F1"/>
    <w:rsid w:val="004B625D"/>
    <w:rsid w:val="004C05D7"/>
    <w:rsid w:val="004C0819"/>
    <w:rsid w:val="004C147D"/>
    <w:rsid w:val="004C1C95"/>
    <w:rsid w:val="004C20FB"/>
    <w:rsid w:val="004C2CE4"/>
    <w:rsid w:val="004C4B7A"/>
    <w:rsid w:val="004C7BB9"/>
    <w:rsid w:val="004D26D5"/>
    <w:rsid w:val="004D3C0A"/>
    <w:rsid w:val="004D4DF2"/>
    <w:rsid w:val="004E0219"/>
    <w:rsid w:val="004E06CF"/>
    <w:rsid w:val="004E1B43"/>
    <w:rsid w:val="004E25DB"/>
    <w:rsid w:val="004E288C"/>
    <w:rsid w:val="004E579A"/>
    <w:rsid w:val="004E6B04"/>
    <w:rsid w:val="004E787B"/>
    <w:rsid w:val="004E7EC2"/>
    <w:rsid w:val="004F3940"/>
    <w:rsid w:val="004F41BB"/>
    <w:rsid w:val="004F5471"/>
    <w:rsid w:val="0050038B"/>
    <w:rsid w:val="00501010"/>
    <w:rsid w:val="005014D1"/>
    <w:rsid w:val="005033D5"/>
    <w:rsid w:val="0050414B"/>
    <w:rsid w:val="005067B2"/>
    <w:rsid w:val="00510DF8"/>
    <w:rsid w:val="00511B1C"/>
    <w:rsid w:val="005123A3"/>
    <w:rsid w:val="00513796"/>
    <w:rsid w:val="005145C7"/>
    <w:rsid w:val="00517058"/>
    <w:rsid w:val="00521001"/>
    <w:rsid w:val="00522DCB"/>
    <w:rsid w:val="0052418D"/>
    <w:rsid w:val="00524D16"/>
    <w:rsid w:val="00524E0C"/>
    <w:rsid w:val="005258A3"/>
    <w:rsid w:val="005261B0"/>
    <w:rsid w:val="005276D4"/>
    <w:rsid w:val="005308CE"/>
    <w:rsid w:val="00535C06"/>
    <w:rsid w:val="005362C8"/>
    <w:rsid w:val="00537EDA"/>
    <w:rsid w:val="00540EB8"/>
    <w:rsid w:val="005411E1"/>
    <w:rsid w:val="00541284"/>
    <w:rsid w:val="00542E43"/>
    <w:rsid w:val="0054344E"/>
    <w:rsid w:val="00545F82"/>
    <w:rsid w:val="00547E38"/>
    <w:rsid w:val="00550B91"/>
    <w:rsid w:val="00550D3B"/>
    <w:rsid w:val="00551E57"/>
    <w:rsid w:val="00552A89"/>
    <w:rsid w:val="00552C14"/>
    <w:rsid w:val="005530AF"/>
    <w:rsid w:val="005533C6"/>
    <w:rsid w:val="00554051"/>
    <w:rsid w:val="00554894"/>
    <w:rsid w:val="00554D06"/>
    <w:rsid w:val="0055514B"/>
    <w:rsid w:val="005570DF"/>
    <w:rsid w:val="0055754E"/>
    <w:rsid w:val="0056117D"/>
    <w:rsid w:val="005617D3"/>
    <w:rsid w:val="00562F67"/>
    <w:rsid w:val="00563080"/>
    <w:rsid w:val="005652FE"/>
    <w:rsid w:val="005665B5"/>
    <w:rsid w:val="00566B35"/>
    <w:rsid w:val="005718BA"/>
    <w:rsid w:val="005720D0"/>
    <w:rsid w:val="00573C05"/>
    <w:rsid w:val="005742E0"/>
    <w:rsid w:val="00575B0D"/>
    <w:rsid w:val="00576661"/>
    <w:rsid w:val="00584685"/>
    <w:rsid w:val="00584C24"/>
    <w:rsid w:val="005853E4"/>
    <w:rsid w:val="00585B78"/>
    <w:rsid w:val="00587530"/>
    <w:rsid w:val="00591462"/>
    <w:rsid w:val="00592031"/>
    <w:rsid w:val="0059240F"/>
    <w:rsid w:val="00592C9E"/>
    <w:rsid w:val="005937D4"/>
    <w:rsid w:val="00593CF7"/>
    <w:rsid w:val="00593D2F"/>
    <w:rsid w:val="005954FD"/>
    <w:rsid w:val="005A0FE6"/>
    <w:rsid w:val="005A22A4"/>
    <w:rsid w:val="005A2393"/>
    <w:rsid w:val="005A3E46"/>
    <w:rsid w:val="005A3F93"/>
    <w:rsid w:val="005A44F5"/>
    <w:rsid w:val="005A530C"/>
    <w:rsid w:val="005A5EFC"/>
    <w:rsid w:val="005A69D3"/>
    <w:rsid w:val="005A75A3"/>
    <w:rsid w:val="005A7B35"/>
    <w:rsid w:val="005B0E4E"/>
    <w:rsid w:val="005B0ECA"/>
    <w:rsid w:val="005B58D1"/>
    <w:rsid w:val="005B5C88"/>
    <w:rsid w:val="005C01DE"/>
    <w:rsid w:val="005C08C6"/>
    <w:rsid w:val="005C1017"/>
    <w:rsid w:val="005C13E1"/>
    <w:rsid w:val="005C152F"/>
    <w:rsid w:val="005C24B8"/>
    <w:rsid w:val="005C2C56"/>
    <w:rsid w:val="005C5995"/>
    <w:rsid w:val="005C6655"/>
    <w:rsid w:val="005C67E1"/>
    <w:rsid w:val="005C7685"/>
    <w:rsid w:val="005D08A3"/>
    <w:rsid w:val="005D144A"/>
    <w:rsid w:val="005D2376"/>
    <w:rsid w:val="005D242F"/>
    <w:rsid w:val="005D37C3"/>
    <w:rsid w:val="005D48DC"/>
    <w:rsid w:val="005D524A"/>
    <w:rsid w:val="005E019B"/>
    <w:rsid w:val="005E2376"/>
    <w:rsid w:val="005E3524"/>
    <w:rsid w:val="005E42F3"/>
    <w:rsid w:val="005E4BE2"/>
    <w:rsid w:val="005F05FD"/>
    <w:rsid w:val="005F18B1"/>
    <w:rsid w:val="005F2E5F"/>
    <w:rsid w:val="005F4570"/>
    <w:rsid w:val="005F5659"/>
    <w:rsid w:val="005F5F6B"/>
    <w:rsid w:val="005F6191"/>
    <w:rsid w:val="005F667E"/>
    <w:rsid w:val="005F7C6C"/>
    <w:rsid w:val="005F7F79"/>
    <w:rsid w:val="006017FE"/>
    <w:rsid w:val="006030BD"/>
    <w:rsid w:val="006046EA"/>
    <w:rsid w:val="0060517C"/>
    <w:rsid w:val="00605B8A"/>
    <w:rsid w:val="0061218B"/>
    <w:rsid w:val="006132B2"/>
    <w:rsid w:val="006135C4"/>
    <w:rsid w:val="006140CD"/>
    <w:rsid w:val="006140EC"/>
    <w:rsid w:val="00616D43"/>
    <w:rsid w:val="00617083"/>
    <w:rsid w:val="00617DDF"/>
    <w:rsid w:val="00620DCB"/>
    <w:rsid w:val="00622139"/>
    <w:rsid w:val="00622B73"/>
    <w:rsid w:val="006231A3"/>
    <w:rsid w:val="00623F99"/>
    <w:rsid w:val="006242D1"/>
    <w:rsid w:val="00624CEC"/>
    <w:rsid w:val="00624ECE"/>
    <w:rsid w:val="00626B8F"/>
    <w:rsid w:val="00626E91"/>
    <w:rsid w:val="00627F9F"/>
    <w:rsid w:val="00631088"/>
    <w:rsid w:val="00633BEA"/>
    <w:rsid w:val="0063419E"/>
    <w:rsid w:val="0063610D"/>
    <w:rsid w:val="006377FD"/>
    <w:rsid w:val="00640A46"/>
    <w:rsid w:val="00640D82"/>
    <w:rsid w:val="00643F81"/>
    <w:rsid w:val="0064615F"/>
    <w:rsid w:val="00646668"/>
    <w:rsid w:val="006471D8"/>
    <w:rsid w:val="00647467"/>
    <w:rsid w:val="006477E1"/>
    <w:rsid w:val="00650D7C"/>
    <w:rsid w:val="00651095"/>
    <w:rsid w:val="006512C2"/>
    <w:rsid w:val="00653559"/>
    <w:rsid w:val="00653977"/>
    <w:rsid w:val="00655C43"/>
    <w:rsid w:val="006600A6"/>
    <w:rsid w:val="006617C2"/>
    <w:rsid w:val="00661819"/>
    <w:rsid w:val="00661992"/>
    <w:rsid w:val="00661DDB"/>
    <w:rsid w:val="00662BC7"/>
    <w:rsid w:val="00663A5C"/>
    <w:rsid w:val="006665F4"/>
    <w:rsid w:val="006679A0"/>
    <w:rsid w:val="00670657"/>
    <w:rsid w:val="00671197"/>
    <w:rsid w:val="00674742"/>
    <w:rsid w:val="0067476B"/>
    <w:rsid w:val="00674991"/>
    <w:rsid w:val="0067506F"/>
    <w:rsid w:val="00676A1C"/>
    <w:rsid w:val="00676A30"/>
    <w:rsid w:val="00676AE9"/>
    <w:rsid w:val="006777DB"/>
    <w:rsid w:val="00677BE9"/>
    <w:rsid w:val="00682048"/>
    <w:rsid w:val="006820F5"/>
    <w:rsid w:val="0068305E"/>
    <w:rsid w:val="006851F7"/>
    <w:rsid w:val="00686531"/>
    <w:rsid w:val="00686EE7"/>
    <w:rsid w:val="006933C7"/>
    <w:rsid w:val="00694297"/>
    <w:rsid w:val="0069460E"/>
    <w:rsid w:val="00696EE7"/>
    <w:rsid w:val="006A1719"/>
    <w:rsid w:val="006A34F6"/>
    <w:rsid w:val="006A45C3"/>
    <w:rsid w:val="006A6BAD"/>
    <w:rsid w:val="006A6DDF"/>
    <w:rsid w:val="006B004C"/>
    <w:rsid w:val="006B04F0"/>
    <w:rsid w:val="006B0C81"/>
    <w:rsid w:val="006B3727"/>
    <w:rsid w:val="006B3CA1"/>
    <w:rsid w:val="006B48E4"/>
    <w:rsid w:val="006B6C4C"/>
    <w:rsid w:val="006B794F"/>
    <w:rsid w:val="006C0843"/>
    <w:rsid w:val="006C125E"/>
    <w:rsid w:val="006C28FF"/>
    <w:rsid w:val="006C34B3"/>
    <w:rsid w:val="006C6128"/>
    <w:rsid w:val="006C76D5"/>
    <w:rsid w:val="006C784F"/>
    <w:rsid w:val="006D0B4F"/>
    <w:rsid w:val="006D0D49"/>
    <w:rsid w:val="006D1920"/>
    <w:rsid w:val="006D333D"/>
    <w:rsid w:val="006D416F"/>
    <w:rsid w:val="006D4221"/>
    <w:rsid w:val="006D5AF5"/>
    <w:rsid w:val="006D5C02"/>
    <w:rsid w:val="006D5FE6"/>
    <w:rsid w:val="006D69AF"/>
    <w:rsid w:val="006D7706"/>
    <w:rsid w:val="006E1C6E"/>
    <w:rsid w:val="006E2531"/>
    <w:rsid w:val="006E370D"/>
    <w:rsid w:val="006E61E2"/>
    <w:rsid w:val="006E79C9"/>
    <w:rsid w:val="006F0163"/>
    <w:rsid w:val="006F0FAF"/>
    <w:rsid w:val="006F21EF"/>
    <w:rsid w:val="006F2B0E"/>
    <w:rsid w:val="006F359F"/>
    <w:rsid w:val="006F3885"/>
    <w:rsid w:val="006F4B03"/>
    <w:rsid w:val="006F6866"/>
    <w:rsid w:val="006F6A39"/>
    <w:rsid w:val="006F6BAC"/>
    <w:rsid w:val="007009AA"/>
    <w:rsid w:val="00700DD7"/>
    <w:rsid w:val="00700FBE"/>
    <w:rsid w:val="00701E31"/>
    <w:rsid w:val="00703423"/>
    <w:rsid w:val="007036F1"/>
    <w:rsid w:val="0070409E"/>
    <w:rsid w:val="00705C80"/>
    <w:rsid w:val="0070631E"/>
    <w:rsid w:val="00706B1E"/>
    <w:rsid w:val="0070750E"/>
    <w:rsid w:val="00707D8D"/>
    <w:rsid w:val="007103CF"/>
    <w:rsid w:val="0071145D"/>
    <w:rsid w:val="0071153E"/>
    <w:rsid w:val="007121F6"/>
    <w:rsid w:val="00712B06"/>
    <w:rsid w:val="00714791"/>
    <w:rsid w:val="00714FBF"/>
    <w:rsid w:val="00716693"/>
    <w:rsid w:val="00720951"/>
    <w:rsid w:val="007219C0"/>
    <w:rsid w:val="00721CDE"/>
    <w:rsid w:val="007224D4"/>
    <w:rsid w:val="007233FD"/>
    <w:rsid w:val="0072351D"/>
    <w:rsid w:val="007249F7"/>
    <w:rsid w:val="00724E91"/>
    <w:rsid w:val="0072562E"/>
    <w:rsid w:val="00725D44"/>
    <w:rsid w:val="00727652"/>
    <w:rsid w:val="00727C95"/>
    <w:rsid w:val="00730411"/>
    <w:rsid w:val="007309A2"/>
    <w:rsid w:val="00731829"/>
    <w:rsid w:val="00732FC5"/>
    <w:rsid w:val="00733C06"/>
    <w:rsid w:val="0073561D"/>
    <w:rsid w:val="00736500"/>
    <w:rsid w:val="00737B8F"/>
    <w:rsid w:val="00737C30"/>
    <w:rsid w:val="00737C65"/>
    <w:rsid w:val="00737E22"/>
    <w:rsid w:val="007410A5"/>
    <w:rsid w:val="00741519"/>
    <w:rsid w:val="00741856"/>
    <w:rsid w:val="007418D2"/>
    <w:rsid w:val="00741D7F"/>
    <w:rsid w:val="00741E01"/>
    <w:rsid w:val="00741F61"/>
    <w:rsid w:val="00742054"/>
    <w:rsid w:val="0074474E"/>
    <w:rsid w:val="00744FAD"/>
    <w:rsid w:val="00747C75"/>
    <w:rsid w:val="00750D3B"/>
    <w:rsid w:val="0075156A"/>
    <w:rsid w:val="00757659"/>
    <w:rsid w:val="0076160A"/>
    <w:rsid w:val="0076314E"/>
    <w:rsid w:val="0076316A"/>
    <w:rsid w:val="00763291"/>
    <w:rsid w:val="00764B07"/>
    <w:rsid w:val="007658CA"/>
    <w:rsid w:val="00766448"/>
    <w:rsid w:val="007702FB"/>
    <w:rsid w:val="00770338"/>
    <w:rsid w:val="00772A7D"/>
    <w:rsid w:val="00772CEB"/>
    <w:rsid w:val="0077655F"/>
    <w:rsid w:val="0077687B"/>
    <w:rsid w:val="00776B8B"/>
    <w:rsid w:val="00777B4F"/>
    <w:rsid w:val="007800F5"/>
    <w:rsid w:val="00780A7F"/>
    <w:rsid w:val="00781176"/>
    <w:rsid w:val="007823C8"/>
    <w:rsid w:val="0078371F"/>
    <w:rsid w:val="00784C27"/>
    <w:rsid w:val="00785D34"/>
    <w:rsid w:val="00790A31"/>
    <w:rsid w:val="00791B91"/>
    <w:rsid w:val="007922DA"/>
    <w:rsid w:val="007932EA"/>
    <w:rsid w:val="00793E8C"/>
    <w:rsid w:val="00795690"/>
    <w:rsid w:val="007969F7"/>
    <w:rsid w:val="007A1DD3"/>
    <w:rsid w:val="007A4567"/>
    <w:rsid w:val="007A4C44"/>
    <w:rsid w:val="007A4FDC"/>
    <w:rsid w:val="007A515B"/>
    <w:rsid w:val="007A7B6E"/>
    <w:rsid w:val="007B1280"/>
    <w:rsid w:val="007C1584"/>
    <w:rsid w:val="007C2035"/>
    <w:rsid w:val="007C27B3"/>
    <w:rsid w:val="007C2E99"/>
    <w:rsid w:val="007C5064"/>
    <w:rsid w:val="007C521F"/>
    <w:rsid w:val="007C5D9C"/>
    <w:rsid w:val="007C6007"/>
    <w:rsid w:val="007D0260"/>
    <w:rsid w:val="007D2B32"/>
    <w:rsid w:val="007D3E39"/>
    <w:rsid w:val="007D52A8"/>
    <w:rsid w:val="007D5B02"/>
    <w:rsid w:val="007D6D84"/>
    <w:rsid w:val="007E0D70"/>
    <w:rsid w:val="007E3737"/>
    <w:rsid w:val="007E42F2"/>
    <w:rsid w:val="007E45C8"/>
    <w:rsid w:val="007E4B18"/>
    <w:rsid w:val="007E7069"/>
    <w:rsid w:val="007E7617"/>
    <w:rsid w:val="007E7F99"/>
    <w:rsid w:val="007F2A40"/>
    <w:rsid w:val="007F3884"/>
    <w:rsid w:val="007F39AF"/>
    <w:rsid w:val="007F4660"/>
    <w:rsid w:val="007F4F66"/>
    <w:rsid w:val="007F52E0"/>
    <w:rsid w:val="007F73B6"/>
    <w:rsid w:val="00806FFB"/>
    <w:rsid w:val="00807816"/>
    <w:rsid w:val="00807F78"/>
    <w:rsid w:val="0081178A"/>
    <w:rsid w:val="00811DFE"/>
    <w:rsid w:val="008143D8"/>
    <w:rsid w:val="0081477A"/>
    <w:rsid w:val="0082050C"/>
    <w:rsid w:val="00821D49"/>
    <w:rsid w:val="008225CE"/>
    <w:rsid w:val="00824E4A"/>
    <w:rsid w:val="00825700"/>
    <w:rsid w:val="00825A03"/>
    <w:rsid w:val="00825BEF"/>
    <w:rsid w:val="0082629B"/>
    <w:rsid w:val="00826722"/>
    <w:rsid w:val="00826DF3"/>
    <w:rsid w:val="00827953"/>
    <w:rsid w:val="0083097E"/>
    <w:rsid w:val="00830EF3"/>
    <w:rsid w:val="00830F57"/>
    <w:rsid w:val="008317A9"/>
    <w:rsid w:val="00831D8C"/>
    <w:rsid w:val="0083205D"/>
    <w:rsid w:val="00832636"/>
    <w:rsid w:val="0083339E"/>
    <w:rsid w:val="0083349D"/>
    <w:rsid w:val="008338F8"/>
    <w:rsid w:val="00834566"/>
    <w:rsid w:val="0083540D"/>
    <w:rsid w:val="00835555"/>
    <w:rsid w:val="00835673"/>
    <w:rsid w:val="00835A8C"/>
    <w:rsid w:val="00835D8F"/>
    <w:rsid w:val="00836111"/>
    <w:rsid w:val="00836960"/>
    <w:rsid w:val="00840130"/>
    <w:rsid w:val="00840868"/>
    <w:rsid w:val="008439C3"/>
    <w:rsid w:val="00843CF0"/>
    <w:rsid w:val="00844205"/>
    <w:rsid w:val="0084489A"/>
    <w:rsid w:val="00845C40"/>
    <w:rsid w:val="00851087"/>
    <w:rsid w:val="00851C57"/>
    <w:rsid w:val="00851E40"/>
    <w:rsid w:val="0085259A"/>
    <w:rsid w:val="00853868"/>
    <w:rsid w:val="00854364"/>
    <w:rsid w:val="0085453E"/>
    <w:rsid w:val="00854F4D"/>
    <w:rsid w:val="008556D6"/>
    <w:rsid w:val="0085628E"/>
    <w:rsid w:val="008603DA"/>
    <w:rsid w:val="00860776"/>
    <w:rsid w:val="00860795"/>
    <w:rsid w:val="00860FAE"/>
    <w:rsid w:val="00861D53"/>
    <w:rsid w:val="00862501"/>
    <w:rsid w:val="0086284A"/>
    <w:rsid w:val="00864424"/>
    <w:rsid w:val="00864ADD"/>
    <w:rsid w:val="00864DA5"/>
    <w:rsid w:val="008655BF"/>
    <w:rsid w:val="008656E5"/>
    <w:rsid w:val="00867DB8"/>
    <w:rsid w:val="008700DB"/>
    <w:rsid w:val="00870755"/>
    <w:rsid w:val="00873B58"/>
    <w:rsid w:val="008740C1"/>
    <w:rsid w:val="008744D1"/>
    <w:rsid w:val="0087595F"/>
    <w:rsid w:val="00876C56"/>
    <w:rsid w:val="00876C96"/>
    <w:rsid w:val="0088001E"/>
    <w:rsid w:val="0088049F"/>
    <w:rsid w:val="008805F8"/>
    <w:rsid w:val="00882278"/>
    <w:rsid w:val="00882941"/>
    <w:rsid w:val="00882AA2"/>
    <w:rsid w:val="00882D17"/>
    <w:rsid w:val="0088360E"/>
    <w:rsid w:val="00883AB6"/>
    <w:rsid w:val="00884E4A"/>
    <w:rsid w:val="00890FE1"/>
    <w:rsid w:val="00894778"/>
    <w:rsid w:val="008952BB"/>
    <w:rsid w:val="008970A3"/>
    <w:rsid w:val="008972AC"/>
    <w:rsid w:val="008977F7"/>
    <w:rsid w:val="008979C0"/>
    <w:rsid w:val="008A0338"/>
    <w:rsid w:val="008A0CD3"/>
    <w:rsid w:val="008A0E16"/>
    <w:rsid w:val="008A2053"/>
    <w:rsid w:val="008A2247"/>
    <w:rsid w:val="008A338C"/>
    <w:rsid w:val="008A343D"/>
    <w:rsid w:val="008A48CC"/>
    <w:rsid w:val="008A6695"/>
    <w:rsid w:val="008A67DF"/>
    <w:rsid w:val="008A7827"/>
    <w:rsid w:val="008A7E0A"/>
    <w:rsid w:val="008B0F32"/>
    <w:rsid w:val="008B145C"/>
    <w:rsid w:val="008B2235"/>
    <w:rsid w:val="008B2916"/>
    <w:rsid w:val="008B540E"/>
    <w:rsid w:val="008B5F28"/>
    <w:rsid w:val="008B6854"/>
    <w:rsid w:val="008B68E8"/>
    <w:rsid w:val="008B742B"/>
    <w:rsid w:val="008B7666"/>
    <w:rsid w:val="008C0B86"/>
    <w:rsid w:val="008C10D7"/>
    <w:rsid w:val="008C1754"/>
    <w:rsid w:val="008C1F2A"/>
    <w:rsid w:val="008C2E8B"/>
    <w:rsid w:val="008C6291"/>
    <w:rsid w:val="008C6506"/>
    <w:rsid w:val="008D0453"/>
    <w:rsid w:val="008D0D6E"/>
    <w:rsid w:val="008D141C"/>
    <w:rsid w:val="008D21F6"/>
    <w:rsid w:val="008D2FFA"/>
    <w:rsid w:val="008D39B6"/>
    <w:rsid w:val="008D5DB7"/>
    <w:rsid w:val="008D61E6"/>
    <w:rsid w:val="008D63A0"/>
    <w:rsid w:val="008D6B34"/>
    <w:rsid w:val="008E0152"/>
    <w:rsid w:val="008E258C"/>
    <w:rsid w:val="008E2E05"/>
    <w:rsid w:val="008E3E50"/>
    <w:rsid w:val="008E46AA"/>
    <w:rsid w:val="008E4F5C"/>
    <w:rsid w:val="008E552F"/>
    <w:rsid w:val="008E6076"/>
    <w:rsid w:val="008F3701"/>
    <w:rsid w:val="008F44B6"/>
    <w:rsid w:val="008F6374"/>
    <w:rsid w:val="009003A9"/>
    <w:rsid w:val="009008F3"/>
    <w:rsid w:val="00901BD0"/>
    <w:rsid w:val="0090229C"/>
    <w:rsid w:val="009022FE"/>
    <w:rsid w:val="00903527"/>
    <w:rsid w:val="0090452F"/>
    <w:rsid w:val="00905A2D"/>
    <w:rsid w:val="00907B8A"/>
    <w:rsid w:val="00910ABF"/>
    <w:rsid w:val="00911830"/>
    <w:rsid w:val="0091206E"/>
    <w:rsid w:val="009137A2"/>
    <w:rsid w:val="00914353"/>
    <w:rsid w:val="00914D58"/>
    <w:rsid w:val="00915C88"/>
    <w:rsid w:val="00916CF4"/>
    <w:rsid w:val="00916D53"/>
    <w:rsid w:val="009171B3"/>
    <w:rsid w:val="00921858"/>
    <w:rsid w:val="00921DF0"/>
    <w:rsid w:val="00923687"/>
    <w:rsid w:val="00924A3F"/>
    <w:rsid w:val="00924BD0"/>
    <w:rsid w:val="00924E9B"/>
    <w:rsid w:val="0092597D"/>
    <w:rsid w:val="009265BE"/>
    <w:rsid w:val="009270D2"/>
    <w:rsid w:val="00930328"/>
    <w:rsid w:val="00931450"/>
    <w:rsid w:val="0093166D"/>
    <w:rsid w:val="00932A26"/>
    <w:rsid w:val="00933338"/>
    <w:rsid w:val="0093362C"/>
    <w:rsid w:val="0093437C"/>
    <w:rsid w:val="009356EF"/>
    <w:rsid w:val="0093630F"/>
    <w:rsid w:val="0093699C"/>
    <w:rsid w:val="009405A5"/>
    <w:rsid w:val="0094165D"/>
    <w:rsid w:val="009417BB"/>
    <w:rsid w:val="0094242D"/>
    <w:rsid w:val="009426B3"/>
    <w:rsid w:val="009435B6"/>
    <w:rsid w:val="00944017"/>
    <w:rsid w:val="00945A26"/>
    <w:rsid w:val="00951058"/>
    <w:rsid w:val="0095153D"/>
    <w:rsid w:val="00952E1D"/>
    <w:rsid w:val="0095398E"/>
    <w:rsid w:val="00954918"/>
    <w:rsid w:val="00955068"/>
    <w:rsid w:val="00955DA7"/>
    <w:rsid w:val="009575E3"/>
    <w:rsid w:val="00957F56"/>
    <w:rsid w:val="0096037C"/>
    <w:rsid w:val="00960655"/>
    <w:rsid w:val="00961E72"/>
    <w:rsid w:val="009624C6"/>
    <w:rsid w:val="009626D5"/>
    <w:rsid w:val="00963159"/>
    <w:rsid w:val="00963A76"/>
    <w:rsid w:val="00964A78"/>
    <w:rsid w:val="00964D52"/>
    <w:rsid w:val="00966B78"/>
    <w:rsid w:val="00967A7B"/>
    <w:rsid w:val="009708A1"/>
    <w:rsid w:val="00970E12"/>
    <w:rsid w:val="00971956"/>
    <w:rsid w:val="00971CB7"/>
    <w:rsid w:val="00972347"/>
    <w:rsid w:val="00973356"/>
    <w:rsid w:val="00973786"/>
    <w:rsid w:val="00980E0B"/>
    <w:rsid w:val="009825F6"/>
    <w:rsid w:val="00982AC4"/>
    <w:rsid w:val="00982CC7"/>
    <w:rsid w:val="009840C7"/>
    <w:rsid w:val="0098492C"/>
    <w:rsid w:val="00984A43"/>
    <w:rsid w:val="00986837"/>
    <w:rsid w:val="0098764C"/>
    <w:rsid w:val="0099023E"/>
    <w:rsid w:val="0099055B"/>
    <w:rsid w:val="009918B9"/>
    <w:rsid w:val="00992D08"/>
    <w:rsid w:val="00992D22"/>
    <w:rsid w:val="00993197"/>
    <w:rsid w:val="009936F9"/>
    <w:rsid w:val="009958EB"/>
    <w:rsid w:val="009A16C8"/>
    <w:rsid w:val="009A3121"/>
    <w:rsid w:val="009A36D6"/>
    <w:rsid w:val="009A393E"/>
    <w:rsid w:val="009A711A"/>
    <w:rsid w:val="009B31C1"/>
    <w:rsid w:val="009B3A76"/>
    <w:rsid w:val="009B4D43"/>
    <w:rsid w:val="009B5582"/>
    <w:rsid w:val="009B5B44"/>
    <w:rsid w:val="009B7D7D"/>
    <w:rsid w:val="009C0C87"/>
    <w:rsid w:val="009C0FF5"/>
    <w:rsid w:val="009C3077"/>
    <w:rsid w:val="009C3661"/>
    <w:rsid w:val="009C3FFD"/>
    <w:rsid w:val="009C587C"/>
    <w:rsid w:val="009C5CD3"/>
    <w:rsid w:val="009C7E3D"/>
    <w:rsid w:val="009D0C05"/>
    <w:rsid w:val="009D1677"/>
    <w:rsid w:val="009D16DF"/>
    <w:rsid w:val="009D19C3"/>
    <w:rsid w:val="009D29D8"/>
    <w:rsid w:val="009D304E"/>
    <w:rsid w:val="009D3518"/>
    <w:rsid w:val="009D362C"/>
    <w:rsid w:val="009D3F93"/>
    <w:rsid w:val="009D5DA6"/>
    <w:rsid w:val="009D5E76"/>
    <w:rsid w:val="009D71ED"/>
    <w:rsid w:val="009E25C7"/>
    <w:rsid w:val="009E4AC4"/>
    <w:rsid w:val="009E6C0E"/>
    <w:rsid w:val="009F070E"/>
    <w:rsid w:val="009F2913"/>
    <w:rsid w:val="009F4904"/>
    <w:rsid w:val="009F5B89"/>
    <w:rsid w:val="009F6198"/>
    <w:rsid w:val="009F6773"/>
    <w:rsid w:val="009F7C3A"/>
    <w:rsid w:val="009F7CA1"/>
    <w:rsid w:val="00A0098C"/>
    <w:rsid w:val="00A01678"/>
    <w:rsid w:val="00A01C66"/>
    <w:rsid w:val="00A02109"/>
    <w:rsid w:val="00A0263F"/>
    <w:rsid w:val="00A0315D"/>
    <w:rsid w:val="00A0329E"/>
    <w:rsid w:val="00A049C8"/>
    <w:rsid w:val="00A062EA"/>
    <w:rsid w:val="00A13F6D"/>
    <w:rsid w:val="00A149BF"/>
    <w:rsid w:val="00A16B16"/>
    <w:rsid w:val="00A16B56"/>
    <w:rsid w:val="00A177FA"/>
    <w:rsid w:val="00A17BEB"/>
    <w:rsid w:val="00A17E95"/>
    <w:rsid w:val="00A214A2"/>
    <w:rsid w:val="00A22A6D"/>
    <w:rsid w:val="00A24284"/>
    <w:rsid w:val="00A2596F"/>
    <w:rsid w:val="00A27B8B"/>
    <w:rsid w:val="00A34B84"/>
    <w:rsid w:val="00A35B3A"/>
    <w:rsid w:val="00A360FA"/>
    <w:rsid w:val="00A37ED8"/>
    <w:rsid w:val="00A4013A"/>
    <w:rsid w:val="00A41478"/>
    <w:rsid w:val="00A414B3"/>
    <w:rsid w:val="00A44369"/>
    <w:rsid w:val="00A52843"/>
    <w:rsid w:val="00A55085"/>
    <w:rsid w:val="00A57DEF"/>
    <w:rsid w:val="00A60A10"/>
    <w:rsid w:val="00A62C2D"/>
    <w:rsid w:val="00A63FFA"/>
    <w:rsid w:val="00A66F30"/>
    <w:rsid w:val="00A673EA"/>
    <w:rsid w:val="00A679FD"/>
    <w:rsid w:val="00A67F8D"/>
    <w:rsid w:val="00A700E0"/>
    <w:rsid w:val="00A7048E"/>
    <w:rsid w:val="00A72D00"/>
    <w:rsid w:val="00A72E5D"/>
    <w:rsid w:val="00A72F60"/>
    <w:rsid w:val="00A7368F"/>
    <w:rsid w:val="00A74C38"/>
    <w:rsid w:val="00A752CF"/>
    <w:rsid w:val="00A753B3"/>
    <w:rsid w:val="00A75DD9"/>
    <w:rsid w:val="00A77096"/>
    <w:rsid w:val="00A77758"/>
    <w:rsid w:val="00A77ACE"/>
    <w:rsid w:val="00A8170C"/>
    <w:rsid w:val="00A81903"/>
    <w:rsid w:val="00A824AC"/>
    <w:rsid w:val="00A838F7"/>
    <w:rsid w:val="00A85CA0"/>
    <w:rsid w:val="00A86CAC"/>
    <w:rsid w:val="00A91694"/>
    <w:rsid w:val="00A918ED"/>
    <w:rsid w:val="00A928D1"/>
    <w:rsid w:val="00A92FA8"/>
    <w:rsid w:val="00A934FC"/>
    <w:rsid w:val="00A95FA2"/>
    <w:rsid w:val="00A96138"/>
    <w:rsid w:val="00A97208"/>
    <w:rsid w:val="00AA06B9"/>
    <w:rsid w:val="00AA28B9"/>
    <w:rsid w:val="00AA2D4E"/>
    <w:rsid w:val="00AA3873"/>
    <w:rsid w:val="00AA43A8"/>
    <w:rsid w:val="00AA506A"/>
    <w:rsid w:val="00AA611B"/>
    <w:rsid w:val="00AA6396"/>
    <w:rsid w:val="00AA7601"/>
    <w:rsid w:val="00AA7CA6"/>
    <w:rsid w:val="00AB3555"/>
    <w:rsid w:val="00AB3B0B"/>
    <w:rsid w:val="00AB3EDC"/>
    <w:rsid w:val="00AB420D"/>
    <w:rsid w:val="00AB5D01"/>
    <w:rsid w:val="00AB5EAE"/>
    <w:rsid w:val="00AB6575"/>
    <w:rsid w:val="00AB6AE4"/>
    <w:rsid w:val="00AB7CD1"/>
    <w:rsid w:val="00AC10A1"/>
    <w:rsid w:val="00AC2CE1"/>
    <w:rsid w:val="00AC36D3"/>
    <w:rsid w:val="00AC4545"/>
    <w:rsid w:val="00AC4859"/>
    <w:rsid w:val="00AC62EF"/>
    <w:rsid w:val="00AC6397"/>
    <w:rsid w:val="00AC7276"/>
    <w:rsid w:val="00AC79E7"/>
    <w:rsid w:val="00AC7C7F"/>
    <w:rsid w:val="00AD0725"/>
    <w:rsid w:val="00AD0842"/>
    <w:rsid w:val="00AD0A83"/>
    <w:rsid w:val="00AD4C4B"/>
    <w:rsid w:val="00AD5D27"/>
    <w:rsid w:val="00AD768D"/>
    <w:rsid w:val="00AD778A"/>
    <w:rsid w:val="00AE1776"/>
    <w:rsid w:val="00AE1C37"/>
    <w:rsid w:val="00AE2FA5"/>
    <w:rsid w:val="00AE59AE"/>
    <w:rsid w:val="00AE70F2"/>
    <w:rsid w:val="00AF1FD3"/>
    <w:rsid w:val="00AF206B"/>
    <w:rsid w:val="00AF377F"/>
    <w:rsid w:val="00AF4218"/>
    <w:rsid w:val="00AF5AF5"/>
    <w:rsid w:val="00AF7E73"/>
    <w:rsid w:val="00B01621"/>
    <w:rsid w:val="00B02B73"/>
    <w:rsid w:val="00B03309"/>
    <w:rsid w:val="00B043D1"/>
    <w:rsid w:val="00B0592F"/>
    <w:rsid w:val="00B05AD4"/>
    <w:rsid w:val="00B06462"/>
    <w:rsid w:val="00B06581"/>
    <w:rsid w:val="00B06CBF"/>
    <w:rsid w:val="00B07E0B"/>
    <w:rsid w:val="00B10767"/>
    <w:rsid w:val="00B11CF3"/>
    <w:rsid w:val="00B12DC1"/>
    <w:rsid w:val="00B15646"/>
    <w:rsid w:val="00B162ED"/>
    <w:rsid w:val="00B16657"/>
    <w:rsid w:val="00B20439"/>
    <w:rsid w:val="00B20619"/>
    <w:rsid w:val="00B22E07"/>
    <w:rsid w:val="00B23A5B"/>
    <w:rsid w:val="00B24274"/>
    <w:rsid w:val="00B24B8C"/>
    <w:rsid w:val="00B26E98"/>
    <w:rsid w:val="00B31C9C"/>
    <w:rsid w:val="00B322DD"/>
    <w:rsid w:val="00B33329"/>
    <w:rsid w:val="00B33827"/>
    <w:rsid w:val="00B33ABF"/>
    <w:rsid w:val="00B34C53"/>
    <w:rsid w:val="00B36B6C"/>
    <w:rsid w:val="00B370B3"/>
    <w:rsid w:val="00B37FB7"/>
    <w:rsid w:val="00B40324"/>
    <w:rsid w:val="00B40DE9"/>
    <w:rsid w:val="00B43675"/>
    <w:rsid w:val="00B43EFC"/>
    <w:rsid w:val="00B441FB"/>
    <w:rsid w:val="00B46A0C"/>
    <w:rsid w:val="00B51908"/>
    <w:rsid w:val="00B51F96"/>
    <w:rsid w:val="00B52877"/>
    <w:rsid w:val="00B52BFB"/>
    <w:rsid w:val="00B52FC6"/>
    <w:rsid w:val="00B54285"/>
    <w:rsid w:val="00B5646D"/>
    <w:rsid w:val="00B57D7A"/>
    <w:rsid w:val="00B604D4"/>
    <w:rsid w:val="00B60729"/>
    <w:rsid w:val="00B60BD3"/>
    <w:rsid w:val="00B6281A"/>
    <w:rsid w:val="00B636A5"/>
    <w:rsid w:val="00B65263"/>
    <w:rsid w:val="00B65E52"/>
    <w:rsid w:val="00B661AC"/>
    <w:rsid w:val="00B705C5"/>
    <w:rsid w:val="00B70D83"/>
    <w:rsid w:val="00B716E1"/>
    <w:rsid w:val="00B71F4E"/>
    <w:rsid w:val="00B721F8"/>
    <w:rsid w:val="00B735CE"/>
    <w:rsid w:val="00B73630"/>
    <w:rsid w:val="00B77049"/>
    <w:rsid w:val="00B77F88"/>
    <w:rsid w:val="00B80F3F"/>
    <w:rsid w:val="00B817B8"/>
    <w:rsid w:val="00B83306"/>
    <w:rsid w:val="00B86572"/>
    <w:rsid w:val="00B86B58"/>
    <w:rsid w:val="00B90E1A"/>
    <w:rsid w:val="00B923F4"/>
    <w:rsid w:val="00B92C34"/>
    <w:rsid w:val="00B938A7"/>
    <w:rsid w:val="00B9458B"/>
    <w:rsid w:val="00B94CCB"/>
    <w:rsid w:val="00B95ADE"/>
    <w:rsid w:val="00B97CF0"/>
    <w:rsid w:val="00BA1230"/>
    <w:rsid w:val="00BA2242"/>
    <w:rsid w:val="00BA3C2C"/>
    <w:rsid w:val="00BA3DCC"/>
    <w:rsid w:val="00BA41E1"/>
    <w:rsid w:val="00BA466B"/>
    <w:rsid w:val="00BA48D1"/>
    <w:rsid w:val="00BA56F3"/>
    <w:rsid w:val="00BA6851"/>
    <w:rsid w:val="00BA6F35"/>
    <w:rsid w:val="00BA77C4"/>
    <w:rsid w:val="00BA7F83"/>
    <w:rsid w:val="00BA7F9D"/>
    <w:rsid w:val="00BB019D"/>
    <w:rsid w:val="00BB0B9E"/>
    <w:rsid w:val="00BB2E69"/>
    <w:rsid w:val="00BB3BEC"/>
    <w:rsid w:val="00BB44CF"/>
    <w:rsid w:val="00BB5F42"/>
    <w:rsid w:val="00BC0B5A"/>
    <w:rsid w:val="00BC3E58"/>
    <w:rsid w:val="00BC4DD9"/>
    <w:rsid w:val="00BD0E87"/>
    <w:rsid w:val="00BD1BDA"/>
    <w:rsid w:val="00BD21F5"/>
    <w:rsid w:val="00BD42AC"/>
    <w:rsid w:val="00BD521E"/>
    <w:rsid w:val="00BD52C7"/>
    <w:rsid w:val="00BD53B2"/>
    <w:rsid w:val="00BD6D85"/>
    <w:rsid w:val="00BD733B"/>
    <w:rsid w:val="00BD7752"/>
    <w:rsid w:val="00BD7BC6"/>
    <w:rsid w:val="00BD7CB1"/>
    <w:rsid w:val="00BE03B7"/>
    <w:rsid w:val="00BE08AE"/>
    <w:rsid w:val="00BE0B8B"/>
    <w:rsid w:val="00BE21FB"/>
    <w:rsid w:val="00BE42A7"/>
    <w:rsid w:val="00BE598C"/>
    <w:rsid w:val="00BE6059"/>
    <w:rsid w:val="00BE7841"/>
    <w:rsid w:val="00BE7C76"/>
    <w:rsid w:val="00BE7F21"/>
    <w:rsid w:val="00BF2BC7"/>
    <w:rsid w:val="00BF5A90"/>
    <w:rsid w:val="00BF65B7"/>
    <w:rsid w:val="00C006FF"/>
    <w:rsid w:val="00C010E4"/>
    <w:rsid w:val="00C01C62"/>
    <w:rsid w:val="00C02C48"/>
    <w:rsid w:val="00C05789"/>
    <w:rsid w:val="00C059EF"/>
    <w:rsid w:val="00C064E4"/>
    <w:rsid w:val="00C06E0D"/>
    <w:rsid w:val="00C073BA"/>
    <w:rsid w:val="00C0761E"/>
    <w:rsid w:val="00C07823"/>
    <w:rsid w:val="00C10076"/>
    <w:rsid w:val="00C10DCB"/>
    <w:rsid w:val="00C113A8"/>
    <w:rsid w:val="00C1286A"/>
    <w:rsid w:val="00C13011"/>
    <w:rsid w:val="00C13780"/>
    <w:rsid w:val="00C13CB9"/>
    <w:rsid w:val="00C145DD"/>
    <w:rsid w:val="00C14904"/>
    <w:rsid w:val="00C14A58"/>
    <w:rsid w:val="00C15D49"/>
    <w:rsid w:val="00C17B60"/>
    <w:rsid w:val="00C2069A"/>
    <w:rsid w:val="00C21DE0"/>
    <w:rsid w:val="00C22CD1"/>
    <w:rsid w:val="00C24D40"/>
    <w:rsid w:val="00C25BAF"/>
    <w:rsid w:val="00C25D58"/>
    <w:rsid w:val="00C30F67"/>
    <w:rsid w:val="00C321D6"/>
    <w:rsid w:val="00C33160"/>
    <w:rsid w:val="00C348CF"/>
    <w:rsid w:val="00C41FD0"/>
    <w:rsid w:val="00C42B83"/>
    <w:rsid w:val="00C42ED7"/>
    <w:rsid w:val="00C4388A"/>
    <w:rsid w:val="00C4736B"/>
    <w:rsid w:val="00C47D67"/>
    <w:rsid w:val="00C5191F"/>
    <w:rsid w:val="00C529EB"/>
    <w:rsid w:val="00C53031"/>
    <w:rsid w:val="00C5408C"/>
    <w:rsid w:val="00C555FA"/>
    <w:rsid w:val="00C55938"/>
    <w:rsid w:val="00C55BBF"/>
    <w:rsid w:val="00C5757F"/>
    <w:rsid w:val="00C57E63"/>
    <w:rsid w:val="00C60DAF"/>
    <w:rsid w:val="00C636A4"/>
    <w:rsid w:val="00C63A4E"/>
    <w:rsid w:val="00C653EF"/>
    <w:rsid w:val="00C65818"/>
    <w:rsid w:val="00C65A55"/>
    <w:rsid w:val="00C66403"/>
    <w:rsid w:val="00C66F77"/>
    <w:rsid w:val="00C67329"/>
    <w:rsid w:val="00C70F9B"/>
    <w:rsid w:val="00C73143"/>
    <w:rsid w:val="00C73D9A"/>
    <w:rsid w:val="00C7400B"/>
    <w:rsid w:val="00C771BA"/>
    <w:rsid w:val="00C808B2"/>
    <w:rsid w:val="00C83E94"/>
    <w:rsid w:val="00C84109"/>
    <w:rsid w:val="00C8451A"/>
    <w:rsid w:val="00C85CDE"/>
    <w:rsid w:val="00C86ED4"/>
    <w:rsid w:val="00C906ED"/>
    <w:rsid w:val="00C91B7B"/>
    <w:rsid w:val="00C92A00"/>
    <w:rsid w:val="00C92A86"/>
    <w:rsid w:val="00C92BED"/>
    <w:rsid w:val="00C9458F"/>
    <w:rsid w:val="00C955DC"/>
    <w:rsid w:val="00C97201"/>
    <w:rsid w:val="00CA135E"/>
    <w:rsid w:val="00CA186A"/>
    <w:rsid w:val="00CA3F22"/>
    <w:rsid w:val="00CA48B0"/>
    <w:rsid w:val="00CA5747"/>
    <w:rsid w:val="00CA5EEB"/>
    <w:rsid w:val="00CA6D6D"/>
    <w:rsid w:val="00CA70E5"/>
    <w:rsid w:val="00CA7683"/>
    <w:rsid w:val="00CB0D1E"/>
    <w:rsid w:val="00CB2D04"/>
    <w:rsid w:val="00CB354D"/>
    <w:rsid w:val="00CB4B5B"/>
    <w:rsid w:val="00CB5AFF"/>
    <w:rsid w:val="00CB652E"/>
    <w:rsid w:val="00CB7357"/>
    <w:rsid w:val="00CB7469"/>
    <w:rsid w:val="00CC0081"/>
    <w:rsid w:val="00CC4D26"/>
    <w:rsid w:val="00CC5390"/>
    <w:rsid w:val="00CC570A"/>
    <w:rsid w:val="00CC5D6C"/>
    <w:rsid w:val="00CC6C08"/>
    <w:rsid w:val="00CD148A"/>
    <w:rsid w:val="00CD1932"/>
    <w:rsid w:val="00CD4036"/>
    <w:rsid w:val="00CD68E2"/>
    <w:rsid w:val="00CD71BB"/>
    <w:rsid w:val="00CE12E5"/>
    <w:rsid w:val="00CE16B3"/>
    <w:rsid w:val="00CE30DD"/>
    <w:rsid w:val="00CE3BE7"/>
    <w:rsid w:val="00CE4EB1"/>
    <w:rsid w:val="00CE555B"/>
    <w:rsid w:val="00CE5EA3"/>
    <w:rsid w:val="00CE7344"/>
    <w:rsid w:val="00CF0A13"/>
    <w:rsid w:val="00CF1688"/>
    <w:rsid w:val="00CF3AD6"/>
    <w:rsid w:val="00CF3C31"/>
    <w:rsid w:val="00CF3F1B"/>
    <w:rsid w:val="00CF411C"/>
    <w:rsid w:val="00CF4157"/>
    <w:rsid w:val="00CF4AEC"/>
    <w:rsid w:val="00CF64A7"/>
    <w:rsid w:val="00D0009A"/>
    <w:rsid w:val="00D018A3"/>
    <w:rsid w:val="00D02031"/>
    <w:rsid w:val="00D02BB5"/>
    <w:rsid w:val="00D03055"/>
    <w:rsid w:val="00D0417B"/>
    <w:rsid w:val="00D04786"/>
    <w:rsid w:val="00D07619"/>
    <w:rsid w:val="00D10F1D"/>
    <w:rsid w:val="00D11F41"/>
    <w:rsid w:val="00D1238A"/>
    <w:rsid w:val="00D13E32"/>
    <w:rsid w:val="00D13F8B"/>
    <w:rsid w:val="00D15548"/>
    <w:rsid w:val="00D1570E"/>
    <w:rsid w:val="00D16918"/>
    <w:rsid w:val="00D16F82"/>
    <w:rsid w:val="00D203BB"/>
    <w:rsid w:val="00D20B2B"/>
    <w:rsid w:val="00D2449C"/>
    <w:rsid w:val="00D255EB"/>
    <w:rsid w:val="00D32DC3"/>
    <w:rsid w:val="00D3308C"/>
    <w:rsid w:val="00D331E0"/>
    <w:rsid w:val="00D33F0F"/>
    <w:rsid w:val="00D362DD"/>
    <w:rsid w:val="00D400DE"/>
    <w:rsid w:val="00D417C0"/>
    <w:rsid w:val="00D45F98"/>
    <w:rsid w:val="00D4663A"/>
    <w:rsid w:val="00D476E2"/>
    <w:rsid w:val="00D50AFD"/>
    <w:rsid w:val="00D523EF"/>
    <w:rsid w:val="00D5372C"/>
    <w:rsid w:val="00D53BDC"/>
    <w:rsid w:val="00D54610"/>
    <w:rsid w:val="00D54B3B"/>
    <w:rsid w:val="00D54C10"/>
    <w:rsid w:val="00D61060"/>
    <w:rsid w:val="00D613D6"/>
    <w:rsid w:val="00D61B37"/>
    <w:rsid w:val="00D62D82"/>
    <w:rsid w:val="00D63B43"/>
    <w:rsid w:val="00D6407A"/>
    <w:rsid w:val="00D64943"/>
    <w:rsid w:val="00D663DC"/>
    <w:rsid w:val="00D7083F"/>
    <w:rsid w:val="00D70C27"/>
    <w:rsid w:val="00D7197A"/>
    <w:rsid w:val="00D719F8"/>
    <w:rsid w:val="00D7295C"/>
    <w:rsid w:val="00D72BA9"/>
    <w:rsid w:val="00D7399F"/>
    <w:rsid w:val="00D73DDD"/>
    <w:rsid w:val="00D7435E"/>
    <w:rsid w:val="00D76988"/>
    <w:rsid w:val="00D779EA"/>
    <w:rsid w:val="00D77C59"/>
    <w:rsid w:val="00D80979"/>
    <w:rsid w:val="00D82B75"/>
    <w:rsid w:val="00D84F84"/>
    <w:rsid w:val="00D90D2C"/>
    <w:rsid w:val="00D97A30"/>
    <w:rsid w:val="00D97DDE"/>
    <w:rsid w:val="00DA085A"/>
    <w:rsid w:val="00DA24F8"/>
    <w:rsid w:val="00DA2ACF"/>
    <w:rsid w:val="00DA4AF1"/>
    <w:rsid w:val="00DA78CC"/>
    <w:rsid w:val="00DB1679"/>
    <w:rsid w:val="00DB6C4C"/>
    <w:rsid w:val="00DC0A2B"/>
    <w:rsid w:val="00DC0E3F"/>
    <w:rsid w:val="00DC197C"/>
    <w:rsid w:val="00DC282A"/>
    <w:rsid w:val="00DC49E3"/>
    <w:rsid w:val="00DC6BB8"/>
    <w:rsid w:val="00DD3FA7"/>
    <w:rsid w:val="00DD539E"/>
    <w:rsid w:val="00DD548B"/>
    <w:rsid w:val="00DD5825"/>
    <w:rsid w:val="00DD5947"/>
    <w:rsid w:val="00DD6D12"/>
    <w:rsid w:val="00DD7DD9"/>
    <w:rsid w:val="00DE2300"/>
    <w:rsid w:val="00DE2ABF"/>
    <w:rsid w:val="00DE3F64"/>
    <w:rsid w:val="00DE63FA"/>
    <w:rsid w:val="00DF0FB7"/>
    <w:rsid w:val="00DF2102"/>
    <w:rsid w:val="00DF33B8"/>
    <w:rsid w:val="00DF3A37"/>
    <w:rsid w:val="00DF3B42"/>
    <w:rsid w:val="00DF52A1"/>
    <w:rsid w:val="00DF69D0"/>
    <w:rsid w:val="00DF7C29"/>
    <w:rsid w:val="00DF7D2C"/>
    <w:rsid w:val="00E00372"/>
    <w:rsid w:val="00E01D37"/>
    <w:rsid w:val="00E01DB4"/>
    <w:rsid w:val="00E01F96"/>
    <w:rsid w:val="00E0257A"/>
    <w:rsid w:val="00E0369D"/>
    <w:rsid w:val="00E067EE"/>
    <w:rsid w:val="00E078D3"/>
    <w:rsid w:val="00E10B89"/>
    <w:rsid w:val="00E11A80"/>
    <w:rsid w:val="00E11DE5"/>
    <w:rsid w:val="00E12879"/>
    <w:rsid w:val="00E130BC"/>
    <w:rsid w:val="00E154D0"/>
    <w:rsid w:val="00E15758"/>
    <w:rsid w:val="00E15FDA"/>
    <w:rsid w:val="00E223AE"/>
    <w:rsid w:val="00E234F8"/>
    <w:rsid w:val="00E2404D"/>
    <w:rsid w:val="00E25338"/>
    <w:rsid w:val="00E27B44"/>
    <w:rsid w:val="00E30376"/>
    <w:rsid w:val="00E346E2"/>
    <w:rsid w:val="00E34BAF"/>
    <w:rsid w:val="00E3520F"/>
    <w:rsid w:val="00E36508"/>
    <w:rsid w:val="00E3759E"/>
    <w:rsid w:val="00E37E38"/>
    <w:rsid w:val="00E40AC1"/>
    <w:rsid w:val="00E41264"/>
    <w:rsid w:val="00E41781"/>
    <w:rsid w:val="00E42836"/>
    <w:rsid w:val="00E42AFB"/>
    <w:rsid w:val="00E44DD9"/>
    <w:rsid w:val="00E458BC"/>
    <w:rsid w:val="00E46374"/>
    <w:rsid w:val="00E46A43"/>
    <w:rsid w:val="00E50447"/>
    <w:rsid w:val="00E54404"/>
    <w:rsid w:val="00E56256"/>
    <w:rsid w:val="00E60137"/>
    <w:rsid w:val="00E60788"/>
    <w:rsid w:val="00E60A18"/>
    <w:rsid w:val="00E6123F"/>
    <w:rsid w:val="00E61AB2"/>
    <w:rsid w:val="00E62DDA"/>
    <w:rsid w:val="00E6330B"/>
    <w:rsid w:val="00E63FB3"/>
    <w:rsid w:val="00E6559D"/>
    <w:rsid w:val="00E65D29"/>
    <w:rsid w:val="00E65DBE"/>
    <w:rsid w:val="00E660C7"/>
    <w:rsid w:val="00E665E4"/>
    <w:rsid w:val="00E70676"/>
    <w:rsid w:val="00E71BAD"/>
    <w:rsid w:val="00E72323"/>
    <w:rsid w:val="00E724A7"/>
    <w:rsid w:val="00E7373D"/>
    <w:rsid w:val="00E744BB"/>
    <w:rsid w:val="00E758BF"/>
    <w:rsid w:val="00E75955"/>
    <w:rsid w:val="00E761A6"/>
    <w:rsid w:val="00E76D2A"/>
    <w:rsid w:val="00E76F44"/>
    <w:rsid w:val="00E770FD"/>
    <w:rsid w:val="00E77332"/>
    <w:rsid w:val="00E77FB7"/>
    <w:rsid w:val="00E82A3F"/>
    <w:rsid w:val="00E831FF"/>
    <w:rsid w:val="00E83925"/>
    <w:rsid w:val="00E8398A"/>
    <w:rsid w:val="00E83AF9"/>
    <w:rsid w:val="00E84701"/>
    <w:rsid w:val="00E847A8"/>
    <w:rsid w:val="00E856FC"/>
    <w:rsid w:val="00E86F43"/>
    <w:rsid w:val="00E87084"/>
    <w:rsid w:val="00E904EF"/>
    <w:rsid w:val="00E913E2"/>
    <w:rsid w:val="00E91926"/>
    <w:rsid w:val="00E92E04"/>
    <w:rsid w:val="00E94D8C"/>
    <w:rsid w:val="00EA01F0"/>
    <w:rsid w:val="00EA2C8B"/>
    <w:rsid w:val="00EA2E2C"/>
    <w:rsid w:val="00EA4A0E"/>
    <w:rsid w:val="00EA4F7F"/>
    <w:rsid w:val="00EA5030"/>
    <w:rsid w:val="00EA5096"/>
    <w:rsid w:val="00EA6660"/>
    <w:rsid w:val="00EA6B67"/>
    <w:rsid w:val="00EA79FB"/>
    <w:rsid w:val="00EB025A"/>
    <w:rsid w:val="00EB149E"/>
    <w:rsid w:val="00EB2DE5"/>
    <w:rsid w:val="00EB4A12"/>
    <w:rsid w:val="00EB523A"/>
    <w:rsid w:val="00EB711A"/>
    <w:rsid w:val="00EC098B"/>
    <w:rsid w:val="00EC1B7D"/>
    <w:rsid w:val="00EC3CE3"/>
    <w:rsid w:val="00EC4B82"/>
    <w:rsid w:val="00EC669A"/>
    <w:rsid w:val="00EC6DAC"/>
    <w:rsid w:val="00ED115F"/>
    <w:rsid w:val="00ED22FA"/>
    <w:rsid w:val="00ED3DBA"/>
    <w:rsid w:val="00ED414F"/>
    <w:rsid w:val="00ED47DB"/>
    <w:rsid w:val="00ED5607"/>
    <w:rsid w:val="00ED6D65"/>
    <w:rsid w:val="00ED78E4"/>
    <w:rsid w:val="00ED7B52"/>
    <w:rsid w:val="00EE0F68"/>
    <w:rsid w:val="00EE12D9"/>
    <w:rsid w:val="00EE222A"/>
    <w:rsid w:val="00EE2AAD"/>
    <w:rsid w:val="00EE34D6"/>
    <w:rsid w:val="00EE4200"/>
    <w:rsid w:val="00EE436D"/>
    <w:rsid w:val="00EE58FC"/>
    <w:rsid w:val="00EE612B"/>
    <w:rsid w:val="00EE6E63"/>
    <w:rsid w:val="00EE7860"/>
    <w:rsid w:val="00EF02F1"/>
    <w:rsid w:val="00EF2468"/>
    <w:rsid w:val="00EF43E7"/>
    <w:rsid w:val="00EF4CF9"/>
    <w:rsid w:val="00EF6EA2"/>
    <w:rsid w:val="00EF6EED"/>
    <w:rsid w:val="00EF743D"/>
    <w:rsid w:val="00EF755D"/>
    <w:rsid w:val="00EF7AB7"/>
    <w:rsid w:val="00F01D35"/>
    <w:rsid w:val="00F028B9"/>
    <w:rsid w:val="00F04E71"/>
    <w:rsid w:val="00F07D2F"/>
    <w:rsid w:val="00F10391"/>
    <w:rsid w:val="00F106C6"/>
    <w:rsid w:val="00F13667"/>
    <w:rsid w:val="00F13C9E"/>
    <w:rsid w:val="00F13F32"/>
    <w:rsid w:val="00F16CD2"/>
    <w:rsid w:val="00F212C4"/>
    <w:rsid w:val="00F223BA"/>
    <w:rsid w:val="00F22816"/>
    <w:rsid w:val="00F22C83"/>
    <w:rsid w:val="00F22DC0"/>
    <w:rsid w:val="00F24104"/>
    <w:rsid w:val="00F24266"/>
    <w:rsid w:val="00F24BA5"/>
    <w:rsid w:val="00F25416"/>
    <w:rsid w:val="00F269CB"/>
    <w:rsid w:val="00F27874"/>
    <w:rsid w:val="00F27F01"/>
    <w:rsid w:val="00F34AF6"/>
    <w:rsid w:val="00F37861"/>
    <w:rsid w:val="00F400EC"/>
    <w:rsid w:val="00F40365"/>
    <w:rsid w:val="00F416E6"/>
    <w:rsid w:val="00F418DE"/>
    <w:rsid w:val="00F41B98"/>
    <w:rsid w:val="00F42580"/>
    <w:rsid w:val="00F428E5"/>
    <w:rsid w:val="00F44488"/>
    <w:rsid w:val="00F44630"/>
    <w:rsid w:val="00F44E7C"/>
    <w:rsid w:val="00F4529C"/>
    <w:rsid w:val="00F45BA3"/>
    <w:rsid w:val="00F51492"/>
    <w:rsid w:val="00F525D8"/>
    <w:rsid w:val="00F52832"/>
    <w:rsid w:val="00F538C3"/>
    <w:rsid w:val="00F54853"/>
    <w:rsid w:val="00F54A2B"/>
    <w:rsid w:val="00F55461"/>
    <w:rsid w:val="00F56564"/>
    <w:rsid w:val="00F6178D"/>
    <w:rsid w:val="00F62523"/>
    <w:rsid w:val="00F633DF"/>
    <w:rsid w:val="00F63ABE"/>
    <w:rsid w:val="00F6400E"/>
    <w:rsid w:val="00F650D9"/>
    <w:rsid w:val="00F6520E"/>
    <w:rsid w:val="00F659E3"/>
    <w:rsid w:val="00F667EA"/>
    <w:rsid w:val="00F67767"/>
    <w:rsid w:val="00F713BC"/>
    <w:rsid w:val="00F71AA0"/>
    <w:rsid w:val="00F72373"/>
    <w:rsid w:val="00F72C25"/>
    <w:rsid w:val="00F73DC6"/>
    <w:rsid w:val="00F77808"/>
    <w:rsid w:val="00F80622"/>
    <w:rsid w:val="00F813B3"/>
    <w:rsid w:val="00F8174F"/>
    <w:rsid w:val="00F83F55"/>
    <w:rsid w:val="00F84214"/>
    <w:rsid w:val="00F846F8"/>
    <w:rsid w:val="00F8670A"/>
    <w:rsid w:val="00F873F1"/>
    <w:rsid w:val="00F87CD0"/>
    <w:rsid w:val="00F90001"/>
    <w:rsid w:val="00F91195"/>
    <w:rsid w:val="00F915CF"/>
    <w:rsid w:val="00F91BE7"/>
    <w:rsid w:val="00F9375C"/>
    <w:rsid w:val="00F948E5"/>
    <w:rsid w:val="00F95175"/>
    <w:rsid w:val="00F95237"/>
    <w:rsid w:val="00F963A2"/>
    <w:rsid w:val="00F96EFD"/>
    <w:rsid w:val="00FA0648"/>
    <w:rsid w:val="00FA0A97"/>
    <w:rsid w:val="00FA223C"/>
    <w:rsid w:val="00FA224D"/>
    <w:rsid w:val="00FA31F0"/>
    <w:rsid w:val="00FA3854"/>
    <w:rsid w:val="00FA43DD"/>
    <w:rsid w:val="00FA4477"/>
    <w:rsid w:val="00FA48CB"/>
    <w:rsid w:val="00FB0F46"/>
    <w:rsid w:val="00FB3D64"/>
    <w:rsid w:val="00FB4DF3"/>
    <w:rsid w:val="00FB614F"/>
    <w:rsid w:val="00FB66FF"/>
    <w:rsid w:val="00FB7196"/>
    <w:rsid w:val="00FC3756"/>
    <w:rsid w:val="00FC3D05"/>
    <w:rsid w:val="00FC4143"/>
    <w:rsid w:val="00FC4198"/>
    <w:rsid w:val="00FC4A54"/>
    <w:rsid w:val="00FC55F9"/>
    <w:rsid w:val="00FC6D4B"/>
    <w:rsid w:val="00FC7FCC"/>
    <w:rsid w:val="00FD2C75"/>
    <w:rsid w:val="00FD4946"/>
    <w:rsid w:val="00FD594D"/>
    <w:rsid w:val="00FD5AC1"/>
    <w:rsid w:val="00FE13EF"/>
    <w:rsid w:val="00FE144B"/>
    <w:rsid w:val="00FE1887"/>
    <w:rsid w:val="00FE201F"/>
    <w:rsid w:val="00FE2747"/>
    <w:rsid w:val="00FE41EF"/>
    <w:rsid w:val="00FE48DC"/>
    <w:rsid w:val="00FE56E9"/>
    <w:rsid w:val="00FF01FD"/>
    <w:rsid w:val="00FF0AD9"/>
    <w:rsid w:val="00FF6D42"/>
    <w:rsid w:val="00FF78F8"/>
  </w:rsids>
  <m:mathPr>
    <m:mathFont m:val="Cambria Math"/>
    <m:brkBin m:val="before"/>
    <m:brkBinSub m:val="--"/>
    <m:smallFrac m:val="0"/>
    <m:dispDef/>
    <m:lMargin m:val="0"/>
    <m:rMargin m:val="0"/>
    <m:defJc m:val="centerGroup"/>
    <m:wrapIndent m:val="1440"/>
    <m:intLim m:val="subSup"/>
    <m:naryLim m:val="undOvr"/>
  </m:mathPr>
  <w:themeFontLang w:val="en-GB" w:eastAsia="ja-JP" w:bidi="x-non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6F1D09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82">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pPr>
      <w:jc w:val="both"/>
    </w:pPr>
    <w:rPr>
      <w:rFonts w:ascii="Arial" w:eastAsia="MS Mincho" w:hAnsi="Arial"/>
      <w:kern w:val="18"/>
      <w:sz w:val="22"/>
      <w:lang w:eastAsia="en-US"/>
    </w:rPr>
  </w:style>
  <w:style w:type="paragraph" w:styleId="Heading1">
    <w:name w:val="heading 1"/>
    <w:basedOn w:val="Normal"/>
    <w:next w:val="Normal"/>
    <w:qFormat/>
    <w:rsid w:val="001D4C0F"/>
    <w:pPr>
      <w:keepNext/>
      <w:tabs>
        <w:tab w:val="left" w:pos="540"/>
      </w:tabs>
      <w:jc w:val="left"/>
      <w:outlineLvl w:val="0"/>
    </w:pPr>
    <w:rPr>
      <w:rFonts w:ascii="Trebuchet MS" w:eastAsia="Times New Roman" w:hAnsi="Trebuchet MS"/>
      <w:b/>
      <w:bCs/>
      <w:kern w:val="0"/>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alutation">
    <w:name w:val="Salutation"/>
    <w:basedOn w:val="Normal"/>
    <w:next w:val="Normal"/>
    <w:pPr>
      <w:spacing w:before="240" w:after="240" w:line="240" w:lineRule="atLeast"/>
      <w:jc w:val="left"/>
    </w:pPr>
  </w:style>
  <w:style w:type="paragraph" w:styleId="BodyText">
    <w:name w:val="Body Text"/>
    <w:basedOn w:val="Normal"/>
    <w:pPr>
      <w:spacing w:after="240" w:line="240" w:lineRule="atLeast"/>
    </w:pPr>
  </w:style>
  <w:style w:type="paragraph" w:styleId="Closing">
    <w:name w:val="Closing"/>
    <w:basedOn w:val="Normal"/>
    <w:next w:val="Signature"/>
    <w:pPr>
      <w:keepNext/>
      <w:spacing w:after="120" w:line="240" w:lineRule="atLeast"/>
    </w:pPr>
  </w:style>
  <w:style w:type="paragraph" w:styleId="Signature">
    <w:name w:val="Signature"/>
    <w:basedOn w:val="Normal"/>
    <w:next w:val="Normal"/>
    <w:pPr>
      <w:keepNext/>
      <w:spacing w:before="880" w:line="240" w:lineRule="atLeast"/>
      <w:jc w:val="left"/>
    </w:pPr>
  </w:style>
  <w:style w:type="paragraph" w:styleId="Date">
    <w:name w:val="Date"/>
    <w:basedOn w:val="Normal"/>
    <w:next w:val="InsideAddressName"/>
    <w:pPr>
      <w:spacing w:after="220"/>
    </w:pPr>
  </w:style>
  <w:style w:type="paragraph" w:customStyle="1" w:styleId="InsideAddress">
    <w:name w:val="Inside Address"/>
    <w:basedOn w:val="Normal"/>
    <w:pPr>
      <w:spacing w:line="240" w:lineRule="atLeast"/>
    </w:pPr>
  </w:style>
  <w:style w:type="paragraph" w:customStyle="1" w:styleId="InsideAddressName">
    <w:name w:val="Inside Address Name"/>
    <w:basedOn w:val="InsideAddress"/>
    <w:next w:val="InsideAddress"/>
    <w:pPr>
      <w:spacing w:before="220"/>
    </w:pPr>
  </w:style>
  <w:style w:type="paragraph" w:styleId="Header">
    <w:name w:val="header"/>
    <w:basedOn w:val="Normal"/>
    <w:pPr>
      <w:tabs>
        <w:tab w:val="center" w:pos="4320"/>
        <w:tab w:val="right" w:pos="8640"/>
      </w:tabs>
    </w:pPr>
    <w:rPr>
      <w:sz w:val="16"/>
    </w:rPr>
  </w:style>
  <w:style w:type="character" w:styleId="Hyperlink">
    <w:name w:val="Hyperlink"/>
    <w:rPr>
      <w:color w:val="0000FF"/>
      <w:u w:val="single"/>
    </w:rPr>
  </w:style>
  <w:style w:type="paragraph" w:styleId="Footer">
    <w:name w:val="footer"/>
    <w:basedOn w:val="Normal"/>
    <w:link w:val="FooterChar"/>
    <w:uiPriority w:val="99"/>
    <w:pPr>
      <w:tabs>
        <w:tab w:val="center" w:pos="4153"/>
        <w:tab w:val="right" w:pos="8306"/>
      </w:tabs>
    </w:pPr>
    <w:rPr>
      <w:sz w:val="16"/>
    </w:rPr>
  </w:style>
  <w:style w:type="paragraph" w:styleId="BalloonText">
    <w:name w:val="Balloon Text"/>
    <w:basedOn w:val="Normal"/>
    <w:semiHidden/>
    <w:rPr>
      <w:rFonts w:ascii="Tahoma" w:hAnsi="Tahoma" w:cs="Tahoma"/>
      <w:sz w:val="16"/>
      <w:szCs w:val="16"/>
    </w:rPr>
  </w:style>
  <w:style w:type="character" w:customStyle="1" w:styleId="HeaderChar">
    <w:name w:val="Header Char"/>
    <w:rPr>
      <w:rFonts w:ascii="Arial" w:eastAsia="MS Mincho" w:hAnsi="Arial"/>
      <w:kern w:val="18"/>
      <w:sz w:val="16"/>
      <w:lang w:val="en-GB" w:eastAsia="en-US" w:bidi="ar-SA"/>
    </w:rPr>
  </w:style>
  <w:style w:type="character" w:customStyle="1" w:styleId="jaw32">
    <w:name w:val="jaw32"/>
    <w:semiHidden/>
    <w:rsid w:val="00243287"/>
    <w:rPr>
      <w:rFonts w:ascii="Calibri" w:hAnsi="Calibri"/>
      <w:b w:val="0"/>
      <w:bCs w:val="0"/>
      <w:i w:val="0"/>
      <w:iCs w:val="0"/>
      <w:strike w:val="0"/>
      <w:color w:val="0000FF"/>
      <w:sz w:val="24"/>
      <w:szCs w:val="24"/>
      <w:u w:val="none"/>
    </w:rPr>
  </w:style>
  <w:style w:type="character" w:customStyle="1" w:styleId="apple-style-span">
    <w:name w:val="apple-style-span"/>
    <w:basedOn w:val="DefaultParagraphFont"/>
    <w:rsid w:val="001D4C0F"/>
  </w:style>
  <w:style w:type="character" w:customStyle="1" w:styleId="FooterChar">
    <w:name w:val="Footer Char"/>
    <w:link w:val="Footer"/>
    <w:uiPriority w:val="99"/>
    <w:rsid w:val="003A2C08"/>
    <w:rPr>
      <w:rFonts w:ascii="Arial" w:eastAsia="MS Mincho" w:hAnsi="Arial"/>
      <w:kern w:val="18"/>
      <w:sz w:val="16"/>
      <w:lang w:eastAsia="en-US"/>
    </w:rPr>
  </w:style>
  <w:style w:type="character" w:styleId="CommentReference">
    <w:name w:val="annotation reference"/>
    <w:rsid w:val="00534C38"/>
    <w:rPr>
      <w:sz w:val="16"/>
      <w:szCs w:val="16"/>
    </w:rPr>
  </w:style>
  <w:style w:type="paragraph" w:styleId="CommentText">
    <w:name w:val="annotation text"/>
    <w:basedOn w:val="Normal"/>
    <w:link w:val="CommentTextChar"/>
    <w:rsid w:val="00534C38"/>
    <w:rPr>
      <w:sz w:val="20"/>
    </w:rPr>
  </w:style>
  <w:style w:type="character" w:customStyle="1" w:styleId="CommentTextChar">
    <w:name w:val="Comment Text Char"/>
    <w:link w:val="CommentText"/>
    <w:rsid w:val="00534C38"/>
    <w:rPr>
      <w:rFonts w:ascii="Arial" w:eastAsia="MS Mincho" w:hAnsi="Arial"/>
      <w:kern w:val="18"/>
      <w:lang w:eastAsia="en-US"/>
    </w:rPr>
  </w:style>
  <w:style w:type="paragraph" w:styleId="CommentSubject">
    <w:name w:val="annotation subject"/>
    <w:basedOn w:val="CommentText"/>
    <w:next w:val="CommentText"/>
    <w:link w:val="CommentSubjectChar"/>
    <w:rsid w:val="00534C38"/>
    <w:rPr>
      <w:b/>
      <w:bCs/>
    </w:rPr>
  </w:style>
  <w:style w:type="character" w:customStyle="1" w:styleId="CommentSubjectChar">
    <w:name w:val="Comment Subject Char"/>
    <w:link w:val="CommentSubject"/>
    <w:rsid w:val="00534C38"/>
    <w:rPr>
      <w:rFonts w:ascii="Arial" w:eastAsia="MS Mincho" w:hAnsi="Arial"/>
      <w:b/>
      <w:bCs/>
      <w:kern w:val="18"/>
      <w:lang w:eastAsia="en-US"/>
    </w:rPr>
  </w:style>
  <w:style w:type="table" w:styleId="TableGrid">
    <w:name w:val="Table Grid"/>
    <w:basedOn w:val="TableNormal"/>
    <w:rsid w:val="005406C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F04E71"/>
    <w:pPr>
      <w:autoSpaceDE w:val="0"/>
      <w:autoSpaceDN w:val="0"/>
      <w:adjustRightInd w:val="0"/>
    </w:pPr>
    <w:rPr>
      <w:rFonts w:ascii="Shaker 2 Lancet Regular" w:hAnsi="Shaker 2 Lancet Regular" w:cs="Shaker 2 Lancet Regular"/>
      <w:color w:val="000000"/>
      <w:sz w:val="24"/>
      <w:szCs w:val="24"/>
    </w:rPr>
  </w:style>
  <w:style w:type="paragraph" w:styleId="PlainText">
    <w:name w:val="Plain Text"/>
    <w:basedOn w:val="Normal"/>
    <w:link w:val="PlainTextChar"/>
    <w:uiPriority w:val="99"/>
    <w:unhideWhenUsed/>
    <w:rsid w:val="001A65E3"/>
    <w:pPr>
      <w:jc w:val="left"/>
    </w:pPr>
    <w:rPr>
      <w:rFonts w:ascii="Calibri" w:eastAsiaTheme="minorHAnsi" w:hAnsi="Calibri"/>
      <w:kern w:val="0"/>
      <w:szCs w:val="22"/>
    </w:rPr>
  </w:style>
  <w:style w:type="character" w:customStyle="1" w:styleId="PlainTextChar">
    <w:name w:val="Plain Text Char"/>
    <w:basedOn w:val="DefaultParagraphFont"/>
    <w:link w:val="PlainText"/>
    <w:uiPriority w:val="99"/>
    <w:rsid w:val="001A65E3"/>
    <w:rPr>
      <w:rFonts w:ascii="Calibri" w:eastAsiaTheme="minorHAnsi" w:hAnsi="Calibri"/>
      <w:sz w:val="22"/>
      <w:szCs w:val="22"/>
      <w:lang w:eastAsia="en-US"/>
    </w:rPr>
  </w:style>
  <w:style w:type="paragraph" w:styleId="ListParagraph">
    <w:name w:val="List Paragraph"/>
    <w:basedOn w:val="Normal"/>
    <w:uiPriority w:val="34"/>
    <w:qFormat/>
    <w:rsid w:val="0064615F"/>
    <w:pPr>
      <w:ind w:left="720"/>
      <w:contextualSpacing/>
    </w:pPr>
  </w:style>
  <w:style w:type="paragraph" w:styleId="NormalWeb">
    <w:name w:val="Normal (Web)"/>
    <w:basedOn w:val="Normal"/>
    <w:uiPriority w:val="99"/>
    <w:unhideWhenUsed/>
    <w:rsid w:val="000A59D7"/>
    <w:pPr>
      <w:spacing w:before="100" w:beforeAutospacing="1" w:after="100" w:afterAutospacing="1"/>
      <w:jc w:val="left"/>
    </w:pPr>
    <w:rPr>
      <w:rFonts w:ascii="Calibri" w:eastAsiaTheme="minorHAnsi" w:hAnsi="Calibri"/>
      <w:kern w:val="0"/>
      <w:szCs w:val="22"/>
    </w:rPr>
  </w:style>
  <w:style w:type="paragraph" w:customStyle="1" w:styleId="EndNoteBibliographyTitle">
    <w:name w:val="EndNote Bibliography Title"/>
    <w:basedOn w:val="Normal"/>
    <w:link w:val="EndNoteBibliographyTitleChar"/>
    <w:rsid w:val="008C6506"/>
    <w:pPr>
      <w:jc w:val="center"/>
    </w:pPr>
    <w:rPr>
      <w:rFonts w:cs="Arial"/>
      <w:noProof/>
      <w:lang w:val="en-US"/>
    </w:rPr>
  </w:style>
  <w:style w:type="character" w:customStyle="1" w:styleId="EndNoteBibliographyTitleChar">
    <w:name w:val="EndNote Bibliography Title Char"/>
    <w:basedOn w:val="DefaultParagraphFont"/>
    <w:link w:val="EndNoteBibliographyTitle"/>
    <w:rsid w:val="008C6506"/>
    <w:rPr>
      <w:rFonts w:ascii="Arial" w:eastAsia="MS Mincho" w:hAnsi="Arial" w:cs="Arial"/>
      <w:noProof/>
      <w:kern w:val="18"/>
      <w:sz w:val="22"/>
      <w:lang w:val="en-US" w:eastAsia="en-US"/>
    </w:rPr>
  </w:style>
  <w:style w:type="paragraph" w:customStyle="1" w:styleId="EndNoteBibliography">
    <w:name w:val="EndNote Bibliography"/>
    <w:basedOn w:val="Normal"/>
    <w:link w:val="EndNoteBibliographyChar"/>
    <w:rsid w:val="008C6506"/>
    <w:rPr>
      <w:rFonts w:cs="Arial"/>
      <w:noProof/>
      <w:lang w:val="en-US"/>
    </w:rPr>
  </w:style>
  <w:style w:type="character" w:customStyle="1" w:styleId="EndNoteBibliographyChar">
    <w:name w:val="EndNote Bibliography Char"/>
    <w:basedOn w:val="DefaultParagraphFont"/>
    <w:link w:val="EndNoteBibliography"/>
    <w:rsid w:val="008C6506"/>
    <w:rPr>
      <w:rFonts w:ascii="Arial" w:eastAsia="MS Mincho" w:hAnsi="Arial" w:cs="Arial"/>
      <w:noProof/>
      <w:kern w:val="18"/>
      <w:sz w:val="22"/>
      <w:lang w:val="en-US" w:eastAsia="en-US"/>
    </w:rPr>
  </w:style>
  <w:style w:type="character" w:styleId="FollowedHyperlink">
    <w:name w:val="FollowedHyperlink"/>
    <w:basedOn w:val="DefaultParagraphFont"/>
    <w:rsid w:val="00D7197A"/>
    <w:rPr>
      <w:color w:val="800080" w:themeColor="followedHyperlink"/>
      <w:u w:val="single"/>
    </w:rPr>
  </w:style>
  <w:style w:type="paragraph" w:styleId="Revision">
    <w:name w:val="Revision"/>
    <w:hidden/>
    <w:uiPriority w:val="99"/>
    <w:semiHidden/>
    <w:rsid w:val="00826DF3"/>
    <w:rPr>
      <w:rFonts w:ascii="Arial" w:eastAsia="MS Mincho" w:hAnsi="Arial"/>
      <w:kern w:val="18"/>
      <w:sz w:val="22"/>
      <w:lang w:eastAsia="en-US"/>
    </w:rPr>
  </w:style>
  <w:style w:type="paragraph" w:styleId="DocumentMap">
    <w:name w:val="Document Map"/>
    <w:basedOn w:val="Normal"/>
    <w:link w:val="DocumentMapChar"/>
    <w:semiHidden/>
    <w:unhideWhenUsed/>
    <w:rsid w:val="00C13011"/>
    <w:rPr>
      <w:rFonts w:ascii="Times New Roman" w:hAnsi="Times New Roman"/>
      <w:sz w:val="24"/>
      <w:szCs w:val="24"/>
    </w:rPr>
  </w:style>
  <w:style w:type="character" w:customStyle="1" w:styleId="DocumentMapChar">
    <w:name w:val="Document Map Char"/>
    <w:basedOn w:val="DefaultParagraphFont"/>
    <w:link w:val="DocumentMap"/>
    <w:semiHidden/>
    <w:rsid w:val="00C13011"/>
    <w:rPr>
      <w:rFonts w:eastAsia="MS Mincho"/>
      <w:kern w:val="18"/>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7690564">
      <w:bodyDiv w:val="1"/>
      <w:marLeft w:val="0"/>
      <w:marRight w:val="0"/>
      <w:marTop w:val="0"/>
      <w:marBottom w:val="0"/>
      <w:divBdr>
        <w:top w:val="none" w:sz="0" w:space="0" w:color="auto"/>
        <w:left w:val="none" w:sz="0" w:space="0" w:color="auto"/>
        <w:bottom w:val="none" w:sz="0" w:space="0" w:color="auto"/>
        <w:right w:val="none" w:sz="0" w:space="0" w:color="auto"/>
      </w:divBdr>
    </w:div>
    <w:div w:id="471140505">
      <w:bodyDiv w:val="1"/>
      <w:marLeft w:val="0"/>
      <w:marRight w:val="0"/>
      <w:marTop w:val="0"/>
      <w:marBottom w:val="0"/>
      <w:divBdr>
        <w:top w:val="none" w:sz="0" w:space="0" w:color="auto"/>
        <w:left w:val="none" w:sz="0" w:space="0" w:color="auto"/>
        <w:bottom w:val="none" w:sz="0" w:space="0" w:color="auto"/>
        <w:right w:val="none" w:sz="0" w:space="0" w:color="auto"/>
      </w:divBdr>
    </w:div>
    <w:div w:id="938367473">
      <w:bodyDiv w:val="1"/>
      <w:marLeft w:val="0"/>
      <w:marRight w:val="0"/>
      <w:marTop w:val="0"/>
      <w:marBottom w:val="0"/>
      <w:divBdr>
        <w:top w:val="none" w:sz="0" w:space="0" w:color="auto"/>
        <w:left w:val="none" w:sz="0" w:space="0" w:color="auto"/>
        <w:bottom w:val="none" w:sz="0" w:space="0" w:color="auto"/>
        <w:right w:val="none" w:sz="0" w:space="0" w:color="auto"/>
      </w:divBdr>
    </w:div>
    <w:div w:id="1104685835">
      <w:bodyDiv w:val="1"/>
      <w:marLeft w:val="0"/>
      <w:marRight w:val="0"/>
      <w:marTop w:val="0"/>
      <w:marBottom w:val="0"/>
      <w:divBdr>
        <w:top w:val="none" w:sz="0" w:space="0" w:color="auto"/>
        <w:left w:val="none" w:sz="0" w:space="0" w:color="auto"/>
        <w:bottom w:val="none" w:sz="0" w:space="0" w:color="auto"/>
        <w:right w:val="none" w:sz="0" w:space="0" w:color="auto"/>
      </w:divBdr>
    </w:div>
    <w:div w:id="1145656750">
      <w:bodyDiv w:val="1"/>
      <w:marLeft w:val="0"/>
      <w:marRight w:val="0"/>
      <w:marTop w:val="0"/>
      <w:marBottom w:val="0"/>
      <w:divBdr>
        <w:top w:val="none" w:sz="0" w:space="0" w:color="auto"/>
        <w:left w:val="none" w:sz="0" w:space="0" w:color="auto"/>
        <w:bottom w:val="none" w:sz="0" w:space="0" w:color="auto"/>
        <w:right w:val="none" w:sz="0" w:space="0" w:color="auto"/>
      </w:divBdr>
    </w:div>
    <w:div w:id="1327512127">
      <w:bodyDiv w:val="1"/>
      <w:marLeft w:val="0"/>
      <w:marRight w:val="0"/>
      <w:marTop w:val="0"/>
      <w:marBottom w:val="0"/>
      <w:divBdr>
        <w:top w:val="none" w:sz="0" w:space="0" w:color="auto"/>
        <w:left w:val="none" w:sz="0" w:space="0" w:color="auto"/>
        <w:bottom w:val="none" w:sz="0" w:space="0" w:color="auto"/>
        <w:right w:val="none" w:sz="0" w:space="0" w:color="auto"/>
      </w:divBdr>
    </w:div>
    <w:div w:id="1790852741">
      <w:bodyDiv w:val="1"/>
      <w:marLeft w:val="0"/>
      <w:marRight w:val="0"/>
      <w:marTop w:val="0"/>
      <w:marBottom w:val="0"/>
      <w:divBdr>
        <w:top w:val="none" w:sz="0" w:space="0" w:color="auto"/>
        <w:left w:val="none" w:sz="0" w:space="0" w:color="auto"/>
        <w:bottom w:val="none" w:sz="0" w:space="0" w:color="auto"/>
        <w:right w:val="none" w:sz="0" w:space="0" w:color="auto"/>
      </w:divBdr>
    </w:div>
    <w:div w:id="1943687799">
      <w:bodyDiv w:val="1"/>
      <w:marLeft w:val="0"/>
      <w:marRight w:val="0"/>
      <w:marTop w:val="0"/>
      <w:marBottom w:val="0"/>
      <w:divBdr>
        <w:top w:val="none" w:sz="0" w:space="0" w:color="auto"/>
        <w:left w:val="none" w:sz="0" w:space="0" w:color="auto"/>
        <w:bottom w:val="none" w:sz="0" w:space="0" w:color="auto"/>
        <w:right w:val="none" w:sz="0" w:space="0" w:color="auto"/>
      </w:divBdr>
    </w:div>
    <w:div w:id="2135902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ntTable" Target="fontTable.xml"/><Relationship Id="rId14" Type="http://schemas.microsoft.com/office/2011/relationships/people" Target="people.xml"/><Relationship Id="rId15"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emf"/><Relationship Id="rId9" Type="http://schemas.openxmlformats.org/officeDocument/2006/relationships/image" Target="media/image2.emf"/><Relationship Id="rId10"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pen30\LOCALS~1\Temp\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43BF84-AD3F-594B-94A2-240A0DCE01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C:\DOCUME~1\pen30\LOCALS~1\Temp\Letterhead.dot</Template>
  <TotalTime>60</TotalTime>
  <Pages>9</Pages>
  <Words>9563</Words>
  <Characters>54510</Characters>
  <Application>Microsoft Macintosh Word</Application>
  <DocSecurity>0</DocSecurity>
  <Lines>454</Lines>
  <Paragraphs>127</Paragraphs>
  <ScaleCrop>false</ScaleCrop>
  <HeadingPairs>
    <vt:vector size="2" baseType="variant">
      <vt:variant>
        <vt:lpstr>Title</vt:lpstr>
      </vt:variant>
      <vt:variant>
        <vt:i4>1</vt:i4>
      </vt:variant>
    </vt:vector>
  </HeadingPairs>
  <TitlesOfParts>
    <vt:vector size="1" baseType="lpstr">
      <vt:lpstr>16 December 2002</vt:lpstr>
    </vt:vector>
  </TitlesOfParts>
  <Company>Imperial College</Company>
  <LinksUpToDate>false</LinksUpToDate>
  <CharactersWithSpaces>63946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December 2002</dc:title>
  <dc:creator>pen30</dc:creator>
  <cp:lastModifiedBy>Parks, Robbie M</cp:lastModifiedBy>
  <cp:revision>42</cp:revision>
  <cp:lastPrinted>2016-09-20T09:06:00Z</cp:lastPrinted>
  <dcterms:created xsi:type="dcterms:W3CDTF">2018-08-03T14:18:00Z</dcterms:created>
  <dcterms:modified xsi:type="dcterms:W3CDTF">2018-08-06T12:33:00Z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Mendeley Document_1">
    <vt:lpwstr>True</vt:lpwstr>
  </property>
  <property fmtid="{D5CDD505-2E9C-101B-9397-08002B2CF9AE}" pid="4" name="Mendeley Unique User Id_1">
    <vt:lpwstr>7f47c4ec-e20f-36f7-ae86-130308784d82</vt:lpwstr>
  </property>
  <property fmtid="{D5CDD505-2E9C-101B-9397-08002B2CF9AE}" pid="5" name="Mendeley Citation Style_1">
    <vt:lpwstr>http://www.zotero.org/styles/apa</vt:lpwstr>
  </property>
  <property fmtid="{D5CDD505-2E9C-101B-9397-08002B2CF9AE}" pid="6" name="Mendeley Recent Style Id 0_1">
    <vt:lpwstr>http://www.zotero.org/styles/american-political-science-association</vt:lpwstr>
  </property>
  <property fmtid="{D5CDD505-2E9C-101B-9397-08002B2CF9AE}" pid="7" name="Mendeley Recent Style Name 0_1">
    <vt:lpwstr>American Political Science Association</vt:lpwstr>
  </property>
  <property fmtid="{D5CDD505-2E9C-101B-9397-08002B2CF9AE}" pid="8" name="Mendeley Recent Style Id 1_1">
    <vt:lpwstr>http://www.zotero.org/styles/apa</vt:lpwstr>
  </property>
  <property fmtid="{D5CDD505-2E9C-101B-9397-08002B2CF9AE}" pid="9" name="Mendeley Recent Style Name 1_1">
    <vt:lpwstr>American Psychological Association 6th edition</vt:lpwstr>
  </property>
  <property fmtid="{D5CDD505-2E9C-101B-9397-08002B2CF9AE}" pid="10" name="Mendeley Recent Style Id 2_1">
    <vt:lpwstr>http://www.zotero.org/styles/chicago-author-date</vt:lpwstr>
  </property>
  <property fmtid="{D5CDD505-2E9C-101B-9397-08002B2CF9AE}" pid="11" name="Mendeley Recent Style Name 2_1">
    <vt:lpwstr>Chicago Manual of Style 16th edition (author-date)</vt:lpwstr>
  </property>
  <property fmtid="{D5CDD505-2E9C-101B-9397-08002B2CF9AE}" pid="12" name="Mendeley Recent Style Id 3_1">
    <vt:lpwstr>http://www.zotero.org/styles/harvard-cite-them-right</vt:lpwstr>
  </property>
  <property fmtid="{D5CDD505-2E9C-101B-9397-08002B2CF9AE}" pid="13" name="Mendeley Recent Style Name 3_1">
    <vt:lpwstr>Cite Them Right 10th edition - Harvard</vt:lpwstr>
  </property>
  <property fmtid="{D5CDD505-2E9C-101B-9397-08002B2CF9AE}" pid="14" name="Mendeley Recent Style Id 4_1">
    <vt:lpwstr>http://www.zotero.org/styles/harvard1</vt:lpwstr>
  </property>
  <property fmtid="{D5CDD505-2E9C-101B-9397-08002B2CF9AE}" pid="15" name="Mendeley Recent Style Name 4_1">
    <vt:lpwstr>Harvard reference format 1 (deprecated)</vt:lpwstr>
  </property>
  <property fmtid="{D5CDD505-2E9C-101B-9397-08002B2CF9AE}" pid="16" name="Mendeley Recent Style Id 5_1">
    <vt:lpwstr>http://www.zotero.org/styles/ieee</vt:lpwstr>
  </property>
  <property fmtid="{D5CDD505-2E9C-101B-9397-08002B2CF9AE}" pid="17" name="Mendeley Recent Style Name 5_1">
    <vt:lpwstr>IEEE</vt:lpwstr>
  </property>
  <property fmtid="{D5CDD505-2E9C-101B-9397-08002B2CF9AE}" pid="18" name="Mendeley Recent Style Id 6_1">
    <vt:lpwstr>http://www.zotero.org/styles/modern-humanities-research-association</vt:lpwstr>
  </property>
  <property fmtid="{D5CDD505-2E9C-101B-9397-08002B2CF9AE}" pid="19" name="Mendeley Recent Style Name 6_1">
    <vt:lpwstr>Modern Humanities Research Association 3rd edition (note with bibliography)</vt:lpwstr>
  </property>
  <property fmtid="{D5CDD505-2E9C-101B-9397-08002B2CF9AE}" pid="20" name="Mendeley Recent Style Id 7_1">
    <vt:lpwstr>http://www.zotero.org/styles/modern-language-association</vt:lpwstr>
  </property>
  <property fmtid="{D5CDD505-2E9C-101B-9397-08002B2CF9AE}" pid="21" name="Mendeley Recent Style Name 7_1">
    <vt:lpwstr>Modern Language Association 7th edition</vt:lpwstr>
  </property>
  <property fmtid="{D5CDD505-2E9C-101B-9397-08002B2CF9AE}" pid="22" name="Mendeley Recent Style Id 8_1">
    <vt:lpwstr>http://www.zotero.org/styles/nature</vt:lpwstr>
  </property>
  <property fmtid="{D5CDD505-2E9C-101B-9397-08002B2CF9AE}" pid="23" name="Mendeley Recent Style Name 8_1">
    <vt:lpwstr>Nature</vt:lpwstr>
  </property>
  <property fmtid="{D5CDD505-2E9C-101B-9397-08002B2CF9AE}" pid="24" name="Mendeley Recent Style Id 9_1">
    <vt:lpwstr>http://www.zotero.org/styles/the-lancet</vt:lpwstr>
  </property>
  <property fmtid="{D5CDD505-2E9C-101B-9397-08002B2CF9AE}" pid="25" name="Mendeley Recent Style Name 9_1">
    <vt:lpwstr>The Lancet</vt:lpwstr>
  </property>
</Properties>
</file>