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7F08B" w14:textId="6AABBBAA" w:rsidR="0065196B" w:rsidRPr="00636C9B" w:rsidRDefault="004878EC" w:rsidP="0065196B">
      <w:pPr>
        <w:spacing w:line="480" w:lineRule="auto"/>
        <w:jc w:val="both"/>
        <w:outlineLvl w:val="0"/>
        <w:rPr>
          <w:b/>
          <w:color w:val="000000" w:themeColor="text1"/>
        </w:rPr>
      </w:pPr>
      <w:r>
        <w:rPr>
          <w:b/>
          <w:color w:val="000000" w:themeColor="text1"/>
        </w:rPr>
        <w:t>A</w:t>
      </w:r>
      <w:r w:rsidR="0065196B" w:rsidRPr="00636C9B">
        <w:rPr>
          <w:b/>
          <w:color w:val="000000" w:themeColor="text1"/>
        </w:rPr>
        <w:t xml:space="preserve">nomalous temperature </w:t>
      </w:r>
      <w:r w:rsidR="0065196B">
        <w:rPr>
          <w:b/>
          <w:color w:val="000000" w:themeColor="text1"/>
        </w:rPr>
        <w:t>and</w:t>
      </w:r>
      <w:r w:rsidR="0065196B" w:rsidRPr="00636C9B">
        <w:rPr>
          <w:b/>
          <w:color w:val="000000" w:themeColor="text1"/>
        </w:rPr>
        <w:t xml:space="preserve"> injury mortality in the USA</w:t>
      </w:r>
      <w:r>
        <w:rPr>
          <w:b/>
          <w:color w:val="000000" w:themeColor="text1"/>
        </w:rPr>
        <w:t>: age-, sex- and state-specific impacts</w:t>
      </w:r>
    </w:p>
    <w:p w14:paraId="6523E2D4" w14:textId="77777777"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Pr>
          <w:color w:val="000000" w:themeColor="text1"/>
          <w:vertAlign w:val="superscript"/>
          <w:lang w:val="it-IT"/>
        </w:rPr>
        <w:t>4</w:t>
      </w:r>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77777777"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64588F72" w14:textId="77777777" w:rsidR="0065196B" w:rsidRPr="00636C9B" w:rsidRDefault="0065196B" w:rsidP="0065196B">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3483E70D" w14:textId="77777777" w:rsidR="0065196B" w:rsidRPr="00636C9B" w:rsidRDefault="0065196B" w:rsidP="0065196B">
      <w:pPr>
        <w:spacing w:line="480" w:lineRule="auto"/>
        <w:jc w:val="both"/>
        <w:rPr>
          <w:color w:val="000000" w:themeColor="text1"/>
        </w:rPr>
      </w:pPr>
      <w:r>
        <w:rPr>
          <w:color w:val="000000" w:themeColor="text1"/>
          <w:vertAlign w:val="superscript"/>
        </w:rPr>
        <w:t>4</w:t>
      </w:r>
      <w:r w:rsidRPr="00636C9B">
        <w:rPr>
          <w:color w:val="000000" w:themeColor="text1"/>
        </w:rPr>
        <w:t>WHO Collaborating Centre on NCD Surveillance and Epidemiology, Imperial College London, London, United Kingdom</w:t>
      </w:r>
    </w:p>
    <w:p w14:paraId="4343A102" w14:textId="77777777" w:rsidR="0065196B" w:rsidRDefault="0065196B" w:rsidP="0065196B">
      <w:pPr>
        <w:spacing w:line="480" w:lineRule="auto"/>
        <w:jc w:val="both"/>
        <w:rPr>
          <w:color w:val="000000" w:themeColor="text1"/>
        </w:rPr>
      </w:pPr>
    </w:p>
    <w:p w14:paraId="1484A7EA" w14:textId="77777777" w:rsidR="0065196B" w:rsidRPr="005E22E4" w:rsidRDefault="0065196B" w:rsidP="0065196B">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02A7BD9" w14:textId="77777777" w:rsidR="0065196B" w:rsidRDefault="0065196B" w:rsidP="0065196B">
      <w:pPr>
        <w:spacing w:line="480" w:lineRule="auto"/>
        <w:jc w:val="both"/>
        <w:rPr>
          <w:color w:val="000000" w:themeColor="text1"/>
        </w:rPr>
      </w:pPr>
      <w:r w:rsidRPr="005E22E4">
        <w:rPr>
          <w:color w:val="000000" w:themeColor="text1"/>
        </w:rPr>
        <w:t xml:space="preserve">James E Bennett: </w:t>
      </w:r>
      <w:r w:rsidRPr="00ED1FD3">
        <w:rPr>
          <w:color w:val="000000" w:themeColor="text1"/>
        </w:rPr>
        <w:t>j.e.bennett@imperial.ac.uk</w:t>
      </w:r>
    </w:p>
    <w:p w14:paraId="38DE0461" w14:textId="77777777" w:rsidR="0065196B" w:rsidRPr="005E22E4" w:rsidRDefault="0065196B" w:rsidP="0065196B">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385AE132" w14:textId="77777777" w:rsidR="0065196B" w:rsidRPr="005E22E4" w:rsidRDefault="0065196B" w:rsidP="0065196B">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Pr="004D5CB9">
        <w:rPr>
          <w:color w:val="000000" w:themeColor="text1"/>
        </w:rPr>
        <w:t>v.kontis@imperial.ac.uk</w:t>
      </w:r>
    </w:p>
    <w:p w14:paraId="117DFA7B" w14:textId="77777777" w:rsidR="0065196B" w:rsidRPr="005E22E4" w:rsidRDefault="0065196B" w:rsidP="0065196B">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28FF06D1" w14:textId="77777777" w:rsidR="0065196B" w:rsidRPr="00C837D4" w:rsidRDefault="0065196B" w:rsidP="0065196B">
      <w:pPr>
        <w:spacing w:line="480" w:lineRule="auto"/>
        <w:jc w:val="both"/>
        <w:rPr>
          <w:color w:val="000000" w:themeColor="text1"/>
        </w:rPr>
      </w:pPr>
      <w:r w:rsidRPr="00C837D4">
        <w:rPr>
          <w:color w:val="000000" w:themeColor="text1"/>
        </w:rPr>
        <w:t>Majid Ezzati: majid.ezzati@imperial.ac.uk</w:t>
      </w:r>
    </w:p>
    <w:p w14:paraId="5AB55A5D" w14:textId="77777777" w:rsidR="0065196B" w:rsidRPr="00636C9B" w:rsidRDefault="0065196B" w:rsidP="0065196B">
      <w:pPr>
        <w:spacing w:line="480" w:lineRule="auto"/>
        <w:jc w:val="both"/>
        <w:rPr>
          <w:color w:val="000000" w:themeColor="text1"/>
        </w:rPr>
      </w:pPr>
    </w:p>
    <w:p w14:paraId="7A5884D6" w14:textId="77777777" w:rsidR="0065196B" w:rsidRDefault="0065196B" w:rsidP="0065196B">
      <w:pPr>
        <w:spacing w:line="480" w:lineRule="auto"/>
        <w:jc w:val="both"/>
        <w:rPr>
          <w:color w:val="000000" w:themeColor="text1"/>
        </w:rPr>
      </w:pPr>
      <w:r w:rsidRPr="00636C9B">
        <w:rPr>
          <w:color w:val="000000" w:themeColor="text1"/>
        </w:rPr>
        <w:t>*corresponding author</w:t>
      </w:r>
      <w:r>
        <w:rPr>
          <w:color w:val="000000" w:themeColor="text1"/>
        </w:rPr>
        <w:t>:</w:t>
      </w:r>
    </w:p>
    <w:p w14:paraId="30ED0AE4" w14:textId="77777777" w:rsidR="0065196B" w:rsidRDefault="0065196B" w:rsidP="0065196B">
      <w:pPr>
        <w:spacing w:line="480" w:lineRule="auto"/>
        <w:jc w:val="both"/>
        <w:rPr>
          <w:color w:val="000000" w:themeColor="text1"/>
        </w:rPr>
      </w:pPr>
      <w:r>
        <w:rPr>
          <w:color w:val="000000" w:themeColor="text1"/>
        </w:rPr>
        <w:t>Majid Ezzati</w:t>
      </w:r>
    </w:p>
    <w:p w14:paraId="10C79E21" w14:textId="77777777" w:rsidR="0065196B" w:rsidRDefault="0065196B" w:rsidP="0065196B">
      <w:pPr>
        <w:spacing w:line="480" w:lineRule="auto"/>
        <w:jc w:val="both"/>
        <w:rPr>
          <w:color w:val="000000" w:themeColor="text1"/>
        </w:rPr>
      </w:pPr>
      <w:r>
        <w:rPr>
          <w:color w:val="000000" w:themeColor="text1"/>
        </w:rPr>
        <w:t>Imperial College London</w:t>
      </w:r>
    </w:p>
    <w:p w14:paraId="550A0E89" w14:textId="77777777" w:rsidR="0065196B" w:rsidRDefault="0065196B" w:rsidP="0065196B">
      <w:pPr>
        <w:spacing w:line="480" w:lineRule="auto"/>
        <w:jc w:val="both"/>
        <w:rPr>
          <w:color w:val="000000" w:themeColor="text1"/>
        </w:rPr>
      </w:pPr>
      <w:r>
        <w:rPr>
          <w:color w:val="000000" w:themeColor="text1"/>
        </w:rPr>
        <w:t>Norfolk Place</w:t>
      </w:r>
    </w:p>
    <w:p w14:paraId="7DDC8099" w14:textId="77777777" w:rsidR="0065196B" w:rsidRDefault="0065196B" w:rsidP="0065196B">
      <w:pPr>
        <w:spacing w:line="480" w:lineRule="auto"/>
        <w:jc w:val="both"/>
        <w:rPr>
          <w:color w:val="000000" w:themeColor="text1"/>
        </w:rPr>
      </w:pPr>
      <w:r>
        <w:rPr>
          <w:color w:val="000000" w:themeColor="text1"/>
        </w:rPr>
        <w:t>London W2 1PG, UK</w:t>
      </w:r>
    </w:p>
    <w:p w14:paraId="0F3E5DD4" w14:textId="77777777" w:rsidR="0065196B" w:rsidRDefault="0065196B" w:rsidP="0065196B">
      <w:pPr>
        <w:spacing w:line="480" w:lineRule="auto"/>
        <w:jc w:val="both"/>
        <w:rPr>
          <w:color w:val="000000" w:themeColor="text1"/>
        </w:rPr>
      </w:pPr>
      <w:r>
        <w:rPr>
          <w:color w:val="000000" w:themeColor="text1"/>
        </w:rPr>
        <w:t xml:space="preserve">E-mail: </w:t>
      </w:r>
      <w:hyperlink r:id="rId8" w:history="1">
        <w:r w:rsidRPr="000421EF">
          <w:rPr>
            <w:rStyle w:val="Hyperlink"/>
          </w:rPr>
          <w:t>majid.ezzati@imperial.ac.uk</w:t>
        </w:r>
      </w:hyperlink>
    </w:p>
    <w:p w14:paraId="66A24563" w14:textId="77777777" w:rsidR="0065196B" w:rsidRPr="00636C9B" w:rsidRDefault="0065196B" w:rsidP="0065196B">
      <w:pPr>
        <w:spacing w:line="480" w:lineRule="auto"/>
        <w:jc w:val="both"/>
        <w:rPr>
          <w:color w:val="000000" w:themeColor="text1"/>
        </w:rPr>
      </w:pPr>
      <w:r>
        <w:rPr>
          <w:color w:val="000000" w:themeColor="text1"/>
        </w:rPr>
        <w:t>Tel: +44 (0)20 7594 0767</w:t>
      </w:r>
      <w:r w:rsidRPr="00636C9B">
        <w:rPr>
          <w:color w:val="000000" w:themeColor="text1"/>
        </w:rPr>
        <w:br w:type="page"/>
      </w:r>
    </w:p>
    <w:p w14:paraId="0561B245" w14:textId="3B201EB5" w:rsidR="003B10FF" w:rsidRPr="009A2853" w:rsidRDefault="00140DB8" w:rsidP="00140DB8">
      <w:pPr>
        <w:spacing w:line="480" w:lineRule="auto"/>
        <w:jc w:val="both"/>
        <w:rPr>
          <w:rFonts w:eastAsia="Times New Roman"/>
          <w:b/>
        </w:rPr>
      </w:pPr>
      <w:r>
        <w:rPr>
          <w:rFonts w:eastAsia="Times New Roman"/>
          <w:b/>
        </w:rPr>
        <w:lastRenderedPageBreak/>
        <w:t>T</w:t>
      </w:r>
      <w:r w:rsidRPr="009A2853">
        <w:rPr>
          <w:rFonts w:eastAsia="Times New Roman"/>
          <w:b/>
        </w:rPr>
        <w:t xml:space="preserve">emperatures which deviate from long-term </w:t>
      </w:r>
      <w:r w:rsidR="00597846">
        <w:rPr>
          <w:rFonts w:eastAsia="Times New Roman"/>
          <w:b/>
        </w:rPr>
        <w:t>norms</w:t>
      </w:r>
      <w:r w:rsidRPr="009A2853">
        <w:rPr>
          <w:rFonts w:eastAsia="Times New Roman"/>
          <w:b/>
        </w:rPr>
        <w:t xml:space="preserve"> will be more frequent as the global climate changes</w:t>
      </w:r>
      <w:r w:rsidR="00283342">
        <w:rPr>
          <w:rFonts w:eastAsia="Times New Roman"/>
          <w:b/>
        </w:rPr>
        <w:t>, and may be associated with</w:t>
      </w:r>
      <w:r w:rsidR="00283342" w:rsidRPr="00620D06">
        <w:rPr>
          <w:rFonts w:eastAsia="Times New Roman"/>
          <w:b/>
        </w:rPr>
        <w:t xml:space="preserve"> adverse health consequences</w:t>
      </w:r>
      <w:r w:rsidR="00283342">
        <w:rPr>
          <w:rFonts w:eastAsia="Times New Roman"/>
          <w:b/>
        </w:rPr>
        <w:t>.</w:t>
      </w:r>
      <w:r w:rsidR="00283342">
        <w:rPr>
          <w:rFonts w:eastAsia="Times New Roman"/>
          <w:b/>
        </w:rPr>
        <w:fldChar w:fldCharType="begin" w:fldLock="1"/>
      </w:r>
      <w:r w:rsidR="0081585C">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283342">
        <w:rPr>
          <w:rFonts w:eastAsia="Times New Roman"/>
          <w:b/>
        </w:rPr>
        <w:fldChar w:fldCharType="separate"/>
      </w:r>
      <w:r w:rsidR="00283342" w:rsidRPr="005C694B">
        <w:rPr>
          <w:rFonts w:eastAsia="Times New Roman"/>
          <w:noProof/>
          <w:vertAlign w:val="superscript"/>
        </w:rPr>
        <w:t>1</w:t>
      </w:r>
      <w:r w:rsidR="00283342">
        <w:rPr>
          <w:rFonts w:eastAsia="Times New Roman"/>
          <w:b/>
        </w:rPr>
        <w:fldChar w:fldCharType="end"/>
      </w:r>
      <w:r w:rsidR="00283342">
        <w:rPr>
          <w:rFonts w:eastAsia="Times New Roman"/>
          <w:b/>
        </w:rPr>
        <w:t xml:space="preserve"> There is limited data on how such deviations affect deaths from different injuries, especially by type of injury, month of year, age and sex.</w:t>
      </w:r>
      <w:r w:rsidRPr="009A2853">
        <w:rPr>
          <w:rFonts w:eastAsia="Times New Roman"/>
          <w:b/>
        </w:rPr>
        <w:t xml:space="preserve"> </w:t>
      </w:r>
      <w:r w:rsidR="001F3CCB">
        <w:rPr>
          <w:rFonts w:eastAsia="Times New Roman"/>
          <w:b/>
        </w:rPr>
        <w:t>Here, we u</w:t>
      </w:r>
      <w:r w:rsidR="002B4DCB">
        <w:rPr>
          <w:rFonts w:eastAsia="Times New Roman"/>
          <w:b/>
        </w:rPr>
        <w:t>s</w:t>
      </w:r>
      <w:r w:rsidR="001F3CCB">
        <w:rPr>
          <w:rFonts w:eastAsia="Times New Roman"/>
          <w:b/>
        </w:rPr>
        <w:t>ed</w:t>
      </w:r>
      <w:r w:rsidR="002B4DCB">
        <w:rPr>
          <w:rFonts w:eastAsia="Times New Roman"/>
          <w:b/>
        </w:rPr>
        <w:t xml:space="preserve"> </w:t>
      </w:r>
      <w:r w:rsidR="001F3CCB">
        <w:rPr>
          <w:rFonts w:eastAsia="Times New Roman"/>
          <w:b/>
        </w:rPr>
        <w:t xml:space="preserve">data on </w:t>
      </w:r>
      <w:r w:rsidR="002B4DCB">
        <w:rPr>
          <w:rFonts w:eastAsia="Times New Roman"/>
          <w:b/>
        </w:rPr>
        <w:t xml:space="preserve">mortality and temperature </w:t>
      </w:r>
      <w:r w:rsidR="002B4DCB" w:rsidRPr="00620D06">
        <w:rPr>
          <w:rFonts w:eastAsia="Times New Roman"/>
          <w:b/>
        </w:rPr>
        <w:t>over a 37-year period (1980</w:t>
      </w:r>
      <w:r w:rsidR="00977586">
        <w:rPr>
          <w:rFonts w:eastAsia="Times New Roman"/>
          <w:b/>
        </w:rPr>
        <w:t>-</w:t>
      </w:r>
      <w:r w:rsidR="002B4DCB" w:rsidRPr="00620D06">
        <w:rPr>
          <w:rFonts w:eastAsia="Times New Roman"/>
          <w:b/>
        </w:rPr>
        <w:t>2016)</w:t>
      </w:r>
      <w:r w:rsidR="00106815">
        <w:rPr>
          <w:rFonts w:eastAsia="Times New Roman"/>
          <w:b/>
        </w:rPr>
        <w:t xml:space="preserve"> in</w:t>
      </w:r>
      <w:r w:rsidR="006F2FEB">
        <w:rPr>
          <w:rFonts w:eastAsia="Times New Roman"/>
          <w:b/>
        </w:rPr>
        <w:t xml:space="preserve"> </w:t>
      </w:r>
      <w:r w:rsidR="002B4DCB">
        <w:rPr>
          <w:rFonts w:eastAsia="Times New Roman"/>
          <w:b/>
        </w:rPr>
        <w:t xml:space="preserve">the </w:t>
      </w:r>
      <w:r w:rsidR="002C2EDC">
        <w:rPr>
          <w:rFonts w:eastAsia="Times New Roman"/>
          <w:b/>
        </w:rPr>
        <w:t xml:space="preserve">entire </w:t>
      </w:r>
      <w:r w:rsidR="002B4DCB">
        <w:rPr>
          <w:rFonts w:eastAsia="Times New Roman"/>
          <w:b/>
        </w:rPr>
        <w:t>contiguous United States</w:t>
      </w:r>
      <w:r w:rsidR="00106815">
        <w:rPr>
          <w:rFonts w:eastAsia="Times New Roman"/>
          <w:b/>
        </w:rPr>
        <w:t xml:space="preserve"> and</w:t>
      </w:r>
      <w:r w:rsidRPr="009A2853">
        <w:rPr>
          <w:rFonts w:eastAsia="Times New Roman"/>
          <w:b/>
        </w:rPr>
        <w:t xml:space="preserve"> formulated a Bayesian spatio</w:t>
      </w:r>
      <w:r w:rsidR="00A502C2">
        <w:rPr>
          <w:rFonts w:eastAsia="Times New Roman"/>
          <w:b/>
        </w:rPr>
        <w:t>-</w:t>
      </w:r>
      <w:r w:rsidRPr="009A2853">
        <w:rPr>
          <w:rFonts w:eastAsia="Times New Roman"/>
          <w:b/>
        </w:rPr>
        <w:t xml:space="preserve">temporal model to estimate how deviations from </w:t>
      </w:r>
      <w:r w:rsidR="00477F0B">
        <w:rPr>
          <w:rFonts w:eastAsia="Times New Roman"/>
          <w:b/>
        </w:rPr>
        <w:t xml:space="preserve">the </w:t>
      </w:r>
      <w:r w:rsidRPr="009A2853">
        <w:rPr>
          <w:rFonts w:eastAsia="Times New Roman"/>
          <w:b/>
        </w:rPr>
        <w:t xml:space="preserve">long-term </w:t>
      </w:r>
      <w:r w:rsidR="00477F0B">
        <w:rPr>
          <w:rFonts w:eastAsia="Times New Roman"/>
          <w:b/>
        </w:rPr>
        <w:t>norm</w:t>
      </w:r>
      <w:r w:rsidRPr="009A2853">
        <w:rPr>
          <w:rFonts w:eastAsia="Times New Roman"/>
          <w:b/>
        </w:rPr>
        <w:t xml:space="preserve"> of mean monthly temperature</w:t>
      </w:r>
      <w:r w:rsidR="0009546B">
        <w:rPr>
          <w:rFonts w:eastAsia="Times New Roman"/>
          <w:b/>
        </w:rPr>
        <w:t xml:space="preserve"> (anomalous temperatures)</w:t>
      </w:r>
      <w:r w:rsidRPr="009A2853">
        <w:rPr>
          <w:rFonts w:eastAsia="Times New Roman"/>
          <w:b/>
        </w:rPr>
        <w:t xml:space="preserve"> affect </w:t>
      </w:r>
      <w:r w:rsidR="00BD5426">
        <w:rPr>
          <w:rFonts w:eastAsia="Times New Roman"/>
          <w:b/>
        </w:rPr>
        <w:t xml:space="preserve">deaths from </w:t>
      </w:r>
      <w:r w:rsidR="00106815">
        <w:rPr>
          <w:rFonts w:eastAsia="Times New Roman"/>
          <w:b/>
        </w:rPr>
        <w:t xml:space="preserve">different </w:t>
      </w:r>
      <w:r w:rsidRPr="009A2853">
        <w:rPr>
          <w:rFonts w:eastAsia="Times New Roman"/>
          <w:b/>
        </w:rPr>
        <w:t>injur</w:t>
      </w:r>
      <w:r w:rsidR="00BD5426">
        <w:rPr>
          <w:rFonts w:eastAsia="Times New Roman"/>
          <w:b/>
        </w:rPr>
        <w:t>ies</w:t>
      </w:r>
      <w:r w:rsidR="00106815">
        <w:rPr>
          <w:rFonts w:eastAsia="Times New Roman"/>
          <w:b/>
        </w:rPr>
        <w:t xml:space="preserve"> by age groups and sex</w:t>
      </w:r>
      <w:r w:rsidRPr="009A2853">
        <w:rPr>
          <w:rFonts w:eastAsia="Times New Roman"/>
          <w:b/>
        </w:rPr>
        <w:t xml:space="preserve">. </w:t>
      </w:r>
      <w:r w:rsidR="00283342">
        <w:rPr>
          <w:rFonts w:eastAsia="Times New Roman"/>
          <w:b/>
        </w:rPr>
        <w:t>We found</w:t>
      </w:r>
      <w:r w:rsidR="00100D87">
        <w:rPr>
          <w:rFonts w:eastAsia="Times New Roman"/>
          <w:b/>
        </w:rPr>
        <w:t xml:space="preserve"> </w:t>
      </w:r>
      <w:r w:rsidR="00AD1556">
        <w:rPr>
          <w:rFonts w:eastAsia="Times New Roman"/>
          <w:b/>
        </w:rPr>
        <w:t>that a</w:t>
      </w:r>
      <w:r w:rsidR="005B7992">
        <w:rPr>
          <w:rFonts w:eastAsia="Times New Roman"/>
          <w:b/>
        </w:rPr>
        <w:t xml:space="preserve"> 1°C anomalously warm year </w:t>
      </w:r>
      <w:r w:rsidR="007C09DB">
        <w:rPr>
          <w:rFonts w:eastAsia="Times New Roman"/>
          <w:b/>
        </w:rPr>
        <w:t>would</w:t>
      </w:r>
      <w:r w:rsidR="005B7992">
        <w:rPr>
          <w:rFonts w:eastAsia="Times New Roman"/>
          <w:b/>
        </w:rPr>
        <w:t xml:space="preserve"> </w:t>
      </w:r>
      <w:r w:rsidR="00283342">
        <w:rPr>
          <w:rFonts w:eastAsia="Times New Roman"/>
          <w:b/>
        </w:rPr>
        <w:t xml:space="preserve">be associated with an estimated </w:t>
      </w:r>
      <w:r w:rsidR="005B7992">
        <w:rPr>
          <w:rFonts w:eastAsia="Times New Roman"/>
          <w:b/>
        </w:rPr>
        <w:t xml:space="preserve">941 (95% credible interval </w:t>
      </w:r>
      <w:r w:rsidR="009C48DE">
        <w:rPr>
          <w:rFonts w:eastAsia="Times New Roman"/>
          <w:b/>
        </w:rPr>
        <w:t>831</w:t>
      </w:r>
      <w:r w:rsidR="00977586">
        <w:rPr>
          <w:rFonts w:eastAsia="Times New Roman"/>
          <w:b/>
        </w:rPr>
        <w:t xml:space="preserve">, </w:t>
      </w:r>
      <w:r w:rsidR="009C48DE">
        <w:rPr>
          <w:rFonts w:eastAsia="Times New Roman"/>
          <w:b/>
        </w:rPr>
        <w:t>1053)</w:t>
      </w:r>
      <w:r w:rsidR="00BB3506">
        <w:rPr>
          <w:rFonts w:eastAsia="Times New Roman"/>
          <w:b/>
        </w:rPr>
        <w:t xml:space="preserve"> </w:t>
      </w:r>
      <w:r w:rsidR="00283342">
        <w:rPr>
          <w:rFonts w:eastAsia="Times New Roman"/>
          <w:b/>
        </w:rPr>
        <w:t>additional</w:t>
      </w:r>
      <w:r w:rsidR="00D25AD3">
        <w:rPr>
          <w:rFonts w:eastAsia="Times New Roman"/>
          <w:b/>
        </w:rPr>
        <w:t xml:space="preserve"> injury deaths</w:t>
      </w:r>
      <w:r w:rsidR="00283342">
        <w:rPr>
          <w:rFonts w:eastAsia="Times New Roman"/>
          <w:b/>
        </w:rPr>
        <w:t xml:space="preserve">. </w:t>
      </w:r>
      <w:r w:rsidR="008717EE">
        <w:rPr>
          <w:rFonts w:eastAsia="Times New Roman"/>
          <w:b/>
        </w:rPr>
        <w:t xml:space="preserve">87% </w:t>
      </w:r>
      <w:r w:rsidR="007617BF">
        <w:rPr>
          <w:rFonts w:eastAsia="Times New Roman"/>
          <w:b/>
        </w:rPr>
        <w:t xml:space="preserve">of deaths </w:t>
      </w:r>
      <w:r w:rsidR="008717EE">
        <w:rPr>
          <w:rFonts w:eastAsia="Times New Roman"/>
          <w:b/>
        </w:rPr>
        <w:t>in males</w:t>
      </w:r>
      <w:r w:rsidR="00D006C2">
        <w:rPr>
          <w:rFonts w:eastAsia="Times New Roman"/>
          <w:b/>
        </w:rPr>
        <w:t xml:space="preserve"> would be</w:t>
      </w:r>
      <w:r w:rsidR="00993246">
        <w:rPr>
          <w:rFonts w:eastAsia="Times New Roman"/>
          <w:b/>
        </w:rPr>
        <w:t xml:space="preserve"> </w:t>
      </w:r>
      <w:r w:rsidR="005C3355">
        <w:rPr>
          <w:rFonts w:eastAsia="Times New Roman"/>
          <w:b/>
        </w:rPr>
        <w:t>concentrated in adolescent to middle ages</w:t>
      </w:r>
      <w:r w:rsidR="00EC54F7">
        <w:rPr>
          <w:rFonts w:eastAsia="Times New Roman"/>
          <w:b/>
        </w:rPr>
        <w:t xml:space="preserve">. These </w:t>
      </w:r>
      <w:r w:rsidR="00BD6674">
        <w:rPr>
          <w:rFonts w:eastAsia="Times New Roman"/>
          <w:b/>
        </w:rPr>
        <w:t xml:space="preserve">excess </w:t>
      </w:r>
      <w:r w:rsidR="00EC54F7">
        <w:rPr>
          <w:rFonts w:eastAsia="Times New Roman"/>
          <w:b/>
        </w:rPr>
        <w:t>deaths would</w:t>
      </w:r>
      <w:r w:rsidR="008717EE">
        <w:rPr>
          <w:rFonts w:eastAsia="Times New Roman"/>
          <w:b/>
        </w:rPr>
        <w:t xml:space="preserve"> </w:t>
      </w:r>
      <w:r w:rsidR="00D25AD3">
        <w:rPr>
          <w:rFonts w:eastAsia="Times New Roman"/>
          <w:b/>
        </w:rPr>
        <w:t xml:space="preserve">comprise of increases in drowning, transport injuries, assault and intentional self-harm offset </w:t>
      </w:r>
      <w:r w:rsidR="00106815">
        <w:rPr>
          <w:rFonts w:eastAsia="Times New Roman"/>
          <w:b/>
        </w:rPr>
        <w:t xml:space="preserve">partly </w:t>
      </w:r>
      <w:r w:rsidR="00D25AD3">
        <w:rPr>
          <w:rFonts w:eastAsia="Times New Roman"/>
          <w:b/>
        </w:rPr>
        <w:t>by a</w:t>
      </w:r>
      <w:r w:rsidR="00EC54F7">
        <w:rPr>
          <w:rFonts w:eastAsia="Times New Roman"/>
          <w:b/>
        </w:rPr>
        <w:t xml:space="preserve">n overall </w:t>
      </w:r>
      <w:r w:rsidR="00D25AD3">
        <w:rPr>
          <w:rFonts w:eastAsia="Times New Roman"/>
          <w:b/>
        </w:rPr>
        <w:t xml:space="preserve">decline </w:t>
      </w:r>
      <w:r w:rsidR="00D447B4">
        <w:rPr>
          <w:rFonts w:eastAsia="Times New Roman"/>
          <w:b/>
        </w:rPr>
        <w:t xml:space="preserve">in </w:t>
      </w:r>
      <w:r w:rsidR="00D25AD3">
        <w:rPr>
          <w:rFonts w:eastAsia="Times New Roman"/>
          <w:b/>
        </w:rPr>
        <w:t>falls</w:t>
      </w:r>
      <w:r w:rsidR="00283342">
        <w:rPr>
          <w:rFonts w:eastAsia="Times New Roman"/>
          <w:b/>
        </w:rPr>
        <w:t xml:space="preserve"> in older ages</w:t>
      </w:r>
      <w:r w:rsidR="008717EE">
        <w:rPr>
          <w:rFonts w:eastAsia="Times New Roman"/>
          <w:b/>
        </w:rPr>
        <w:t xml:space="preserve">. </w:t>
      </w:r>
      <w:r w:rsidR="0021470F">
        <w:rPr>
          <w:rFonts w:eastAsia="Times New Roman"/>
          <w:b/>
        </w:rPr>
        <w:t>The findings</w:t>
      </w:r>
      <w:r w:rsidR="0075249E">
        <w:rPr>
          <w:rFonts w:eastAsia="Times New Roman"/>
          <w:b/>
        </w:rPr>
        <w:t xml:space="preserve"> </w:t>
      </w:r>
      <w:r w:rsidR="00FA29A5">
        <w:rPr>
          <w:rFonts w:eastAsia="Times New Roman"/>
          <w:b/>
        </w:rPr>
        <w:t>demonstrate</w:t>
      </w:r>
      <w:r w:rsidR="007F58E8">
        <w:rPr>
          <w:rFonts w:eastAsia="Times New Roman"/>
          <w:b/>
        </w:rPr>
        <w:t xml:space="preserve"> the need</w:t>
      </w:r>
      <w:r w:rsidR="0075249E">
        <w:rPr>
          <w:rFonts w:eastAsia="Times New Roman"/>
          <w:b/>
        </w:rPr>
        <w:t xml:space="preserve"> </w:t>
      </w:r>
      <w:r w:rsidR="00431D95">
        <w:rPr>
          <w:rFonts w:eastAsia="Times New Roman"/>
          <w:b/>
        </w:rPr>
        <w:t xml:space="preserve">for targeted public health interventions </w:t>
      </w:r>
      <w:r w:rsidR="000C563B">
        <w:rPr>
          <w:rFonts w:eastAsia="Times New Roman"/>
          <w:b/>
        </w:rPr>
        <w:t xml:space="preserve">against injuries </w:t>
      </w:r>
      <w:r w:rsidR="00714300">
        <w:rPr>
          <w:rFonts w:eastAsia="Times New Roman"/>
          <w:b/>
        </w:rPr>
        <w:t>during periods of anomalously high temperatures</w:t>
      </w:r>
      <w:r w:rsidR="00106815">
        <w:rPr>
          <w:rFonts w:eastAsia="Times New Roman"/>
          <w:b/>
        </w:rPr>
        <w:t>, especially as these episodes increase with global climate change</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6EF5C8BE"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w:t>
      </w:r>
      <w:r w:rsidR="00BB01F9">
        <w:rPr>
          <w:color w:val="000000" w:themeColor="text1"/>
        </w:rPr>
        <w:t>,</w:t>
      </w:r>
      <w:r>
        <w:rPr>
          <w:color w:val="000000" w:themeColor="text1"/>
        </w:rPr>
        <w:t xml:space="preserve"> and cardiorespiratory and other chronic diseases.</w:t>
      </w:r>
      <w:r>
        <w:rPr>
          <w:color w:val="000000" w:themeColor="text1"/>
        </w:rPr>
        <w:fldChar w:fldCharType="begin" w:fldLock="1"/>
      </w:r>
      <w:r w:rsidR="00447303">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2–7&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81585C">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8–10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447303">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11,12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3544D851" w:rsidR="0065196B" w:rsidRDefault="0065196B" w:rsidP="0065196B">
      <w:pPr>
        <w:spacing w:line="480" w:lineRule="auto"/>
        <w:jc w:val="both"/>
        <w:rPr>
          <w:color w:val="000000" w:themeColor="text1"/>
        </w:rPr>
      </w:pPr>
      <w:r w:rsidRPr="00262BFD">
        <w:rPr>
          <w:color w:val="000000" w:themeColor="text1"/>
        </w:rPr>
        <w:lastRenderedPageBreak/>
        <w:t>We used vital registration data on</w:t>
      </w:r>
      <w:r>
        <w:rPr>
          <w:color w:val="000000" w:themeColor="text1"/>
        </w:rPr>
        <w:t xml:space="preserve"> all</w:t>
      </w:r>
      <w:r w:rsidR="00B27D4F">
        <w:rPr>
          <w:color w:val="000000" w:themeColor="text1"/>
        </w:rPr>
        <w:t xml:space="preserve"> injury</w:t>
      </w:r>
      <w:r w:rsidRPr="00262BFD">
        <w:rPr>
          <w:color w:val="000000" w:themeColor="text1"/>
        </w:rPr>
        <w:t xml:space="preserve"> deaths</w:t>
      </w:r>
      <w:r>
        <w:rPr>
          <w:color w:val="000000" w:themeColor="text1"/>
        </w:rPr>
        <w:t xml:space="preserve"> in the</w:t>
      </w:r>
      <w:r w:rsidR="00B27D4F">
        <w:rPr>
          <w:color w:val="000000" w:themeColor="text1"/>
        </w:rPr>
        <w:t xml:space="preserve"> contiguous</w:t>
      </w:r>
      <w:r>
        <w:rPr>
          <w:color w:val="000000" w:themeColor="text1"/>
        </w:rPr>
        <w:t xml:space="preserv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w:t>
      </w:r>
      <w:r>
        <w:rPr>
          <w:color w:val="000000" w:themeColor="text1"/>
        </w:rPr>
        <w:t xml:space="preserve">. </w:t>
      </w:r>
      <w:r w:rsidR="00E15CE2">
        <w:rPr>
          <w:color w:val="000000" w:themeColor="text1"/>
        </w:rPr>
        <w:t>During this period</w:t>
      </w:r>
      <w:r>
        <w:rPr>
          <w:color w:val="000000" w:themeColor="text1"/>
        </w:rPr>
        <w:t xml:space="preserve">,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between, having similar numbers of injury deaths.</w:t>
      </w:r>
    </w:p>
    <w:p w14:paraId="67218FAC" w14:textId="77777777" w:rsidR="0065196B" w:rsidRDefault="0065196B" w:rsidP="0065196B">
      <w:pPr>
        <w:spacing w:line="480" w:lineRule="auto"/>
        <w:jc w:val="both"/>
        <w:rPr>
          <w:color w:val="000000" w:themeColor="text1"/>
        </w:rPr>
      </w:pPr>
    </w:p>
    <w:p w14:paraId="0D91B651" w14:textId="6D1D3A8C" w:rsidR="0065196B" w:rsidRDefault="00B178F9" w:rsidP="0065196B">
      <w:pPr>
        <w:spacing w:line="480" w:lineRule="auto"/>
        <w:jc w:val="both"/>
      </w:pPr>
      <w:r>
        <w:rPr>
          <w:color w:val="000000" w:themeColor="text1"/>
        </w:rPr>
        <w:t>I</w:t>
      </w:r>
      <w:r w:rsidR="0065196B">
        <w:rPr>
          <w:color w:val="000000" w:themeColor="text1"/>
        </w:rPr>
        <w:t>njuries</w:t>
      </w:r>
      <w:r>
        <w:rPr>
          <w:color w:val="000000" w:themeColor="text1"/>
        </w:rPr>
        <w:t xml:space="preserve"> from transport</w:t>
      </w:r>
      <w:r w:rsidR="0065196B">
        <w:rPr>
          <w:color w:val="000000" w:themeColor="text1"/>
        </w:rPr>
        <w:t xml:space="preserve">, falls, drownings, assault, and intentional self-harm accounted for 79.0% of injury deaths in males and 72.1% in females. The remainder were from a heterogeneous group of “other unintentional injuries” (Figure </w:t>
      </w:r>
      <w:r w:rsidR="0065196B" w:rsidRPr="00214145">
        <w:rPr>
          <w:color w:val="000000" w:themeColor="text1"/>
        </w:rPr>
        <w:t>1</w:t>
      </w:r>
      <w:r w:rsidR="0065196B">
        <w:rPr>
          <w:color w:val="000000" w:themeColor="text1"/>
        </w:rPr>
        <w:t xml:space="preserve">), within which </w:t>
      </w:r>
      <w:r w:rsidR="0065196B">
        <w:t>t</w:t>
      </w:r>
      <w:r w:rsidR="0065196B" w:rsidRPr="00091E0C">
        <w:t>he</w:t>
      </w:r>
      <w:r w:rsidR="0065196B">
        <w:t xml:space="preserve"> type of injury that led to death varied</w:t>
      </w:r>
      <w:r w:rsidR="0065196B" w:rsidRPr="00091E0C">
        <w:t xml:space="preserve"> by sex</w:t>
      </w:r>
      <w:r w:rsidR="0065196B" w:rsidRPr="00F53433">
        <w:t xml:space="preserve"> </w:t>
      </w:r>
      <w:r w:rsidR="0065196B" w:rsidRPr="00091E0C">
        <w:t>and age group.</w:t>
      </w:r>
      <w:r w:rsidR="0065196B">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0065196B" w:rsidRPr="00091E0C">
        <w:t xml:space="preserve"> </w:t>
      </w:r>
    </w:p>
    <w:p w14:paraId="2A0C0C6E" w14:textId="77777777" w:rsidR="0065196B" w:rsidRPr="003017A9" w:rsidRDefault="0065196B" w:rsidP="0065196B">
      <w:pPr>
        <w:spacing w:line="480" w:lineRule="auto"/>
        <w:jc w:val="both"/>
      </w:pPr>
    </w:p>
    <w:p w14:paraId="2B45AAFC" w14:textId="31A8A8FA"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2016. Age-standardised death rates for transport and drownings</w:t>
      </w:r>
      <w:r>
        <w:t xml:space="preserve"> peaked in summer months but</w:t>
      </w:r>
      <w:r w:rsidRPr="003017A9">
        <w:t xml:space="preserve"> </w:t>
      </w:r>
      <w:r>
        <w:t>deaths from o</w:t>
      </w:r>
      <w:r w:rsidRPr="003017A9">
        <w:t>ther</w:t>
      </w:r>
      <w:r>
        <w:t xml:space="preserve"> major injuries</w:t>
      </w:r>
      <w:r w:rsidRPr="003017A9">
        <w:t xml:space="preserve">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7A2EA12A" w:rsidR="0065196B" w:rsidRDefault="0065196B" w:rsidP="0065196B">
      <w:pPr>
        <w:spacing w:line="480" w:lineRule="auto"/>
        <w:jc w:val="both"/>
        <w:rPr>
          <w:color w:val="000000" w:themeColor="text1"/>
        </w:rPr>
      </w:pPr>
      <w:r>
        <w:rPr>
          <w:color w:val="000000" w:themeColor="text1"/>
        </w:rPr>
        <w:lastRenderedPageBreak/>
        <w:t>With few exceptions,</w:t>
      </w:r>
      <w:r>
        <w:rPr>
          <w:color w:val="000000" w:themeColor="text1"/>
        </w:rPr>
        <w:fldChar w:fldCharType="begin" w:fldLock="1"/>
      </w:r>
      <w:r w:rsidR="0081585C">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8,13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447303">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1,4,5,14,15&lt;/sup&gt;","plainTextFormattedCitation":"1,4,5,14,15","previouslyFormattedCitation":"&lt;sup&gt;1,4,5,14,15&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1,4,5,14,15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6266743E" w:rsidR="0065196B" w:rsidRDefault="0065196B" w:rsidP="0065196B">
      <w:pPr>
        <w:spacing w:line="480" w:lineRule="auto"/>
        <w:jc w:val="both"/>
      </w:pPr>
      <w:r>
        <w:t>Based on these calculations,</w:t>
      </w:r>
      <w:r w:rsidRPr="004326BD">
        <w:t xml:space="preserve"> there would be an </w:t>
      </w:r>
      <w:r>
        <w:t xml:space="preserve">estimated </w:t>
      </w:r>
      <w:r w:rsidRPr="004326BD">
        <w:t>941 (</w:t>
      </w:r>
      <w:r w:rsidRPr="00C60C27">
        <w:t xml:space="preserve">95% </w:t>
      </w:r>
      <w:proofErr w:type="spellStart"/>
      <w:r w:rsidRPr="00C60C27">
        <w:t>CrI</w:t>
      </w:r>
      <w:proofErr w:type="spellEnd"/>
      <w:r w:rsidRPr="00C60C27">
        <w:t xml:space="preserve"> 831, 1</w:t>
      </w:r>
      <w:r w:rsidR="009C48DE">
        <w:t>,</w:t>
      </w:r>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w:t>
      </w:r>
      <w:r w:rsidR="00106815">
        <w:t xml:space="preserve"> deaths from falls are expected</w:t>
      </w:r>
      <w:r>
        <w:t xml:space="preserve"> to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77777777"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614E8C22" w:rsidR="0065196B" w:rsidRDefault="0065196B" w:rsidP="0065196B">
      <w:pPr>
        <w:spacing w:line="480" w:lineRule="auto"/>
        <w:jc w:val="both"/>
      </w:pPr>
      <w: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Pr>
          <w:bCs/>
          <w:color w:val="000000" w:themeColor="text1"/>
        </w:rPr>
        <w:fldChar w:fldCharType="begin" w:fldLock="1"/>
      </w:r>
      <w:r w:rsidR="0081585C">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8&lt;/sup&gt;"},"properties":{"noteIndex":0},"schema":"https://github.com/citation-style-language/schema/raw/master/csl-citation.json"}</w:instrText>
      </w:r>
      <w:r>
        <w:rPr>
          <w:bCs/>
          <w:color w:val="000000" w:themeColor="text1"/>
        </w:rPr>
        <w:fldChar w:fldCharType="separate"/>
      </w:r>
      <w:r w:rsidR="005C694B"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w:t>
      </w:r>
      <w:r>
        <w:lastRenderedPageBreak/>
        <w:t>compared to a non-heatwave baseline</w:t>
      </w:r>
      <w:r w:rsidRPr="00886AE3">
        <w:t>.</w:t>
      </w:r>
      <w:r>
        <w:fldChar w:fldCharType="begin" w:fldLock="1"/>
      </w:r>
      <w:r w:rsidR="0081585C">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9&lt;/sup&gt;"},"properties":{"noteIndex":0},"schema":"https://github.com/citation-style-language/schema/raw/master/csl-citation.json"}</w:instrText>
      </w:r>
      <w:r>
        <w:fldChar w:fldCharType="separate"/>
      </w:r>
      <w:r w:rsidR="005C694B" w:rsidRPr="005C694B">
        <w:rPr>
          <w:noProof/>
          <w:vertAlign w:val="superscript"/>
        </w:rPr>
        <w:t>9</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rsidR="0081585C">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10&lt;/sup&gt;"},"properties":{"noteIndex":0},"schema":"https://github.com/citation-style-language/schema/raw/master/csl-citation.json"}</w:instrText>
      </w:r>
      <w:r>
        <w:fldChar w:fldCharType="separate"/>
      </w:r>
      <w:r w:rsidR="005C694B" w:rsidRPr="005C694B">
        <w:rPr>
          <w:noProof/>
          <w:vertAlign w:val="superscript"/>
        </w:rPr>
        <w:t>10</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54CDBDBD"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w:t>
      </w:r>
      <w:r w:rsidR="0001349E">
        <w:t>,</w:t>
      </w:r>
      <w:r>
        <w:t xml:space="preserve"> over half of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rsidR="0081585C">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16&lt;/sup&gt;"},"properties":{"noteIndex":0},"schema":"https://github.com/citation-style-language/schema/raw/master/csl-citation.json"}</w:instrText>
      </w:r>
      <w:r w:rsidRPr="00636C9B">
        <w:fldChar w:fldCharType="separate"/>
      </w:r>
      <w:r w:rsidR="005C694B" w:rsidRPr="005C694B">
        <w:rPr>
          <w:noProof/>
          <w:vertAlign w:val="superscript"/>
        </w:rPr>
        <w:t>16</w:t>
      </w:r>
      <w:r w:rsidRPr="00636C9B">
        <w:fldChar w:fldCharType="end"/>
      </w:r>
      <w:r>
        <w:t xml:space="preserve"> which may lead to a </w:t>
      </w:r>
      <w:r w:rsidR="00B52E63">
        <w:t>larger</w:t>
      </w:r>
      <w:r>
        <w:t xml:space="preserve">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rsidR="00447303">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17–19&lt;/sup&gt;"},"properties":{"noteIndex":0},"schema":"https://github.com/citation-style-language/schema/raw/master/csl-citation.json"}</w:instrText>
      </w:r>
      <w:r>
        <w:fldChar w:fldCharType="separate"/>
      </w:r>
      <w:r w:rsidR="005C694B" w:rsidRPr="005C694B">
        <w:rPr>
          <w:noProof/>
          <w:vertAlign w:val="superscript"/>
        </w:rPr>
        <w:t>17–19</w:t>
      </w:r>
      <w:r>
        <w:fldChar w:fldCharType="end"/>
      </w:r>
    </w:p>
    <w:p w14:paraId="7F35C909" w14:textId="77777777" w:rsidR="0065196B" w:rsidRDefault="0065196B" w:rsidP="0065196B">
      <w:pPr>
        <w:spacing w:line="480" w:lineRule="auto"/>
        <w:jc w:val="both"/>
      </w:pPr>
    </w:p>
    <w:p w14:paraId="4D6E52EF" w14:textId="6EEEEB44"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81585C">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81585C">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24&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447303">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25&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 xml:space="preserve">experience a larger proportional rise in </w:t>
      </w:r>
      <w:r w:rsidR="00D55813">
        <w:t xml:space="preserve">deaths from </w:t>
      </w:r>
      <w:r>
        <w:t>transport</w:t>
      </w:r>
      <w:r w:rsidRPr="00283E06">
        <w:t xml:space="preserve"> than older ages</w:t>
      </w:r>
      <w:r>
        <w:t xml:space="preserve"> when temperatures are anomalously warm. Lastly, warmer temperatures generally increase road traffic in North America;</w:t>
      </w:r>
      <w:r>
        <w:fldChar w:fldCharType="begin" w:fldLock="1"/>
      </w:r>
      <w:r w:rsidR="00447303">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26–29&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With more people generally outdoors in warmer weather,</w:t>
      </w:r>
      <w:r>
        <w:fldChar w:fldCharType="begin" w:fldLock="1"/>
      </w:r>
      <w:r w:rsidR="00447303">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30&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6DDF1DF2" w:rsidR="0065196B" w:rsidRPr="00542390" w:rsidRDefault="0065196B" w:rsidP="0065196B">
      <w:pPr>
        <w:spacing w:line="480" w:lineRule="auto"/>
        <w:jc w:val="both"/>
        <w:rPr>
          <w:i/>
          <w:color w:val="000000" w:themeColor="text1"/>
        </w:rPr>
      </w:pPr>
      <w: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fldChar w:fldCharType="begin" w:fldLock="1"/>
      </w:r>
      <w:r w:rsidR="0081585C">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31,32&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81585C">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33,34&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rsidR="00D55813">
        <w:t xml:space="preserve"> </w:t>
      </w:r>
      <w:r>
        <w:t xml:space="preserve">Regarding </w:t>
      </w:r>
      <w:r>
        <w:lastRenderedPageBreak/>
        <w:t>intentional self-harm, higher temperature has been hypothesised as associated with higher levels of distress in younger people.</w:t>
      </w:r>
      <w:r>
        <w:fldChar w:fldCharType="begin" w:fldLock="1"/>
      </w:r>
      <w:r w:rsidR="0081585C">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81585C">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36&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w:t>
      </w:r>
      <w:r w:rsidR="00D55813">
        <w:t>sex</w:t>
      </w:r>
      <w:r>
        <w:t>, as indicated by our results.</w:t>
      </w:r>
    </w:p>
    <w:p w14:paraId="0F3CC6A2" w14:textId="77777777" w:rsidR="0065196B" w:rsidRPr="00794D7E" w:rsidRDefault="0065196B" w:rsidP="0065196B">
      <w:pPr>
        <w:spacing w:line="480" w:lineRule="auto"/>
        <w:jc w:val="both"/>
      </w:pPr>
    </w:p>
    <w:p w14:paraId="299CDFDD" w14:textId="7DDE93D8" w:rsidR="0065196B" w:rsidRPr="002A2E8D" w:rsidRDefault="0065196B" w:rsidP="0065196B">
      <w:pPr>
        <w:spacing w:line="480" w:lineRule="auto"/>
        <w:jc w:val="both"/>
      </w:pPr>
      <w: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37&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47D6F2AB" w:rsidR="0065196B" w:rsidRPr="00254463" w:rsidRDefault="0065196B" w:rsidP="0065196B">
      <w:pPr>
        <w:spacing w:line="480" w:lineRule="auto"/>
        <w:jc w:val="both"/>
      </w:pPr>
      <w:r w:rsidRPr="00254463">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r w:rsidRPr="00636C9B">
        <w:rPr>
          <w:b/>
          <w:color w:val="000000" w:themeColor="text1"/>
        </w:rPr>
        <w:lastRenderedPageBreak/>
        <w:t>Methods</w:t>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24EA98A4"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9"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0"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1" w:history="1">
        <w:r w:rsidR="00801CD8" w:rsidRPr="00987AD8">
          <w:rPr>
            <w:rStyle w:val="Hyperlink"/>
          </w:rPr>
          <w:t>https://www.census.gov/data/developers/data-sets/popest-popproj/popest.html</w:t>
        </w:r>
      </w:hyperlink>
      <w:r w:rsidR="00801CD8">
        <w:rPr>
          <w:rStyle w:val="Hyperlink"/>
        </w:rPr>
        <w:t>)</w:t>
      </w:r>
      <w:bookmarkStart w:id="0" w:name="_GoBack"/>
      <w:bookmarkEnd w:id="0"/>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03630C57"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37&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t>Anomalous temperature metric</w:t>
      </w:r>
    </w:p>
    <w:p w14:paraId="30D8027D" w14:textId="7823EA41"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w:t>
      </w:r>
      <w:r>
        <w:lastRenderedPageBreak/>
        <w:t>calculated for 30 years because it is the duration used in climate assessments</w:t>
      </w:r>
      <w:r w:rsidRPr="00636C9B">
        <w:t>.</w:t>
      </w:r>
      <w:r w:rsidRPr="00636C9B">
        <w:fldChar w:fldCharType="begin" w:fldLock="1"/>
      </w:r>
      <w:r w:rsidR="00447303">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11D548EA"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F0193A">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11,12,39&lt;/sup&gt;","plainTextFormattedCitation":"11,12,39","previouslyFormattedCitation":"&lt;sup&gt;11,12,39&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684E52E" w:rsidR="0065196B" w:rsidRDefault="006A5716"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p w14:paraId="525250DE" w14:textId="22FC556E" w:rsidR="0065196B" w:rsidRDefault="006A5716"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m:t>
                  </m:r>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month</m:t>
              </m:r>
              <m:r>
                <w:rPr>
                  <w:rFonts w:ascii="Cambria Math" w:hAnsi="Cambria Math"/>
                  <w:color w:val="000000" w:themeColor="text1"/>
                </w:rPr>
                <m:t>-</m:t>
              </m:r>
              <m:r>
                <w:rPr>
                  <w:rFonts w:ascii="Cambria Math" w:hAnsi="Cambria Math"/>
                </w:rPr>
                <m:t>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r>
            <m:rPr>
              <m:aln/>
            </m:rPr>
            <w:rPr>
              <w:rFonts w:ascii="Cambria Math" w:hAnsi="Cambria Math"/>
              <w:color w:val="000000" w:themeColor="text1"/>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state-month-year</m:t>
              </m:r>
            </m:sub>
          </m:sSub>
          <m:r>
            <m:rPr>
              <m:aln/>
            </m:rPr>
            <w:rPr>
              <w:rFonts w:ascii="Cambria Math" w:eastAsiaTheme="minorEastAsia" w:hAnsi="Cambria Math"/>
              <w:color w:val="FFFFFF" w:themeColor="background1"/>
              <w:sz w:val="22"/>
              <w:szCs w:val="22"/>
            </w:rPr>
            <m:t>+</m:t>
          </m:r>
        </m:oMath>
      </m:oMathPara>
    </w:p>
    <w:p w14:paraId="3AF53BC0" w14:textId="77777777" w:rsidR="0065196B" w:rsidRDefault="0065196B" w:rsidP="0065196B">
      <w:pPr>
        <w:spacing w:line="480" w:lineRule="auto"/>
        <w:jc w:val="both"/>
        <w:outlineLvl w:val="0"/>
      </w:pPr>
    </w:p>
    <w:p w14:paraId="6D020C30" w14:textId="3326B039" w:rsidR="0065196B" w:rsidRPr="00620D06" w:rsidRDefault="0065196B" w:rsidP="0065196B">
      <w:pPr>
        <w:spacing w:line="480" w:lineRule="auto"/>
        <w:jc w:val="both"/>
        <w:outlineLvl w:val="0"/>
      </w:pPr>
      <w:r>
        <w:lastRenderedPageBreak/>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sidR="0081585C">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w:t>
      </w:r>
      <w:r>
        <w:rPr>
          <w:color w:val="000000" w:themeColor="text1"/>
        </w:rPr>
        <w:t xml:space="preserve">, </w:t>
      </w:r>
      <w:r w:rsidRPr="00636C9B">
        <w:rPr>
          <w:color w:val="000000" w:themeColor="text1"/>
        </w:rPr>
        <w:t>widely used to characterise smoothly varying associations</w:t>
      </w:r>
      <w:r>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45C5ED1D"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81585C">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73DA28A7" w:rsidR="0065196B" w:rsidRPr="00843ACB" w:rsidRDefault="0065196B" w:rsidP="0065196B">
      <w:pPr>
        <w:spacing w:line="480" w:lineRule="auto"/>
        <w:jc w:val="both"/>
        <w:outlineLvl w:val="0"/>
        <w:rPr>
          <w:color w:val="000000" w:themeColor="text1"/>
          <w:lang w:val="en-US"/>
        </w:rPr>
      </w:pPr>
      <w:r w:rsidRPr="00284EE0">
        <w:rPr>
          <w:color w:val="000000" w:themeColor="text1"/>
        </w:rPr>
        <w:lastRenderedPageBreak/>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004E30F3">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sidR="0081585C">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42&lt;/sup&gt;"},"properties":{"noteIndex":0},"schema":"https://github.com/citation-style-language/schema/raw/master/csl-citation.json"}</w:instrText>
      </w:r>
      <w:r>
        <w:rPr>
          <w:color w:val="000000" w:themeColor="text1"/>
          <w:lang w:val="en-US"/>
        </w:rPr>
        <w:fldChar w:fldCharType="separate"/>
      </w:r>
      <w:r w:rsidR="005C694B" w:rsidRPr="005C694B">
        <w:rPr>
          <w:noProof/>
          <w:color w:val="000000" w:themeColor="text1"/>
          <w:vertAlign w:val="superscript"/>
          <w:lang w:val="en-US"/>
        </w:rPr>
        <w:t>42</w:t>
      </w:r>
      <w:r>
        <w:rPr>
          <w:color w:val="000000" w:themeColor="text1"/>
          <w:lang w:val="en-US"/>
        </w:rPr>
        <w:fldChar w:fldCharType="end"/>
      </w:r>
    </w:p>
    <w:p w14:paraId="09E1F65E" w14:textId="77777777" w:rsidR="0065196B" w:rsidRPr="00636C9B" w:rsidRDefault="0065196B" w:rsidP="0065196B">
      <w:pPr>
        <w:spacing w:line="480" w:lineRule="auto"/>
        <w:jc w:val="both"/>
        <w:outlineLvl w:val="0"/>
        <w:rPr>
          <w:color w:val="000000" w:themeColor="text1"/>
        </w:rPr>
      </w:pPr>
    </w:p>
    <w:p w14:paraId="3CB5351D" w14:textId="7C8FE334" w:rsidR="0065196B"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sidR="008538B4">
        <w:t>,</w:t>
      </w:r>
      <w:r>
        <w:rPr>
          <w:color w:val="000000" w:themeColor="text1"/>
        </w:rPr>
        <w:fldChar w:fldCharType="begin" w:fldLock="1"/>
      </w:r>
      <w:r w:rsidR="0081585C">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43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rsidR="008538B4">
        <w:rPr>
          <w:color w:val="000000" w:themeColor="text1"/>
        </w:rPr>
        <w:t xml:space="preserve"> as well as within the range of anomaly size experienced by some states (Figure 4).</w:t>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risk</w:t>
      </w:r>
      <w:r w:rsidR="005A38E3">
        <w:rPr>
          <w:color w:val="000000" w:themeColor="text1"/>
        </w:rPr>
        <w:t xml:space="preserve">, </w:t>
      </w:r>
      <w:r>
        <w:rPr>
          <w:color w:val="000000" w:themeColor="text1"/>
        </w:rPr>
        <w:t xml:space="preserve">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3190A22D" w:rsidR="0065196B" w:rsidRPr="009F1115" w:rsidRDefault="0065196B" w:rsidP="0065196B">
      <w:pPr>
        <w:spacing w:line="480" w:lineRule="auto"/>
        <w:jc w:val="both"/>
        <w:outlineLvl w:val="0"/>
        <w:rPr>
          <w:color w:val="000000" w:themeColor="text1"/>
        </w:rPr>
      </w:pP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relative risk. The reported 95% Credible Intervals (</w:t>
      </w:r>
      <w:proofErr w:type="spellStart"/>
      <w:r w:rsidRPr="009F1115">
        <w:rPr>
          <w:color w:val="000000" w:themeColor="text1"/>
        </w:rPr>
        <w:t>CrIs</w:t>
      </w:r>
      <w:proofErr w:type="spellEnd"/>
      <w:r w:rsidRPr="009F1115">
        <w:rPr>
          <w:color w:val="000000" w:themeColor="text1"/>
        </w:rPr>
        <w:t>),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843CBFE" w:rsidR="0065196B" w:rsidRPr="009F1115" w:rsidRDefault="0065196B" w:rsidP="0065196B">
      <w:pPr>
        <w:spacing w:line="480" w:lineRule="auto"/>
        <w:jc w:val="both"/>
      </w:pPr>
      <w:r w:rsidRPr="009F1115">
        <w:t xml:space="preserve">We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w:t>
      </w:r>
      <w:r w:rsidRPr="009F1115">
        <w:lastRenderedPageBreak/>
        <w:t xml:space="preserve">minima. </w:t>
      </w:r>
      <w:r w:rsidR="00F36612">
        <w:t>T</w:t>
      </w:r>
      <w:r w:rsidRPr="009F1115">
        <w: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3DC3FBE1" w14:textId="36BF55C4" w:rsidR="0065196B" w:rsidRPr="00111115" w:rsidRDefault="00BE2421" w:rsidP="00111115">
      <w:pPr>
        <w:spacing w:line="480" w:lineRule="auto"/>
        <w:jc w:val="both"/>
      </w:pPr>
      <w:r w:rsidRPr="009F1115">
        <w:t xml:space="preserve">Together with temperature anomaly based on daily mean temperatures, we </w:t>
      </w:r>
      <w:r w:rsidR="0065196B" w:rsidRPr="009F1115">
        <w:t xml:space="preserve">also </w:t>
      </w:r>
      <w:r w:rsidR="00F36612">
        <w:t>included</w:t>
      </w:r>
      <w:r w:rsidR="0065196B" w:rsidRPr="009F1115">
        <w:t xml:space="preserve"> </w:t>
      </w:r>
      <w:r w:rsidRPr="009F1115">
        <w:t xml:space="preserve">a second </w:t>
      </w:r>
      <w:r w:rsidR="0065196B" w:rsidRPr="009F1115">
        <w:t xml:space="preserve">measure of anomaly in the model. The additional measures </w:t>
      </w:r>
      <w:r w:rsidR="00F36612">
        <w:t>were related to</w:t>
      </w:r>
      <w:r w:rsidR="0065196B" w:rsidRPr="00790EA3">
        <w:t xml:space="preserve"> extreme anomalous temperature</w:t>
      </w:r>
      <w:r w:rsidR="00D077B9">
        <w:t>:</w:t>
      </w:r>
    </w:p>
    <w:p w14:paraId="5E8AC7A2" w14:textId="79A60566" w:rsidR="00984C48" w:rsidRPr="00111115" w:rsidRDefault="00F36612" w:rsidP="00B3612C">
      <w:pPr>
        <w:pStyle w:val="ListParagraph"/>
        <w:numPr>
          <w:ilvl w:val="1"/>
          <w:numId w:val="14"/>
        </w:numPr>
        <w:spacing w:line="480" w:lineRule="auto"/>
        <w:jc w:val="both"/>
        <w:rPr>
          <w:rFonts w:ascii="Times New Roman" w:hAnsi="Times New Roman"/>
          <w:i/>
          <w:color w:val="000000" w:themeColor="text1"/>
          <w:sz w:val="24"/>
          <w:szCs w:val="24"/>
        </w:rPr>
      </w:pPr>
      <w:r w:rsidRPr="00F36612">
        <w:rPr>
          <w:rFonts w:ascii="Times New Roman" w:hAnsi="Times New Roman"/>
          <w:color w:val="000000" w:themeColor="text1"/>
          <w:sz w:val="24"/>
          <w:szCs w:val="24"/>
        </w:rPr>
        <w:t>temperature anomaly based on</w:t>
      </w:r>
      <w:r w:rsidRPr="00F36612" w:rsidDel="00F36612">
        <w:rPr>
          <w:rFonts w:ascii="Times New Roman" w:hAnsi="Times New Roman"/>
          <w:color w:val="000000" w:themeColor="text1"/>
          <w:sz w:val="24"/>
          <w:szCs w:val="24"/>
        </w:rPr>
        <w:t xml:space="preserve"> </w:t>
      </w:r>
      <w:r w:rsidR="00AF43DE" w:rsidRPr="00D077B9">
        <w:rPr>
          <w:rFonts w:ascii="Times New Roman" w:hAnsi="Times New Roman"/>
          <w:color w:val="000000" w:themeColor="text1"/>
          <w:sz w:val="24"/>
          <w:szCs w:val="24"/>
        </w:rPr>
        <w:t>90</w:t>
      </w:r>
      <w:r w:rsidR="00AF43DE" w:rsidRPr="00111115">
        <w:rPr>
          <w:rFonts w:ascii="Times New Roman" w:hAnsi="Times New Roman"/>
          <w:color w:val="000000" w:themeColor="text1"/>
          <w:sz w:val="24"/>
          <w:szCs w:val="24"/>
          <w:vertAlign w:val="superscript"/>
        </w:rPr>
        <w:t>th</w:t>
      </w:r>
      <w:r w:rsidR="00AF43DE" w:rsidRPr="00D077B9">
        <w:rPr>
          <w:rFonts w:ascii="Times New Roman" w:hAnsi="Times New Roman"/>
          <w:color w:val="000000" w:themeColor="text1"/>
          <w:sz w:val="24"/>
          <w:szCs w:val="24"/>
        </w:rPr>
        <w:t xml:space="preserve"> percentile</w:t>
      </w:r>
      <w:r w:rsidR="00B34BDE" w:rsidRPr="00D077B9">
        <w:rPr>
          <w:rFonts w:ascii="Times New Roman" w:hAnsi="Times New Roman"/>
          <w:color w:val="000000" w:themeColor="text1"/>
          <w:sz w:val="24"/>
          <w:szCs w:val="24"/>
        </w:rPr>
        <w:t xml:space="preserve"> (°C)</w:t>
      </w:r>
      <w:r w:rsidR="00AF43DE" w:rsidRPr="00D077B9">
        <w:rPr>
          <w:rFonts w:ascii="Times New Roman" w:hAnsi="Times New Roman"/>
          <w:color w:val="000000" w:themeColor="text1"/>
          <w:sz w:val="24"/>
          <w:szCs w:val="24"/>
        </w:rPr>
        <w:t xml:space="preserve"> </w:t>
      </w:r>
      <w:r w:rsidR="00B34BDE" w:rsidRPr="00D077B9">
        <w:rPr>
          <w:rFonts w:ascii="Times New Roman" w:hAnsi="Times New Roman"/>
          <w:color w:val="000000" w:themeColor="text1"/>
          <w:sz w:val="24"/>
          <w:szCs w:val="24"/>
        </w:rPr>
        <w:t xml:space="preserve">of </w:t>
      </w:r>
      <w:r w:rsidR="001A752D" w:rsidRPr="00D077B9">
        <w:rPr>
          <w:rFonts w:ascii="Times New Roman" w:hAnsi="Times New Roman"/>
          <w:color w:val="000000" w:themeColor="text1"/>
          <w:sz w:val="24"/>
          <w:szCs w:val="24"/>
        </w:rPr>
        <w:t>daily</w:t>
      </w:r>
      <w:r w:rsidR="00B34BDE" w:rsidRPr="008B4CDA">
        <w:rPr>
          <w:rFonts w:ascii="Times New Roman" w:hAnsi="Times New Roman"/>
          <w:color w:val="000000" w:themeColor="text1"/>
          <w:sz w:val="24"/>
          <w:szCs w:val="24"/>
        </w:rPr>
        <w:t xml:space="preserve"> </w:t>
      </w:r>
      <w:r w:rsidR="001A752D" w:rsidRPr="008B4CDA">
        <w:rPr>
          <w:rFonts w:ascii="Times New Roman" w:hAnsi="Times New Roman"/>
          <w:color w:val="000000" w:themeColor="text1"/>
          <w:sz w:val="24"/>
          <w:szCs w:val="24"/>
        </w:rPr>
        <w:t xml:space="preserve">mean </w:t>
      </w:r>
      <w:r w:rsidR="00B34BDE" w:rsidRPr="008B4CDA">
        <w:rPr>
          <w:rFonts w:ascii="Times New Roman" w:hAnsi="Times New Roman"/>
          <w:color w:val="000000" w:themeColor="text1"/>
          <w:sz w:val="24"/>
          <w:szCs w:val="24"/>
        </w:rPr>
        <w:t>temperature</w:t>
      </w:r>
      <w:r w:rsidR="001A752D" w:rsidRPr="008B4CDA">
        <w:rPr>
          <w:rFonts w:ascii="Times New Roman" w:hAnsi="Times New Roman"/>
          <w:color w:val="000000" w:themeColor="text1"/>
          <w:sz w:val="24"/>
          <w:szCs w:val="24"/>
        </w:rPr>
        <w:t>s within a month</w:t>
      </w:r>
      <w:r>
        <w:rPr>
          <w:rFonts w:ascii="Times New Roman" w:hAnsi="Times New Roman"/>
          <w:color w:val="000000" w:themeColor="text1"/>
          <w:sz w:val="24"/>
          <w:szCs w:val="24"/>
        </w:rPr>
        <w:t>,</w:t>
      </w:r>
      <w:r w:rsidR="00F1584A" w:rsidRPr="008B4CDA">
        <w:rPr>
          <w:rFonts w:ascii="Times New Roman" w:hAnsi="Times New Roman"/>
          <w:color w:val="000000" w:themeColor="text1"/>
          <w:sz w:val="24"/>
          <w:szCs w:val="24"/>
        </w:rPr>
        <w:t xml:space="preserve"> </w:t>
      </w:r>
      <w:r w:rsidR="000737EB">
        <w:rPr>
          <w:rFonts w:ascii="Times New Roman" w:hAnsi="Times New Roman"/>
          <w:color w:val="000000" w:themeColor="text1"/>
          <w:sz w:val="24"/>
          <w:szCs w:val="24"/>
        </w:rPr>
        <w:t>compared</w:t>
      </w:r>
      <w:r w:rsidR="00F1584A" w:rsidRPr="008B4CDA">
        <w:rPr>
          <w:rFonts w:ascii="Times New Roman" w:hAnsi="Times New Roman"/>
          <w:color w:val="000000" w:themeColor="text1"/>
          <w:sz w:val="24"/>
          <w:szCs w:val="24"/>
        </w:rPr>
        <w:t xml:space="preserve"> to 30-year (long-term) norm </w:t>
      </w:r>
      <w:r w:rsidR="00EA78C3" w:rsidRPr="008B4CDA">
        <w:rPr>
          <w:rFonts w:ascii="Times New Roman" w:hAnsi="Times New Roman"/>
          <w:color w:val="000000" w:themeColor="text1"/>
          <w:sz w:val="24"/>
          <w:szCs w:val="24"/>
        </w:rPr>
        <w:t>of 90</w:t>
      </w:r>
      <w:r w:rsidR="00EA78C3" w:rsidRPr="00111115">
        <w:rPr>
          <w:rFonts w:ascii="Times New Roman" w:hAnsi="Times New Roman"/>
          <w:color w:val="000000" w:themeColor="text1"/>
          <w:sz w:val="24"/>
          <w:szCs w:val="24"/>
          <w:vertAlign w:val="superscript"/>
        </w:rPr>
        <w:t>th</w:t>
      </w:r>
      <w:r w:rsidR="00EA78C3" w:rsidRPr="00D077B9">
        <w:rPr>
          <w:rFonts w:ascii="Times New Roman" w:hAnsi="Times New Roman"/>
          <w:color w:val="000000" w:themeColor="text1"/>
          <w:sz w:val="24"/>
          <w:szCs w:val="24"/>
        </w:rPr>
        <w:t xml:space="preserve"> percentile </w:t>
      </w:r>
      <w:r w:rsidR="00F1584A" w:rsidRPr="00D077B9">
        <w:rPr>
          <w:rFonts w:ascii="Times New Roman" w:hAnsi="Times New Roman"/>
          <w:color w:val="000000" w:themeColor="text1"/>
          <w:sz w:val="24"/>
          <w:szCs w:val="24"/>
        </w:rPr>
        <w:t>for each state and month</w:t>
      </w:r>
      <w:r w:rsidR="00B34BDE" w:rsidRPr="00D077B9">
        <w:rPr>
          <w:rFonts w:ascii="Times New Roman" w:hAnsi="Times New Roman"/>
          <w:color w:val="000000" w:themeColor="text1"/>
          <w:sz w:val="24"/>
          <w:szCs w:val="24"/>
        </w:rPr>
        <w:t xml:space="preserve"> </w:t>
      </w:r>
    </w:p>
    <w:p w14:paraId="22A2ADEC" w14:textId="361F187B" w:rsidR="0065196B" w:rsidRPr="00D077B9" w:rsidRDefault="0065196B" w:rsidP="00B3612C">
      <w:pPr>
        <w:pStyle w:val="ListParagraph"/>
        <w:numPr>
          <w:ilvl w:val="1"/>
          <w:numId w:val="14"/>
        </w:numPr>
        <w:spacing w:line="480" w:lineRule="auto"/>
        <w:jc w:val="both"/>
        <w:rPr>
          <w:rFonts w:ascii="Times New Roman" w:hAnsi="Times New Roman"/>
          <w:i/>
          <w:color w:val="000000" w:themeColor="text1"/>
          <w:sz w:val="24"/>
          <w:szCs w:val="24"/>
        </w:rPr>
      </w:pPr>
      <w:r w:rsidRPr="00D077B9">
        <w:rPr>
          <w:rFonts w:ascii="Times New Roman" w:hAnsi="Times New Roman"/>
          <w:sz w:val="24"/>
          <w:szCs w:val="24"/>
        </w:rPr>
        <w:t>number of days in a month above the long-term 90</w:t>
      </w:r>
      <w:r w:rsidRPr="00D077B9">
        <w:rPr>
          <w:rFonts w:ascii="Times New Roman" w:hAnsi="Times New Roman"/>
          <w:sz w:val="24"/>
          <w:szCs w:val="24"/>
          <w:vertAlign w:val="superscript"/>
        </w:rPr>
        <w:t>th</w:t>
      </w:r>
      <w:r w:rsidRPr="00D077B9">
        <w:rPr>
          <w:rFonts w:ascii="Times New Roman" w:hAnsi="Times New Roman"/>
          <w:sz w:val="24"/>
          <w:szCs w:val="24"/>
        </w:rPr>
        <w:t xml:space="preserve"> percentile</w:t>
      </w:r>
      <w:r w:rsidR="00EA7E0B" w:rsidRPr="00D077B9">
        <w:rPr>
          <w:rFonts w:ascii="Times New Roman" w:hAnsi="Times New Roman"/>
          <w:sz w:val="24"/>
          <w:szCs w:val="24"/>
        </w:rPr>
        <w:t xml:space="preserve"> of norm temperature</w:t>
      </w:r>
      <w:r w:rsidR="00D077B9" w:rsidRPr="00D077B9">
        <w:rPr>
          <w:rFonts w:ascii="Times New Roman" w:hAnsi="Times New Roman"/>
          <w:sz w:val="24"/>
          <w:szCs w:val="24"/>
        </w:rPr>
        <w:t xml:space="preserve"> </w:t>
      </w:r>
      <w:r w:rsidR="00D077B9" w:rsidRPr="008B4CDA">
        <w:rPr>
          <w:rFonts w:ascii="Times New Roman" w:hAnsi="Times New Roman"/>
          <w:sz w:val="24"/>
          <w:szCs w:val="24"/>
        </w:rPr>
        <w:t>(</w:t>
      </w:r>
      <w:r w:rsidR="00D077B9" w:rsidRPr="00111115">
        <w:rPr>
          <w:rFonts w:ascii="Times New Roman" w:hAnsi="Times New Roman"/>
          <w:sz w:val="24"/>
          <w:szCs w:val="24"/>
        </w:rPr>
        <w:t>adjusted for length of month)</w:t>
      </w:r>
    </w:p>
    <w:p w14:paraId="7FBA064C" w14:textId="5B609C9E" w:rsidR="0065196B" w:rsidRPr="00790EA3" w:rsidRDefault="0065196B" w:rsidP="00B3612C">
      <w:pPr>
        <w:pStyle w:val="ListParagraph"/>
        <w:numPr>
          <w:ilvl w:val="1"/>
          <w:numId w:val="14"/>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r w:rsidR="00D077B9">
        <w:rPr>
          <w:rFonts w:ascii="Times New Roman" w:hAnsi="Times New Roman"/>
          <w:sz w:val="24"/>
          <w:szCs w:val="24"/>
        </w:rPr>
        <w:t xml:space="preserve"> </w:t>
      </w:r>
      <w:r w:rsidR="00D077B9" w:rsidRPr="00283213">
        <w:rPr>
          <w:rFonts w:ascii="Times New Roman" w:hAnsi="Times New Roman"/>
          <w:sz w:val="24"/>
          <w:szCs w:val="24"/>
        </w:rPr>
        <w:t>(adjusted for length of month)</w:t>
      </w:r>
    </w:p>
    <w:p w14:paraId="2CBD98B9" w14:textId="3E8C6FE2" w:rsidR="0065196B" w:rsidRDefault="00D965F8" w:rsidP="0065196B">
      <w:pPr>
        <w:spacing w:line="480" w:lineRule="auto"/>
        <w:jc w:val="both"/>
      </w:pPr>
      <w:r>
        <w:t>The correlations among the variables and anomaly based on mean were between 0.6 and 0.89 (Supplementary Table 3). T</w:t>
      </w:r>
      <w:r w:rsidR="0065196B" w:rsidRPr="00C1740D">
        <w:t xml:space="preserve">he estimated </w:t>
      </w:r>
      <w:r>
        <w:t>rate ratios</w:t>
      </w:r>
      <w:r w:rsidR="0065196B" w:rsidRPr="00C1740D">
        <w:t xml:space="preserve"> </w:t>
      </w:r>
      <w:r w:rsidR="005922A2">
        <w:t>of temperature anomaly</w:t>
      </w:r>
      <w:r w:rsidR="000A0D93">
        <w:t xml:space="preserve"> </w:t>
      </w:r>
      <w:r w:rsidR="005922A2">
        <w:t xml:space="preserve">based on daily means </w:t>
      </w:r>
      <w:r w:rsidR="000A0D93">
        <w:t xml:space="preserve">(i.e., the anomaly </w:t>
      </w:r>
      <w:r>
        <w:t>measure</w:t>
      </w:r>
      <w:r w:rsidR="000A0D93">
        <w:t xml:space="preserve"> used in the main analysis) </w:t>
      </w:r>
      <w:r w:rsidR="00D86244">
        <w:t>were</w:t>
      </w:r>
      <w:r w:rsidR="00A20069">
        <w:t xml:space="preserve"> </w:t>
      </w:r>
      <w:r w:rsidR="0088548E">
        <w:t>robust to the addition of alternative measures of anomaly</w:t>
      </w:r>
      <w:r w:rsidR="00EE5907">
        <w:t xml:space="preserve">, </w:t>
      </w:r>
      <w:r w:rsidR="008B092C">
        <w:t xml:space="preserve">while the </w:t>
      </w:r>
      <w:r w:rsidR="00110076">
        <w:t xml:space="preserve">coefficients </w:t>
      </w:r>
      <w:r>
        <w:t xml:space="preserve">of </w:t>
      </w:r>
      <w:r w:rsidR="00110076">
        <w:t xml:space="preserve">the additional </w:t>
      </w:r>
      <w:r w:rsidR="00860B34">
        <w:t>measures</w:t>
      </w:r>
      <w:r w:rsidR="00110076">
        <w:t xml:space="preserve"> were generally not significant</w:t>
      </w:r>
      <w:r w:rsidR="007D2592">
        <w:t xml:space="preserve"> and with large credible intervals</w:t>
      </w:r>
      <w:r w:rsidR="003D575B">
        <w:t xml:space="preserve">. </w:t>
      </w:r>
      <w:r>
        <w:t>Therefore, we</w:t>
      </w:r>
      <w:r w:rsidR="003D575B">
        <w:t xml:space="preserve"> did</w:t>
      </w:r>
      <w:r w:rsidR="00110076">
        <w:t xml:space="preserve"> not include</w:t>
      </w:r>
      <w:r w:rsidR="003D575B">
        <w:t xml:space="preserve"> the alternative additional measures</w:t>
      </w:r>
      <w:r w:rsidR="00C775D5">
        <w:t xml:space="preserve"> of extreme anomalous temperature</w:t>
      </w:r>
      <w:r w:rsidR="00110076">
        <w:t xml:space="preserve"> in the main analysis</w:t>
      </w:r>
      <w:r w:rsidR="00326ABE" w:rsidRPr="00C1740D">
        <w:t>.</w:t>
      </w:r>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1456EAB3" w14:textId="5BB1B9C3" w:rsidR="00F0193A" w:rsidRPr="00F0193A" w:rsidRDefault="0065196B" w:rsidP="00EE59A1">
      <w:pPr>
        <w:widowControl w:val="0"/>
        <w:autoSpaceDE w:val="0"/>
        <w:autoSpaceDN w:val="0"/>
        <w:adjustRightInd w:val="0"/>
        <w:ind w:left="640" w:hanging="640"/>
        <w:jc w:val="both"/>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F0193A" w:rsidRPr="00F0193A">
        <w:rPr>
          <w:noProof/>
          <w:lang w:val="en-US"/>
        </w:rPr>
        <w:t>1.</w:t>
      </w:r>
      <w:r w:rsidR="00F0193A" w:rsidRPr="00F0193A">
        <w:rPr>
          <w:noProof/>
          <w:lang w:val="en-US"/>
        </w:rPr>
        <w:tab/>
        <w:t xml:space="preserve">Gasparrini, A. </w:t>
      </w:r>
      <w:r w:rsidR="00F0193A" w:rsidRPr="00F0193A">
        <w:rPr>
          <w:i/>
          <w:iCs/>
          <w:noProof/>
          <w:lang w:val="en-US"/>
        </w:rPr>
        <w:t>et al.</w:t>
      </w:r>
      <w:r w:rsidR="00F0193A" w:rsidRPr="00F0193A">
        <w:rPr>
          <w:noProof/>
          <w:lang w:val="en-US"/>
        </w:rPr>
        <w:t xml:space="preserve"> Mortality risk attributable to high and low ambient temperature: A multicountry observational study. </w:t>
      </w:r>
      <w:r w:rsidR="00F0193A" w:rsidRPr="00F0193A">
        <w:rPr>
          <w:i/>
          <w:iCs/>
          <w:noProof/>
          <w:lang w:val="en-US"/>
        </w:rPr>
        <w:t>Lancet</w:t>
      </w:r>
      <w:r w:rsidR="00F0193A" w:rsidRPr="00F0193A">
        <w:rPr>
          <w:noProof/>
          <w:lang w:val="en-US"/>
        </w:rPr>
        <w:t xml:space="preserve"> </w:t>
      </w:r>
      <w:r w:rsidR="00F0193A" w:rsidRPr="00F0193A">
        <w:rPr>
          <w:b/>
          <w:bCs/>
          <w:noProof/>
          <w:lang w:val="en-US"/>
        </w:rPr>
        <w:t>386,</w:t>
      </w:r>
      <w:r w:rsidR="00F0193A" w:rsidRPr="00F0193A">
        <w:rPr>
          <w:noProof/>
          <w:lang w:val="en-US"/>
        </w:rPr>
        <w:t xml:space="preserve"> 369–375 (2015).</w:t>
      </w:r>
    </w:p>
    <w:p w14:paraId="65767F0F"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w:t>
      </w:r>
      <w:r w:rsidRPr="00F0193A">
        <w:rPr>
          <w:noProof/>
          <w:lang w:val="en-US"/>
        </w:rPr>
        <w:tab/>
        <w:t xml:space="preserve">Watts, N. </w:t>
      </w:r>
      <w:r w:rsidRPr="00F0193A">
        <w:rPr>
          <w:i/>
          <w:iCs/>
          <w:noProof/>
          <w:lang w:val="en-US"/>
        </w:rPr>
        <w:t>et al.</w:t>
      </w:r>
      <w:r w:rsidRPr="00F0193A">
        <w:rPr>
          <w:noProof/>
          <w:lang w:val="en-US"/>
        </w:rPr>
        <w:t xml:space="preserve"> The 2018 report of the Lancet Countdown on health and climate change: shaping health of nations for centuries to come. </w:t>
      </w:r>
      <w:r w:rsidRPr="00F0193A">
        <w:rPr>
          <w:i/>
          <w:iCs/>
          <w:noProof/>
          <w:lang w:val="en-US"/>
        </w:rPr>
        <w:t>Lancet</w:t>
      </w:r>
      <w:r w:rsidRPr="00F0193A">
        <w:rPr>
          <w:noProof/>
          <w:lang w:val="en-US"/>
        </w:rPr>
        <w:t xml:space="preserve"> </w:t>
      </w:r>
      <w:r w:rsidRPr="00F0193A">
        <w:rPr>
          <w:b/>
          <w:bCs/>
          <w:noProof/>
          <w:lang w:val="en-US"/>
        </w:rPr>
        <w:t>6736,</w:t>
      </w:r>
      <w:r w:rsidRPr="00F0193A">
        <w:rPr>
          <w:noProof/>
          <w:lang w:val="en-US"/>
        </w:rPr>
        <w:t xml:space="preserve"> 1–4 (2018).</w:t>
      </w:r>
    </w:p>
    <w:p w14:paraId="0DF55ED5"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w:t>
      </w:r>
      <w:r w:rsidRPr="00F0193A">
        <w:rPr>
          <w:noProof/>
          <w:lang w:val="en-US"/>
        </w:rPr>
        <w:tab/>
        <w:t xml:space="preserve">McMichael, A. J., Woodruff, R. E. &amp; Hales, S. Climate change and human health: Present and future risks. </w:t>
      </w:r>
      <w:r w:rsidRPr="00F0193A">
        <w:rPr>
          <w:i/>
          <w:iCs/>
          <w:noProof/>
          <w:lang w:val="en-US"/>
        </w:rPr>
        <w:t>Lancet</w:t>
      </w:r>
      <w:r w:rsidRPr="00F0193A">
        <w:rPr>
          <w:noProof/>
          <w:lang w:val="en-US"/>
        </w:rPr>
        <w:t xml:space="preserve"> (2006). doi:10.1016/S0140-6736(06)68079-3</w:t>
      </w:r>
    </w:p>
    <w:p w14:paraId="1943D8F0"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4.</w:t>
      </w:r>
      <w:r w:rsidRPr="00F0193A">
        <w:rPr>
          <w:noProof/>
          <w:lang w:val="en-US"/>
        </w:rPr>
        <w:tab/>
        <w:t xml:space="preserve">Huang, C. </w:t>
      </w:r>
      <w:r w:rsidRPr="00F0193A">
        <w:rPr>
          <w:i/>
          <w:iCs/>
          <w:noProof/>
          <w:lang w:val="en-US"/>
        </w:rPr>
        <w:t>et al.</w:t>
      </w:r>
      <w:r w:rsidRPr="00F0193A">
        <w:rPr>
          <w:noProof/>
          <w:lang w:val="en-US"/>
        </w:rPr>
        <w:t xml:space="preserve"> Projecting future heat-related mortality under climate change scenarios: A systematic review. </w:t>
      </w:r>
      <w:r w:rsidRPr="00F0193A">
        <w:rPr>
          <w:i/>
          <w:iCs/>
          <w:noProof/>
          <w:lang w:val="en-US"/>
        </w:rPr>
        <w:t>Environmental Health Perspectives</w:t>
      </w:r>
      <w:r w:rsidRPr="00F0193A">
        <w:rPr>
          <w:noProof/>
          <w:lang w:val="en-US"/>
        </w:rPr>
        <w:t xml:space="preserve"> (2011). doi:10.1289/ehp.1103456</w:t>
      </w:r>
    </w:p>
    <w:p w14:paraId="5AE6349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5.</w:t>
      </w:r>
      <w:r w:rsidRPr="00F0193A">
        <w:rPr>
          <w:noProof/>
          <w:lang w:val="en-US"/>
        </w:rPr>
        <w:tab/>
        <w:t xml:space="preserve">Gasparrini, A. </w:t>
      </w:r>
      <w:r w:rsidRPr="00F0193A">
        <w:rPr>
          <w:i/>
          <w:iCs/>
          <w:noProof/>
          <w:lang w:val="en-US"/>
        </w:rPr>
        <w:t>et al.</w:t>
      </w:r>
      <w:r w:rsidRPr="00F0193A">
        <w:rPr>
          <w:noProof/>
          <w:lang w:val="en-US"/>
        </w:rPr>
        <w:t xml:space="preserve"> Projections of temperature-related excess mortality under climate change scenarios. </w:t>
      </w:r>
      <w:r w:rsidRPr="00F0193A">
        <w:rPr>
          <w:i/>
          <w:iCs/>
          <w:noProof/>
          <w:lang w:val="en-US"/>
        </w:rPr>
        <w:t>Lancet Planet. Heal.</w:t>
      </w:r>
      <w:r w:rsidRPr="00F0193A">
        <w:rPr>
          <w:noProof/>
          <w:lang w:val="en-US"/>
        </w:rPr>
        <w:t xml:space="preserve"> (2017). doi:10.1016/S2542-5196(17)30156-0</w:t>
      </w:r>
    </w:p>
    <w:p w14:paraId="4C7BA685"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6.</w:t>
      </w:r>
      <w:r w:rsidRPr="00F0193A">
        <w:rPr>
          <w:noProof/>
          <w:lang w:val="en-US"/>
        </w:rPr>
        <w:tab/>
        <w:t xml:space="preserve">Smith, K. R. </w:t>
      </w:r>
      <w:r w:rsidRPr="00F0193A">
        <w:rPr>
          <w:i/>
          <w:iCs/>
          <w:noProof/>
          <w:lang w:val="en-US"/>
        </w:rPr>
        <w:t>et al.</w:t>
      </w:r>
      <w:r w:rsidRPr="00F0193A">
        <w:rPr>
          <w:noProof/>
          <w:lang w:val="en-US"/>
        </w:rPr>
        <w:t xml:space="preserve"> Human health: Impacts, adaptation, and co-benefits. in </w:t>
      </w:r>
      <w:r w:rsidRPr="00F0193A">
        <w:rPr>
          <w:i/>
          <w:iCs/>
          <w:noProof/>
          <w:lang w:val="en-US"/>
        </w:rPr>
        <w:t>Climate Change 2014 Impacts, Adaptation and Vulnerability: Part A: Global and Sectoral Aspects</w:t>
      </w:r>
      <w:r w:rsidRPr="00F0193A">
        <w:rPr>
          <w:noProof/>
          <w:lang w:val="en-US"/>
        </w:rPr>
        <w:t xml:space="preserve"> (2015). doi:10.1017/CBO9781107415379.016</w:t>
      </w:r>
    </w:p>
    <w:p w14:paraId="3EB02238"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7.</w:t>
      </w:r>
      <w:r w:rsidRPr="00F0193A">
        <w:rPr>
          <w:noProof/>
          <w:lang w:val="en-US"/>
        </w:rPr>
        <w:tab/>
        <w:t xml:space="preserve">Haines, A. &amp; Ebi, K. The imperative for climate action to protect health. </w:t>
      </w:r>
      <w:r w:rsidRPr="00F0193A">
        <w:rPr>
          <w:i/>
          <w:iCs/>
          <w:noProof/>
          <w:lang w:val="en-US"/>
        </w:rPr>
        <w:t>N. Engl. J. Med.</w:t>
      </w:r>
      <w:r w:rsidRPr="00F0193A">
        <w:rPr>
          <w:noProof/>
          <w:lang w:val="en-US"/>
        </w:rPr>
        <w:t xml:space="preserve"> 263–273 (2019).</w:t>
      </w:r>
    </w:p>
    <w:p w14:paraId="061D9963"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8.</w:t>
      </w:r>
      <w:r w:rsidRPr="00F0193A">
        <w:rPr>
          <w:noProof/>
          <w:lang w:val="en-US"/>
        </w:rPr>
        <w:tab/>
        <w:t xml:space="preserve">Burke, M. </w:t>
      </w:r>
      <w:r w:rsidRPr="00F0193A">
        <w:rPr>
          <w:i/>
          <w:iCs/>
          <w:noProof/>
          <w:lang w:val="en-US"/>
        </w:rPr>
        <w:t>et al.</w:t>
      </w:r>
      <w:r w:rsidRPr="00F0193A">
        <w:rPr>
          <w:noProof/>
          <w:lang w:val="en-US"/>
        </w:rPr>
        <w:t xml:space="preserve"> Higher temperatures increase suicide rates in the United States and Mexico. </w:t>
      </w:r>
      <w:r w:rsidRPr="00F0193A">
        <w:rPr>
          <w:i/>
          <w:iCs/>
          <w:noProof/>
          <w:lang w:val="en-US"/>
        </w:rPr>
        <w:t>Nat. Clim. Chang.</w:t>
      </w:r>
      <w:r w:rsidRPr="00F0193A">
        <w:rPr>
          <w:noProof/>
          <w:lang w:val="en-US"/>
        </w:rPr>
        <w:t xml:space="preserve"> (2018). doi:10.1038/s41558-018-0222-x</w:t>
      </w:r>
    </w:p>
    <w:p w14:paraId="389212AD"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9.</w:t>
      </w:r>
      <w:r w:rsidRPr="00F0193A">
        <w:rPr>
          <w:noProof/>
          <w:lang w:val="en-US"/>
        </w:rPr>
        <w:tab/>
        <w:t xml:space="preserve">Rey, G. </w:t>
      </w:r>
      <w:r w:rsidRPr="00F0193A">
        <w:rPr>
          <w:i/>
          <w:iCs/>
          <w:noProof/>
          <w:lang w:val="en-US"/>
        </w:rPr>
        <w:t>et al.</w:t>
      </w:r>
      <w:r w:rsidRPr="00F0193A">
        <w:rPr>
          <w:noProof/>
          <w:lang w:val="en-US"/>
        </w:rPr>
        <w:t xml:space="preserve"> The impact of major heat waves on all-cause and cause-specific mortality in France from 1971 to 2003. </w:t>
      </w:r>
      <w:r w:rsidRPr="00F0193A">
        <w:rPr>
          <w:i/>
          <w:iCs/>
          <w:noProof/>
          <w:lang w:val="en-US"/>
        </w:rPr>
        <w:t>Int. Arch. Occup. Environ. Health</w:t>
      </w:r>
      <w:r w:rsidRPr="00F0193A">
        <w:rPr>
          <w:noProof/>
          <w:lang w:val="en-US"/>
        </w:rPr>
        <w:t xml:space="preserve"> (2007). doi:10.1007/s00420-007-0173-4</w:t>
      </w:r>
    </w:p>
    <w:p w14:paraId="56E35B07"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10.</w:t>
      </w:r>
      <w:r w:rsidRPr="00F0193A">
        <w:rPr>
          <w:noProof/>
          <w:lang w:val="en-US"/>
        </w:rPr>
        <w:tab/>
        <w:t xml:space="preserve">Orru, H. &amp; Åström, D. O. Increases in external cause mortality due to high and low temperatures: evidence from northeastern Europe. </w:t>
      </w:r>
      <w:r w:rsidRPr="00F0193A">
        <w:rPr>
          <w:i/>
          <w:iCs/>
          <w:noProof/>
          <w:lang w:val="en-US"/>
        </w:rPr>
        <w:t>Int. J. Biometeorol.</w:t>
      </w:r>
      <w:r w:rsidRPr="00F0193A">
        <w:rPr>
          <w:noProof/>
          <w:lang w:val="en-US"/>
        </w:rPr>
        <w:t xml:space="preserve"> (2017). doi:10.1007/s00484-016-1270-4</w:t>
      </w:r>
    </w:p>
    <w:p w14:paraId="6B27EFC3"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11.</w:t>
      </w:r>
      <w:r w:rsidRPr="00F0193A">
        <w:rPr>
          <w:noProof/>
          <w:lang w:val="en-US"/>
        </w:rPr>
        <w:tab/>
        <w:t xml:space="preserve">Parks, R. M., Bennett, J. E., Foreman, K. J., Toumi, R. &amp; Ezzati, M. National and regional seasonal dynamics of all-cause and cause-specific mortality in the USA from 1980 to 2016. </w:t>
      </w:r>
      <w:r w:rsidRPr="00F0193A">
        <w:rPr>
          <w:i/>
          <w:iCs/>
          <w:noProof/>
          <w:lang w:val="en-US"/>
        </w:rPr>
        <w:t>Elife</w:t>
      </w:r>
      <w:r w:rsidRPr="00F0193A">
        <w:rPr>
          <w:noProof/>
          <w:lang w:val="en-US"/>
        </w:rPr>
        <w:t xml:space="preserve"> </w:t>
      </w:r>
      <w:r w:rsidRPr="00F0193A">
        <w:rPr>
          <w:b/>
          <w:bCs/>
          <w:noProof/>
          <w:lang w:val="en-US"/>
        </w:rPr>
        <w:t>7,</w:t>
      </w:r>
      <w:r w:rsidRPr="00F0193A">
        <w:rPr>
          <w:noProof/>
          <w:lang w:val="en-US"/>
        </w:rPr>
        <w:t xml:space="preserve"> (2018).</w:t>
      </w:r>
    </w:p>
    <w:p w14:paraId="7625EBF8"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12.</w:t>
      </w:r>
      <w:r w:rsidRPr="00F0193A">
        <w:rPr>
          <w:noProof/>
          <w:lang w:val="en-US"/>
        </w:rPr>
        <w:tab/>
        <w:t xml:space="preserve">Rau, R. Seasonality in human mortality. A demographic approach. </w:t>
      </w:r>
      <w:r w:rsidRPr="00F0193A">
        <w:rPr>
          <w:i/>
          <w:iCs/>
          <w:noProof/>
          <w:lang w:val="en-US"/>
        </w:rPr>
        <w:t>Wirtschafts- und Sozialwissenschaftlichen Fak.</w:t>
      </w:r>
      <w:r w:rsidRPr="00F0193A">
        <w:rPr>
          <w:noProof/>
          <w:lang w:val="en-US"/>
        </w:rPr>
        <w:t xml:space="preserve"> </w:t>
      </w:r>
      <w:r w:rsidRPr="00F0193A">
        <w:rPr>
          <w:b/>
          <w:bCs/>
          <w:noProof/>
          <w:lang w:val="en-US"/>
        </w:rPr>
        <w:t>PhD,</w:t>
      </w:r>
      <w:r w:rsidRPr="00F0193A">
        <w:rPr>
          <w:noProof/>
          <w:lang w:val="en-US"/>
        </w:rPr>
        <w:t xml:space="preserve"> 361 (2004).</w:t>
      </w:r>
    </w:p>
    <w:p w14:paraId="27DA8B19"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13.</w:t>
      </w:r>
      <w:r w:rsidRPr="00F0193A">
        <w:rPr>
          <w:noProof/>
          <w:lang w:val="en-US"/>
        </w:rPr>
        <w:tab/>
        <w:t xml:space="preserve">Shi, L., Kloog, I., Zanobetti, A., Liu, P. &amp; Schwartz, J. D. Impacts of temperature and its variability on mortality in New England. </w:t>
      </w:r>
      <w:r w:rsidRPr="00F0193A">
        <w:rPr>
          <w:i/>
          <w:iCs/>
          <w:noProof/>
          <w:lang w:val="en-US"/>
        </w:rPr>
        <w:t>Nat. Clim. Chang.</w:t>
      </w:r>
      <w:r w:rsidRPr="00F0193A">
        <w:rPr>
          <w:noProof/>
          <w:lang w:val="en-US"/>
        </w:rPr>
        <w:t xml:space="preserve"> </w:t>
      </w:r>
      <w:r w:rsidRPr="00F0193A">
        <w:rPr>
          <w:b/>
          <w:bCs/>
          <w:noProof/>
          <w:lang w:val="en-US"/>
        </w:rPr>
        <w:t>5,</w:t>
      </w:r>
      <w:r w:rsidRPr="00F0193A">
        <w:rPr>
          <w:noProof/>
          <w:lang w:val="en-US"/>
        </w:rPr>
        <w:t xml:space="preserve"> 988–991 (2015).</w:t>
      </w:r>
    </w:p>
    <w:p w14:paraId="0616F74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14.</w:t>
      </w:r>
      <w:r w:rsidRPr="00F0193A">
        <w:rPr>
          <w:noProof/>
          <w:lang w:val="en-US"/>
        </w:rPr>
        <w:tab/>
        <w:t xml:space="preserve">Ye, X. </w:t>
      </w:r>
      <w:r w:rsidRPr="00F0193A">
        <w:rPr>
          <w:i/>
          <w:iCs/>
          <w:noProof/>
          <w:lang w:val="en-US"/>
        </w:rPr>
        <w:t>et al.</w:t>
      </w:r>
      <w:r w:rsidRPr="00F0193A">
        <w:rPr>
          <w:noProof/>
          <w:lang w:val="en-US"/>
        </w:rPr>
        <w:t xml:space="preserve"> Ambient temperature and morbidity: a review of epidemiological evidence. </w:t>
      </w:r>
      <w:r w:rsidRPr="00F0193A">
        <w:rPr>
          <w:i/>
          <w:iCs/>
          <w:noProof/>
          <w:lang w:val="en-US"/>
        </w:rPr>
        <w:t>Environ. Health Perspect.</w:t>
      </w:r>
      <w:r w:rsidRPr="00F0193A">
        <w:rPr>
          <w:noProof/>
          <w:lang w:val="en-US"/>
        </w:rPr>
        <w:t xml:space="preserve"> </w:t>
      </w:r>
      <w:r w:rsidRPr="00F0193A">
        <w:rPr>
          <w:b/>
          <w:bCs/>
          <w:noProof/>
          <w:lang w:val="en-US"/>
        </w:rPr>
        <w:t>120,</w:t>
      </w:r>
      <w:r w:rsidRPr="00F0193A">
        <w:rPr>
          <w:noProof/>
          <w:lang w:val="en-US"/>
        </w:rPr>
        <w:t xml:space="preserve"> 19–28 (2012).</w:t>
      </w:r>
    </w:p>
    <w:p w14:paraId="3A1842CB"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15.</w:t>
      </w:r>
      <w:r w:rsidRPr="00F0193A">
        <w:rPr>
          <w:noProof/>
          <w:lang w:val="en-US"/>
        </w:rPr>
        <w:tab/>
        <w:t xml:space="preserve">Basu, R. High ambient temperature and mortality: A review of epidemiologic studies from 2001 to 2008. </w:t>
      </w:r>
      <w:r w:rsidRPr="00F0193A">
        <w:rPr>
          <w:i/>
          <w:iCs/>
          <w:noProof/>
          <w:lang w:val="en-US"/>
        </w:rPr>
        <w:t>Environ. Heal. A Glob. Access Sci. Source</w:t>
      </w:r>
      <w:r w:rsidRPr="00F0193A">
        <w:rPr>
          <w:noProof/>
          <w:lang w:val="en-US"/>
        </w:rPr>
        <w:t xml:space="preserve"> </w:t>
      </w:r>
      <w:r w:rsidRPr="00F0193A">
        <w:rPr>
          <w:b/>
          <w:bCs/>
          <w:noProof/>
          <w:lang w:val="en-US"/>
        </w:rPr>
        <w:t>8,</w:t>
      </w:r>
      <w:r w:rsidRPr="00F0193A">
        <w:rPr>
          <w:noProof/>
          <w:lang w:val="en-US"/>
        </w:rPr>
        <w:t xml:space="preserve"> 40 (2009).</w:t>
      </w:r>
    </w:p>
    <w:p w14:paraId="4FC738D7"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16.</w:t>
      </w:r>
      <w:r w:rsidRPr="00F0193A">
        <w:rPr>
          <w:noProof/>
          <w:lang w:val="en-US"/>
        </w:rPr>
        <w:tab/>
        <w:t xml:space="preserve">Xu, J. Unintentional drowning deaths in the United States, 1999-2010. </w:t>
      </w:r>
      <w:r w:rsidRPr="00F0193A">
        <w:rPr>
          <w:i/>
          <w:iCs/>
          <w:noProof/>
          <w:lang w:val="en-US"/>
        </w:rPr>
        <w:t>NCHS Data Brief</w:t>
      </w:r>
      <w:r w:rsidRPr="00F0193A">
        <w:rPr>
          <w:noProof/>
          <w:lang w:val="en-US"/>
        </w:rPr>
        <w:t xml:space="preserve"> (2014).</w:t>
      </w:r>
    </w:p>
    <w:p w14:paraId="28DC7ACE"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17.</w:t>
      </w:r>
      <w:r w:rsidRPr="00F0193A">
        <w:rPr>
          <w:noProof/>
          <w:lang w:val="en-US"/>
        </w:rPr>
        <w:tab/>
        <w:t xml:space="preserve">Ambrose, A. F., Paul, G. &amp; Hausdorff, J. M. Risk factors for falls among older adults: A review of the literature. </w:t>
      </w:r>
      <w:r w:rsidRPr="00F0193A">
        <w:rPr>
          <w:i/>
          <w:iCs/>
          <w:noProof/>
          <w:lang w:val="en-US"/>
        </w:rPr>
        <w:t>Maturitas</w:t>
      </w:r>
      <w:r w:rsidRPr="00F0193A">
        <w:rPr>
          <w:noProof/>
          <w:lang w:val="en-US"/>
        </w:rPr>
        <w:t xml:space="preserve"> (2013). doi:10.1016/j.maturitas.2013.02.009</w:t>
      </w:r>
    </w:p>
    <w:p w14:paraId="2D5FFD7D"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18.</w:t>
      </w:r>
      <w:r w:rsidRPr="00F0193A">
        <w:rPr>
          <w:noProof/>
          <w:lang w:val="en-US"/>
        </w:rPr>
        <w:tab/>
        <w:t xml:space="preserve">Bobb, J. F. </w:t>
      </w:r>
      <w:r w:rsidRPr="00F0193A">
        <w:rPr>
          <w:i/>
          <w:iCs/>
          <w:noProof/>
          <w:lang w:val="en-US"/>
        </w:rPr>
        <w:t>et al.</w:t>
      </w:r>
      <w:r w:rsidRPr="00F0193A">
        <w:rPr>
          <w:noProof/>
          <w:lang w:val="en-US"/>
        </w:rPr>
        <w:t xml:space="preserve"> Time-course of cause-specific hospital admissions during snowstorms : An analysis of electronic medical records from major hospitals in Boston, Massachusetts. </w:t>
      </w:r>
      <w:r w:rsidRPr="00F0193A">
        <w:rPr>
          <w:i/>
          <w:iCs/>
          <w:noProof/>
          <w:lang w:val="en-US"/>
        </w:rPr>
        <w:t>Am. J. Epidemiol.</w:t>
      </w:r>
      <w:r w:rsidRPr="00F0193A">
        <w:rPr>
          <w:noProof/>
          <w:lang w:val="en-US"/>
        </w:rPr>
        <w:t xml:space="preserve"> </w:t>
      </w:r>
      <w:r w:rsidRPr="00F0193A">
        <w:rPr>
          <w:b/>
          <w:bCs/>
          <w:noProof/>
          <w:lang w:val="en-US"/>
        </w:rPr>
        <w:t>185,</w:t>
      </w:r>
      <w:r w:rsidRPr="00F0193A">
        <w:rPr>
          <w:noProof/>
          <w:lang w:val="en-US"/>
        </w:rPr>
        <w:t xml:space="preserve"> 283–294 (2017).</w:t>
      </w:r>
    </w:p>
    <w:p w14:paraId="568C7748"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19.</w:t>
      </w:r>
      <w:r w:rsidRPr="00F0193A">
        <w:rPr>
          <w:noProof/>
          <w:lang w:val="en-US"/>
        </w:rPr>
        <w:tab/>
        <w:t xml:space="preserve">Kelsey, J. L. </w:t>
      </w:r>
      <w:r w:rsidRPr="00F0193A">
        <w:rPr>
          <w:i/>
          <w:iCs/>
          <w:noProof/>
          <w:lang w:val="en-US"/>
        </w:rPr>
        <w:t>et al.</w:t>
      </w:r>
      <w:r w:rsidRPr="00F0193A">
        <w:rPr>
          <w:noProof/>
          <w:lang w:val="en-US"/>
        </w:rPr>
        <w:t xml:space="preserve"> Indoor and outdoor falls in older adults are different: The maintenance of balance, independent living, intellect, and zest in the elderly of boston study. </w:t>
      </w:r>
      <w:r w:rsidRPr="00F0193A">
        <w:rPr>
          <w:i/>
          <w:iCs/>
          <w:noProof/>
          <w:lang w:val="en-US"/>
        </w:rPr>
        <w:t>J. Am. Geriatr. Soc.</w:t>
      </w:r>
      <w:r w:rsidRPr="00F0193A">
        <w:rPr>
          <w:noProof/>
          <w:lang w:val="en-US"/>
        </w:rPr>
        <w:t xml:space="preserve"> (2010). doi:10.1111/j.1532-5415.2010.03062.x</w:t>
      </w:r>
    </w:p>
    <w:p w14:paraId="65C8DAF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20.</w:t>
      </w:r>
      <w:r w:rsidRPr="00F0193A">
        <w:rPr>
          <w:noProof/>
          <w:lang w:val="en-US"/>
        </w:rPr>
        <w:tab/>
        <w:t xml:space="preserve">Daanen, H. A. M., Van De Vliert, E. &amp; Huang, X. Driving performance in cold, warm, and thermoneutral environments. </w:t>
      </w:r>
      <w:r w:rsidRPr="00F0193A">
        <w:rPr>
          <w:i/>
          <w:iCs/>
          <w:noProof/>
          <w:lang w:val="en-US"/>
        </w:rPr>
        <w:t>Appl. Ergon.</w:t>
      </w:r>
      <w:r w:rsidRPr="00F0193A">
        <w:rPr>
          <w:noProof/>
          <w:lang w:val="en-US"/>
        </w:rPr>
        <w:t xml:space="preserve"> (2003). doi:10.1016/S0003-6870(03)00055-3</w:t>
      </w:r>
    </w:p>
    <w:p w14:paraId="6584754A"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21.</w:t>
      </w:r>
      <w:r w:rsidRPr="00F0193A">
        <w:rPr>
          <w:noProof/>
          <w:lang w:val="en-US"/>
        </w:rPr>
        <w:tab/>
        <w:t xml:space="preserve">Zlatoper, T. J. Determinants of motor vehicle deaths in the United States: A cross-sectional analysis. </w:t>
      </w:r>
      <w:r w:rsidRPr="00F0193A">
        <w:rPr>
          <w:i/>
          <w:iCs/>
          <w:noProof/>
          <w:lang w:val="en-US"/>
        </w:rPr>
        <w:t>Accid. Anal. Prev.</w:t>
      </w:r>
      <w:r w:rsidRPr="00F0193A">
        <w:rPr>
          <w:noProof/>
          <w:lang w:val="en-US"/>
        </w:rPr>
        <w:t xml:space="preserve"> (1991). doi:10.1016/0001-4575(91)90062-A</w:t>
      </w:r>
    </w:p>
    <w:p w14:paraId="25948FFF"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lastRenderedPageBreak/>
        <w:t>22.</w:t>
      </w:r>
      <w:r w:rsidRPr="00F0193A">
        <w:rPr>
          <w:noProof/>
          <w:lang w:val="en-US"/>
        </w:rPr>
        <w:tab/>
        <w:t xml:space="preserve">Mackie, R. R. &amp; Hanlon, J. F. . O. A study of the combined effects of extented driving and heat stress on driver arousal and performance. in </w:t>
      </w:r>
      <w:r w:rsidRPr="00F0193A">
        <w:rPr>
          <w:i/>
          <w:iCs/>
          <w:noProof/>
          <w:lang w:val="en-US"/>
        </w:rPr>
        <w:t>Symposium on relationships among theory, physiological correlates, and operational performance</w:t>
      </w:r>
      <w:r w:rsidRPr="00F0193A">
        <w:rPr>
          <w:noProof/>
          <w:lang w:val="en-US"/>
        </w:rPr>
        <w:t xml:space="preserve"> (1976). doi:10.1007/978-1-4684-2529-1_25</w:t>
      </w:r>
    </w:p>
    <w:p w14:paraId="4F64E3A1"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23.</w:t>
      </w:r>
      <w:r w:rsidRPr="00F0193A">
        <w:rPr>
          <w:noProof/>
          <w:lang w:val="en-US"/>
        </w:rPr>
        <w:tab/>
        <w:t xml:space="preserve">Wyon, D. P., Wyon, I. &amp; Norin, F. Effects of moderate heat stress on driver vigilance in a moving vehicle. </w:t>
      </w:r>
      <w:r w:rsidRPr="00F0193A">
        <w:rPr>
          <w:i/>
          <w:iCs/>
          <w:noProof/>
          <w:lang w:val="en-US"/>
        </w:rPr>
        <w:t>Ergonomics</w:t>
      </w:r>
      <w:r w:rsidRPr="00F0193A">
        <w:rPr>
          <w:noProof/>
          <w:lang w:val="en-US"/>
        </w:rPr>
        <w:t xml:space="preserve"> (1996). doi:10.1080/00140139608964434</w:t>
      </w:r>
    </w:p>
    <w:p w14:paraId="6C7D87F4"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24.</w:t>
      </w:r>
      <w:r w:rsidRPr="00F0193A">
        <w:rPr>
          <w:noProof/>
          <w:lang w:val="en-US"/>
        </w:rPr>
        <w:tab/>
        <w:t xml:space="preserve">Opinium. Brits drink more alcohol in warmer weather. </w:t>
      </w:r>
      <w:r w:rsidRPr="00F0193A">
        <w:rPr>
          <w:i/>
          <w:iCs/>
          <w:noProof/>
          <w:lang w:val="en-US"/>
        </w:rPr>
        <w:t>Opinium.co.uk</w:t>
      </w:r>
      <w:r w:rsidRPr="00F0193A">
        <w:rPr>
          <w:noProof/>
          <w:lang w:val="en-US"/>
        </w:rPr>
        <w:t xml:space="preserve"> (2018). Available at: https://www.opinium.co.uk/brits-drink-more-alcohol-in-warmer-weather/. (Accessed: 10th January 2019)</w:t>
      </w:r>
    </w:p>
    <w:p w14:paraId="26D58E2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25.</w:t>
      </w:r>
      <w:r w:rsidRPr="00F0193A">
        <w:rPr>
          <w:noProof/>
          <w:lang w:val="en-US"/>
        </w:rPr>
        <w:tab/>
        <w:t xml:space="preserve">Voas, R. B., Torres, P., Romano, E. &amp; Lacey, J. H. Alcohol-related risk of driver fatalities: An update using 2007 data. </w:t>
      </w:r>
      <w:r w:rsidRPr="00F0193A">
        <w:rPr>
          <w:i/>
          <w:iCs/>
          <w:noProof/>
          <w:lang w:val="en-US"/>
        </w:rPr>
        <w:t>J. Stud. Alcohol Drugs</w:t>
      </w:r>
      <w:r w:rsidRPr="00F0193A">
        <w:rPr>
          <w:noProof/>
          <w:lang w:val="en-US"/>
        </w:rPr>
        <w:t xml:space="preserve"> (2012). doi:10.15288/jsad.2012.73.341</w:t>
      </w:r>
    </w:p>
    <w:p w14:paraId="69BA76CE"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26.</w:t>
      </w:r>
      <w:r w:rsidRPr="00F0193A">
        <w:rPr>
          <w:noProof/>
          <w:lang w:val="en-US"/>
        </w:rPr>
        <w:tab/>
        <w:t xml:space="preserve">Datla, S., Sahu, P., Roh, H.-J. &amp; Sharma, S. A comprehensive analysis of the association of highway traffic with winter weather conditions. </w:t>
      </w:r>
      <w:r w:rsidRPr="00F0193A">
        <w:rPr>
          <w:i/>
          <w:iCs/>
          <w:noProof/>
          <w:lang w:val="en-US"/>
        </w:rPr>
        <w:t>Procedia - Soc. Behav. Sci.</w:t>
      </w:r>
      <w:r w:rsidRPr="00F0193A">
        <w:rPr>
          <w:noProof/>
          <w:lang w:val="en-US"/>
        </w:rPr>
        <w:t xml:space="preserve"> (2013). doi:10.1016/j.sbspro.2013.11.143</w:t>
      </w:r>
    </w:p>
    <w:p w14:paraId="316CAF7A"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27.</w:t>
      </w:r>
      <w:r w:rsidRPr="00F0193A">
        <w:rPr>
          <w:noProof/>
          <w:lang w:val="en-US"/>
        </w:rPr>
        <w:tab/>
        <w:t xml:space="preserve">Roh, H.-J., Sahu, P. K., Sharma, S., Datla, S. &amp; Mehran, B. Statistical investigations of snowfall and temperature interaction with passenger car and truck traffic on primary highways in Canada. </w:t>
      </w:r>
      <w:r w:rsidRPr="00F0193A">
        <w:rPr>
          <w:i/>
          <w:iCs/>
          <w:noProof/>
          <w:lang w:val="en-US"/>
        </w:rPr>
        <w:t>J. Cold Reg. Eng.</w:t>
      </w:r>
      <w:r w:rsidRPr="00F0193A">
        <w:rPr>
          <w:noProof/>
          <w:lang w:val="en-US"/>
        </w:rPr>
        <w:t xml:space="preserve"> (2016). doi:10.1061/(ASCE)CR.1943-5495.0000099</w:t>
      </w:r>
    </w:p>
    <w:p w14:paraId="3194B1B7"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28.</w:t>
      </w:r>
      <w:r w:rsidRPr="00F0193A">
        <w:rPr>
          <w:noProof/>
          <w:lang w:val="en-US"/>
        </w:rPr>
        <w:tab/>
        <w:t xml:space="preserve">Roh, H.-J., Datla, S. &amp; Sharma, S. Effect of snow, temperature and their interaction on highway truck traffic. </w:t>
      </w:r>
      <w:r w:rsidRPr="00F0193A">
        <w:rPr>
          <w:i/>
          <w:iCs/>
          <w:noProof/>
          <w:lang w:val="en-US"/>
        </w:rPr>
        <w:t>J. Transp. Techn.</w:t>
      </w:r>
      <w:r w:rsidRPr="00F0193A">
        <w:rPr>
          <w:noProof/>
          <w:lang w:val="en-US"/>
        </w:rPr>
        <w:t xml:space="preserve"> (2013). doi:10.4236/jtts.2013.31003</w:t>
      </w:r>
    </w:p>
    <w:p w14:paraId="30727D84"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29.</w:t>
      </w:r>
      <w:r w:rsidRPr="00F0193A">
        <w:rPr>
          <w:noProof/>
          <w:lang w:val="en-US"/>
        </w:rPr>
        <w:tab/>
        <w:t xml:space="preserve">Roh, H. J., Sharma, S. &amp; Sahu, P. K. Modeling snow and cold effects for classified highway traffic volumes. </w:t>
      </w:r>
      <w:r w:rsidRPr="00F0193A">
        <w:rPr>
          <w:i/>
          <w:iCs/>
          <w:noProof/>
          <w:lang w:val="en-US"/>
        </w:rPr>
        <w:t>KSCE J. Civ. Eng.</w:t>
      </w:r>
      <w:r w:rsidRPr="00F0193A">
        <w:rPr>
          <w:noProof/>
          <w:lang w:val="en-US"/>
        </w:rPr>
        <w:t xml:space="preserve"> (2016). doi:10.1007/s12205-015-0236-0</w:t>
      </w:r>
    </w:p>
    <w:p w14:paraId="33460819"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30.</w:t>
      </w:r>
      <w:r w:rsidRPr="00F0193A">
        <w:rPr>
          <w:noProof/>
          <w:lang w:val="en-US"/>
        </w:rPr>
        <w:tab/>
        <w:t xml:space="preserve">Graff Zivin, J. &amp; Neidell, M. Temperature and the allocation of time: Implications for climate change. </w:t>
      </w:r>
      <w:r w:rsidRPr="00F0193A">
        <w:rPr>
          <w:i/>
          <w:iCs/>
          <w:noProof/>
          <w:lang w:val="en-US"/>
        </w:rPr>
        <w:t>J. Labor Econ.</w:t>
      </w:r>
      <w:r w:rsidRPr="00F0193A">
        <w:rPr>
          <w:noProof/>
          <w:lang w:val="en-US"/>
        </w:rPr>
        <w:t xml:space="preserve"> (2014). doi:10.1086/671766</w:t>
      </w:r>
    </w:p>
    <w:p w14:paraId="20B16413"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31.</w:t>
      </w:r>
      <w:r w:rsidRPr="00F0193A">
        <w:rPr>
          <w:noProof/>
          <w:lang w:val="en-US"/>
        </w:rPr>
        <w:tab/>
        <w:t xml:space="preserve">Glaeser, E. L., Sacerdote, B. &amp; Scheinkman, J. A. Crime and social interactions. </w:t>
      </w:r>
      <w:r w:rsidRPr="00F0193A">
        <w:rPr>
          <w:i/>
          <w:iCs/>
          <w:noProof/>
          <w:lang w:val="en-US"/>
        </w:rPr>
        <w:t>Q. J. Econ.</w:t>
      </w:r>
      <w:r w:rsidRPr="00F0193A">
        <w:rPr>
          <w:noProof/>
          <w:lang w:val="en-US"/>
        </w:rPr>
        <w:t xml:space="preserve"> (1996). doi:10.2307/2946686</w:t>
      </w:r>
    </w:p>
    <w:p w14:paraId="5059013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32.</w:t>
      </w:r>
      <w:r w:rsidRPr="00F0193A">
        <w:rPr>
          <w:noProof/>
          <w:lang w:val="en-US"/>
        </w:rPr>
        <w:tab/>
        <w:t xml:space="preserve">Rotton, J. &amp; Cohn, E. G. Global warming and U.S. crime rates: An application of routine activity theory. </w:t>
      </w:r>
      <w:r w:rsidRPr="00F0193A">
        <w:rPr>
          <w:i/>
          <w:iCs/>
          <w:noProof/>
          <w:lang w:val="en-US"/>
        </w:rPr>
        <w:t>Environ. Behav.</w:t>
      </w:r>
      <w:r w:rsidRPr="00F0193A">
        <w:rPr>
          <w:noProof/>
          <w:lang w:val="en-US"/>
        </w:rPr>
        <w:t xml:space="preserve"> (2003). doi:10.1177/0013916503255565</w:t>
      </w:r>
    </w:p>
    <w:p w14:paraId="018FC245"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33.</w:t>
      </w:r>
      <w:r w:rsidRPr="00F0193A">
        <w:rPr>
          <w:noProof/>
          <w:lang w:val="en-US"/>
        </w:rPr>
        <w:tab/>
        <w:t xml:space="preserve">Anderson, C. A. Temperature and aggression: Ubiquitous effects of heat on occurrence of human violence. </w:t>
      </w:r>
      <w:r w:rsidRPr="00F0193A">
        <w:rPr>
          <w:i/>
          <w:iCs/>
          <w:noProof/>
          <w:lang w:val="en-US"/>
        </w:rPr>
        <w:t>Psychol. Bull.</w:t>
      </w:r>
      <w:r w:rsidRPr="00F0193A">
        <w:rPr>
          <w:noProof/>
          <w:lang w:val="en-US"/>
        </w:rPr>
        <w:t xml:space="preserve"> (1989). doi:10.1037/0033-2909.106.1.74</w:t>
      </w:r>
    </w:p>
    <w:p w14:paraId="031C8226"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34.</w:t>
      </w:r>
      <w:r w:rsidRPr="00F0193A">
        <w:rPr>
          <w:noProof/>
          <w:lang w:val="en-US"/>
        </w:rPr>
        <w:tab/>
        <w:t xml:space="preserve">Baron, R. A. &amp; Bell, P. A. Aggression and heat: The influence of ambient temperature, negative affect, and a cooling drink on physical aggression. </w:t>
      </w:r>
      <w:r w:rsidRPr="00F0193A">
        <w:rPr>
          <w:i/>
          <w:iCs/>
          <w:noProof/>
          <w:lang w:val="en-US"/>
        </w:rPr>
        <w:t>J. Pers. Soc. Psychol.</w:t>
      </w:r>
      <w:r w:rsidRPr="00F0193A">
        <w:rPr>
          <w:noProof/>
          <w:lang w:val="en-US"/>
        </w:rPr>
        <w:t xml:space="preserve"> (1976). doi:10.1037/0022-3514.33.3.245</w:t>
      </w:r>
    </w:p>
    <w:p w14:paraId="77B99E4E"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35.</w:t>
      </w:r>
      <w:r w:rsidRPr="00F0193A">
        <w:rPr>
          <w:noProof/>
          <w:lang w:val="en-US"/>
        </w:rPr>
        <w:tab/>
        <w:t xml:space="preserve">Majeed, H. &amp; Lee, J. The impact of climate change on youth depression and mental health. </w:t>
      </w:r>
      <w:r w:rsidRPr="00F0193A">
        <w:rPr>
          <w:i/>
          <w:iCs/>
          <w:noProof/>
          <w:lang w:val="en-US"/>
        </w:rPr>
        <w:t>Lancet Planet. Heal.</w:t>
      </w:r>
      <w:r w:rsidRPr="00F0193A">
        <w:rPr>
          <w:noProof/>
          <w:lang w:val="en-US"/>
        </w:rPr>
        <w:t xml:space="preserve"> </w:t>
      </w:r>
      <w:r w:rsidRPr="00F0193A">
        <w:rPr>
          <w:b/>
          <w:bCs/>
          <w:noProof/>
          <w:lang w:val="en-US"/>
        </w:rPr>
        <w:t>1,</w:t>
      </w:r>
      <w:r w:rsidRPr="00F0193A">
        <w:rPr>
          <w:noProof/>
          <w:lang w:val="en-US"/>
        </w:rPr>
        <w:t xml:space="preserve"> e94–e95 (2017).</w:t>
      </w:r>
    </w:p>
    <w:p w14:paraId="26FB0C03"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36.</w:t>
      </w:r>
      <w:r w:rsidRPr="00F0193A">
        <w:rPr>
          <w:noProof/>
          <w:lang w:val="en-US"/>
        </w:rPr>
        <w:tab/>
        <w:t xml:space="preserve">Berry, H. L., Waite, T. D., Dear, K. B. G., Capon, A. G. &amp; Murray, V. The case for systems thinking about climate change and mental health. </w:t>
      </w:r>
      <w:r w:rsidRPr="00F0193A">
        <w:rPr>
          <w:i/>
          <w:iCs/>
          <w:noProof/>
          <w:lang w:val="en-US"/>
        </w:rPr>
        <w:t>Nature Climate Change</w:t>
      </w:r>
      <w:r w:rsidRPr="00F0193A">
        <w:rPr>
          <w:noProof/>
          <w:lang w:val="en-US"/>
        </w:rPr>
        <w:t xml:space="preserve"> (2018). doi:10.1038/s41558-018-0102-4</w:t>
      </w:r>
    </w:p>
    <w:p w14:paraId="08088903"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37.</w:t>
      </w:r>
      <w:r w:rsidRPr="00F0193A">
        <w:rPr>
          <w:noProof/>
          <w:lang w:val="en-US"/>
        </w:rPr>
        <w:tab/>
        <w:t xml:space="preserve">Dee, D. P. </w:t>
      </w:r>
      <w:r w:rsidRPr="00F0193A">
        <w:rPr>
          <w:i/>
          <w:iCs/>
          <w:noProof/>
          <w:lang w:val="en-US"/>
        </w:rPr>
        <w:t>et al.</w:t>
      </w:r>
      <w:r w:rsidRPr="00F0193A">
        <w:rPr>
          <w:noProof/>
          <w:lang w:val="en-US"/>
        </w:rPr>
        <w:t xml:space="preserve"> The ERA-Interim reanalysis: configuration and performance of the data assimilation system. </w:t>
      </w:r>
      <w:r w:rsidRPr="00F0193A">
        <w:rPr>
          <w:i/>
          <w:iCs/>
          <w:noProof/>
          <w:lang w:val="en-US"/>
        </w:rPr>
        <w:t>Q. J. R. Meteorol. Soc.</w:t>
      </w:r>
      <w:r w:rsidRPr="00F0193A">
        <w:rPr>
          <w:noProof/>
          <w:lang w:val="en-US"/>
        </w:rPr>
        <w:t xml:space="preserve"> </w:t>
      </w:r>
      <w:r w:rsidRPr="00F0193A">
        <w:rPr>
          <w:b/>
          <w:bCs/>
          <w:noProof/>
          <w:lang w:val="en-US"/>
        </w:rPr>
        <w:t>137,</w:t>
      </w:r>
      <w:r w:rsidRPr="00F0193A">
        <w:rPr>
          <w:noProof/>
          <w:lang w:val="en-US"/>
        </w:rPr>
        <w:t xml:space="preserve"> 553–597 (2011).</w:t>
      </w:r>
    </w:p>
    <w:p w14:paraId="4A7CFB3A"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38.</w:t>
      </w:r>
      <w:r w:rsidRPr="00F0193A">
        <w:rPr>
          <w:noProof/>
          <w:lang w:val="en-US"/>
        </w:rPr>
        <w:tab/>
        <w:t xml:space="preserve">Wallace, J. M. &amp; Hobbs, P. V. </w:t>
      </w:r>
      <w:r w:rsidRPr="00F0193A">
        <w:rPr>
          <w:i/>
          <w:iCs/>
          <w:noProof/>
          <w:lang w:val="en-US"/>
        </w:rPr>
        <w:t>Atmospheric science: An introductory survey: Second edition</w:t>
      </w:r>
      <w:r w:rsidRPr="00F0193A">
        <w:rPr>
          <w:noProof/>
          <w:lang w:val="en-US"/>
        </w:rPr>
        <w:t xml:space="preserve">. </w:t>
      </w:r>
      <w:r w:rsidRPr="00F0193A">
        <w:rPr>
          <w:i/>
          <w:iCs/>
          <w:noProof/>
          <w:lang w:val="en-US"/>
        </w:rPr>
        <w:t>Atmospheric Science: An Introductory Survey: Second Edition</w:t>
      </w:r>
      <w:r w:rsidRPr="00F0193A">
        <w:rPr>
          <w:noProof/>
          <w:lang w:val="en-US"/>
        </w:rPr>
        <w:t xml:space="preserve"> (2006). doi:10.1016/C2009-0-00034-8</w:t>
      </w:r>
    </w:p>
    <w:p w14:paraId="37BEB05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39.</w:t>
      </w:r>
      <w:r w:rsidRPr="00F0193A">
        <w:rPr>
          <w:noProof/>
          <w:lang w:val="en-US"/>
        </w:rPr>
        <w:tab/>
        <w:t xml:space="preserve">Lozano, R. </w:t>
      </w:r>
      <w:r w:rsidRPr="00F0193A">
        <w:rPr>
          <w:i/>
          <w:iCs/>
          <w:noProof/>
          <w:lang w:val="en-US"/>
        </w:rPr>
        <w:t>et al.</w:t>
      </w:r>
      <w:r w:rsidRPr="00F0193A">
        <w:rPr>
          <w:noProof/>
          <w:lang w:val="en-US"/>
        </w:rPr>
        <w:t xml:space="preserve"> Global and regional mortality from 235 causes of death for 20 age groups in 1990 and 2010: A systematic analysis for the Global Burden of Disease Study 2010. </w:t>
      </w:r>
      <w:r w:rsidRPr="00F0193A">
        <w:rPr>
          <w:i/>
          <w:iCs/>
          <w:noProof/>
          <w:lang w:val="en-US"/>
        </w:rPr>
        <w:t>Lancet</w:t>
      </w:r>
      <w:r w:rsidRPr="00F0193A">
        <w:rPr>
          <w:noProof/>
          <w:lang w:val="en-US"/>
        </w:rPr>
        <w:t xml:space="preserve"> (2012). doi:10.1016/S0140-6736(12)61728-0</w:t>
      </w:r>
    </w:p>
    <w:p w14:paraId="297F01DF"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40.</w:t>
      </w:r>
      <w:r w:rsidRPr="00F0193A">
        <w:rPr>
          <w:noProof/>
          <w:lang w:val="en-US"/>
        </w:rPr>
        <w:tab/>
        <w:t xml:space="preserve">Rue, H. &amp; Held, L. </w:t>
      </w:r>
      <w:r w:rsidRPr="00F0193A">
        <w:rPr>
          <w:i/>
          <w:iCs/>
          <w:noProof/>
          <w:lang w:val="en-US"/>
        </w:rPr>
        <w:t>Gaussian Markov random fields. Theory and applications</w:t>
      </w:r>
      <w:r w:rsidRPr="00F0193A">
        <w:rPr>
          <w:noProof/>
          <w:lang w:val="en-US"/>
        </w:rPr>
        <w:t xml:space="preserve">. </w:t>
      </w:r>
      <w:r w:rsidRPr="00F0193A">
        <w:rPr>
          <w:i/>
          <w:iCs/>
          <w:noProof/>
          <w:lang w:val="en-US"/>
        </w:rPr>
        <w:t>Chapman &amp; Hall</w:t>
      </w:r>
      <w:r w:rsidRPr="00F0193A">
        <w:rPr>
          <w:noProof/>
          <w:lang w:val="en-US"/>
        </w:rPr>
        <w:t xml:space="preserve"> (2005). doi:10.1007/s00184-007-0162-3</w:t>
      </w:r>
    </w:p>
    <w:p w14:paraId="087797D0"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41.</w:t>
      </w:r>
      <w:r w:rsidRPr="00F0193A">
        <w:rPr>
          <w:noProof/>
          <w:lang w:val="en-US"/>
        </w:rPr>
        <w:tab/>
        <w:t xml:space="preserve">Besag, J. Spatial interaction and the statistical snalysis of lattice systems. </w:t>
      </w:r>
      <w:r w:rsidRPr="00F0193A">
        <w:rPr>
          <w:i/>
          <w:iCs/>
          <w:noProof/>
          <w:lang w:val="en-US"/>
        </w:rPr>
        <w:t>J. R. Stat. Soc. Ser. B (Statistical Methodol.</w:t>
      </w:r>
      <w:r w:rsidRPr="00F0193A">
        <w:rPr>
          <w:noProof/>
          <w:lang w:val="en-US"/>
        </w:rPr>
        <w:t xml:space="preserve"> (1974). doi:10.2307/2984812</w:t>
      </w:r>
    </w:p>
    <w:p w14:paraId="6F07CB32" w14:textId="77777777" w:rsidR="00F0193A" w:rsidRPr="00F0193A" w:rsidRDefault="00F0193A" w:rsidP="00EE59A1">
      <w:pPr>
        <w:widowControl w:val="0"/>
        <w:autoSpaceDE w:val="0"/>
        <w:autoSpaceDN w:val="0"/>
        <w:adjustRightInd w:val="0"/>
        <w:ind w:left="640" w:hanging="640"/>
        <w:jc w:val="both"/>
        <w:rPr>
          <w:noProof/>
          <w:lang w:val="en-US"/>
        </w:rPr>
      </w:pPr>
      <w:r w:rsidRPr="00F0193A">
        <w:rPr>
          <w:noProof/>
          <w:lang w:val="en-US"/>
        </w:rPr>
        <w:t>42.</w:t>
      </w:r>
      <w:r w:rsidRPr="00F0193A">
        <w:rPr>
          <w:noProof/>
          <w:lang w:val="en-US"/>
        </w:rPr>
        <w:tab/>
        <w:t xml:space="preserve">Rue, H., Martino, S. &amp; Chopin, N. Approximate Bayesian inference for latent Gaussian </w:t>
      </w:r>
      <w:r w:rsidRPr="00F0193A">
        <w:rPr>
          <w:noProof/>
          <w:lang w:val="en-US"/>
        </w:rPr>
        <w:lastRenderedPageBreak/>
        <w:t xml:space="preserve">models by using integrated nested Laplace approximations. </w:t>
      </w:r>
      <w:r w:rsidRPr="00F0193A">
        <w:rPr>
          <w:i/>
          <w:iCs/>
          <w:noProof/>
          <w:lang w:val="en-US"/>
        </w:rPr>
        <w:t>J. R. Stat. Soc. Ser. B Stat. Methodol.</w:t>
      </w:r>
      <w:r w:rsidRPr="00F0193A">
        <w:rPr>
          <w:noProof/>
          <w:lang w:val="en-US"/>
        </w:rPr>
        <w:t xml:space="preserve"> (2009). doi:10.1111/j.1467-9868.2008.00700.x</w:t>
      </w:r>
    </w:p>
    <w:p w14:paraId="190B25B1" w14:textId="77777777" w:rsidR="00F0193A" w:rsidRPr="00F0193A" w:rsidRDefault="00F0193A" w:rsidP="00EE59A1">
      <w:pPr>
        <w:widowControl w:val="0"/>
        <w:autoSpaceDE w:val="0"/>
        <w:autoSpaceDN w:val="0"/>
        <w:adjustRightInd w:val="0"/>
        <w:ind w:left="640" w:hanging="640"/>
        <w:jc w:val="both"/>
        <w:rPr>
          <w:noProof/>
        </w:rPr>
      </w:pPr>
      <w:r w:rsidRPr="00F0193A">
        <w:rPr>
          <w:noProof/>
          <w:lang w:val="en-US"/>
        </w:rPr>
        <w:t>43.</w:t>
      </w:r>
      <w:r w:rsidRPr="00F0193A">
        <w:rPr>
          <w:noProof/>
          <w:lang w:val="en-US"/>
        </w:rPr>
        <w:tab/>
        <w:t>IPCC. IPCC special report on the impacts of global warming of 1.5 °C - Summary for policy makers. (2018).</w:t>
      </w:r>
    </w:p>
    <w:p w14:paraId="7D509FBC" w14:textId="3E5AEF7B" w:rsidR="0065196B" w:rsidRDefault="0065196B" w:rsidP="00EE59A1">
      <w:pPr>
        <w:widowControl w:val="0"/>
        <w:autoSpaceDE w:val="0"/>
        <w:autoSpaceDN w:val="0"/>
        <w:adjustRightInd w:val="0"/>
        <w:ind w:left="640" w:hanging="640"/>
        <w:jc w:val="both"/>
        <w:rPr>
          <w:b/>
        </w:rPr>
      </w:pPr>
      <w:r w:rsidRPr="00636C9B">
        <w:rPr>
          <w:b/>
        </w:rPr>
        <w:fldChar w:fldCharType="end"/>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4F836539"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w:t>
      </w:r>
      <w:r w:rsidR="00E512CF">
        <w:rPr>
          <w:color w:val="000000" w:themeColor="text1"/>
        </w:rPr>
        <w:t xml:space="preserve">in red </w:t>
      </w:r>
      <w:r>
        <w:rPr>
          <w:color w:val="000000" w:themeColor="text1"/>
        </w:rPr>
        <w:t xml:space="preserve">and </w:t>
      </w:r>
      <w:r w:rsidR="00710E1D">
        <w:rPr>
          <w:color w:val="000000" w:themeColor="text1"/>
        </w:rPr>
        <w:t>Minnesota</w:t>
      </w:r>
      <w:r w:rsidR="00E512CF">
        <w:rPr>
          <w:color w:val="000000" w:themeColor="text1"/>
        </w:rPr>
        <w:t xml:space="preserve"> in blue</w:t>
      </w:r>
      <w:r>
        <w:rPr>
          <w:color w:val="000000" w:themeColor="text1"/>
        </w:rPr>
        <w:t xml:space="preserve">) (left panel) for 1980-2016 are used to calculate temperature anomalies. As seen, a warmer state like Florida (top right) can have less inter-annual variation in a particular month (here, July) compared with a cooler state like </w:t>
      </w:r>
      <w:r w:rsidR="00710E1D">
        <w:rPr>
          <w:color w:val="000000" w:themeColor="text1"/>
        </w:rPr>
        <w:t xml:space="preserve">Minnesota </w:t>
      </w:r>
      <w:r>
        <w:rPr>
          <w:color w:val="000000" w:themeColor="text1"/>
        </w:rPr>
        <w:t>(bottom right).</w:t>
      </w:r>
    </w:p>
    <w:p w14:paraId="426C315B" w14:textId="77777777" w:rsidR="0065196B" w:rsidRDefault="0065196B" w:rsidP="0065196B">
      <w:pPr>
        <w:rPr>
          <w:b/>
          <w:color w:val="000000" w:themeColor="text1"/>
        </w:rPr>
      </w:pPr>
      <w:r>
        <w:rPr>
          <w:b/>
          <w:color w:val="000000" w:themeColor="text1"/>
        </w:rPr>
        <w:br w:type="page"/>
      </w:r>
    </w:p>
    <w:p w14:paraId="76E5DEC7" w14:textId="42F7A2AA" w:rsidR="0065196B" w:rsidRDefault="0065196B" w:rsidP="00BB74F7">
      <w:pPr>
        <w:spacing w:line="480" w:lineRule="auto"/>
        <w:jc w:val="both"/>
        <w:rPr>
          <w:b/>
          <w:color w:val="000000" w:themeColor="text1"/>
        </w:rPr>
      </w:pPr>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sidR="00C1740D">
        <w:rPr>
          <w:color w:val="000000" w:themeColor="text1"/>
        </w:rPr>
        <w:t xml:space="preserve"> from 1980 to 2016,</w:t>
      </w:r>
      <w:r>
        <w:rPr>
          <w:color w:val="000000" w:themeColor="text1"/>
        </w:rPr>
        <w:t xml:space="preserve"> by state and month.</w:t>
      </w:r>
      <w:r w:rsidR="00B05E64">
        <w:rPr>
          <w:color w:val="000000" w:themeColor="text1"/>
        </w:rPr>
        <w:t xml:space="preserve"> The </w:t>
      </w:r>
      <w:r w:rsidR="0084099F">
        <w:rPr>
          <w:color w:val="000000" w:themeColor="text1"/>
        </w:rPr>
        <w:t xml:space="preserve">value </w:t>
      </w:r>
      <w:r w:rsidR="00B05E64">
        <w:rPr>
          <w:color w:val="000000" w:themeColor="text1"/>
        </w:rPr>
        <w:t xml:space="preserve">for each state and month is </w:t>
      </w:r>
      <w:r w:rsidR="005608E9">
        <w:rPr>
          <w:color w:val="000000" w:themeColor="text1"/>
        </w:rPr>
        <w:t>the</w:t>
      </w:r>
      <w:r w:rsidR="00B05E64">
        <w:rPr>
          <w:color w:val="000000" w:themeColor="text1"/>
        </w:rPr>
        <w:t xml:space="preserve"> </w:t>
      </w:r>
      <w:r w:rsidR="006B1683">
        <w:rPr>
          <w:color w:val="000000" w:themeColor="text1"/>
        </w:rPr>
        <w:t>mean</w:t>
      </w:r>
      <w:r w:rsidR="00B05E64">
        <w:rPr>
          <w:color w:val="000000" w:themeColor="text1"/>
        </w:rPr>
        <w:t xml:space="preserve"> of the </w:t>
      </w:r>
      <w:r w:rsidR="0084099F">
        <w:rPr>
          <w:color w:val="000000" w:themeColor="text1"/>
        </w:rPr>
        <w:t xml:space="preserve">absolute </w:t>
      </w:r>
      <w:r w:rsidR="00D07F9F">
        <w:rPr>
          <w:color w:val="000000" w:themeColor="text1"/>
        </w:rPr>
        <w:t>size</w:t>
      </w:r>
      <w:r w:rsidR="00C06426">
        <w:rPr>
          <w:color w:val="000000" w:themeColor="text1"/>
        </w:rPr>
        <w:t xml:space="preserve"> </w:t>
      </w:r>
      <w:r w:rsidR="00D07F9F">
        <w:rPr>
          <w:color w:val="000000" w:themeColor="text1"/>
        </w:rPr>
        <w:t xml:space="preserve">of </w:t>
      </w:r>
      <w:r w:rsidR="0084099F">
        <w:rPr>
          <w:color w:val="000000" w:themeColor="text1"/>
        </w:rPr>
        <w:t>anomaly</w:t>
      </w:r>
      <w:r w:rsidR="00EC1B4B">
        <w:rPr>
          <w:color w:val="000000" w:themeColor="text1"/>
        </w:rPr>
        <w:t>,</w:t>
      </w:r>
      <w:r w:rsidR="0084099F">
        <w:rPr>
          <w:color w:val="000000" w:themeColor="text1"/>
        </w:rPr>
        <w:t xml:space="preserve"> be it cold or warm,</w:t>
      </w:r>
      <w:r w:rsidR="00EC1B4B">
        <w:rPr>
          <w:color w:val="000000" w:themeColor="text1"/>
        </w:rPr>
        <w:t xml:space="preserve"> </w:t>
      </w:r>
      <w:r w:rsidR="0084099F">
        <w:rPr>
          <w:color w:val="000000" w:themeColor="text1"/>
        </w:rPr>
        <w:t xml:space="preserve">and hence </w:t>
      </w:r>
      <w:r w:rsidR="00EC1B4B">
        <w:rPr>
          <w:color w:val="000000" w:themeColor="text1"/>
        </w:rPr>
        <w:t>giv</w:t>
      </w:r>
      <w:r w:rsidR="0084099F">
        <w:rPr>
          <w:color w:val="000000" w:themeColor="text1"/>
        </w:rPr>
        <w:t>es</w:t>
      </w:r>
      <w:r w:rsidR="00EC1B4B">
        <w:rPr>
          <w:color w:val="000000" w:themeColor="text1"/>
        </w:rPr>
        <w:t xml:space="preserve"> an indication of the </w:t>
      </w:r>
      <w:r w:rsidR="00803C13">
        <w:rPr>
          <w:color w:val="000000" w:themeColor="text1"/>
        </w:rPr>
        <w:t xml:space="preserve">scale of </w:t>
      </w:r>
      <w:r w:rsidR="0084099F">
        <w:rPr>
          <w:color w:val="000000" w:themeColor="text1"/>
        </w:rPr>
        <w:t>anom</w:t>
      </w:r>
      <w:r w:rsidR="00695719">
        <w:rPr>
          <w:color w:val="000000" w:themeColor="text1"/>
        </w:rPr>
        <w:t>a</w:t>
      </w:r>
      <w:r w:rsidR="0084099F">
        <w:rPr>
          <w:color w:val="000000" w:themeColor="text1"/>
        </w:rPr>
        <w:t>lies</w:t>
      </w:r>
      <w:r w:rsidR="0026389E">
        <w:rPr>
          <w:color w:val="000000" w:themeColor="text1"/>
        </w:rPr>
        <w:t xml:space="preserve"> </w:t>
      </w:r>
      <w:r w:rsidR="00D07F9F">
        <w:rPr>
          <w:color w:val="000000" w:themeColor="text1"/>
        </w:rPr>
        <w:t>around the</w:t>
      </w:r>
      <w:r w:rsidR="00164CC4">
        <w:rPr>
          <w:color w:val="000000" w:themeColor="text1"/>
        </w:rPr>
        <w:t xml:space="preserve"> norm</w:t>
      </w:r>
      <w:r w:rsidR="005C2A42">
        <w:rPr>
          <w:color w:val="000000" w:themeColor="text1"/>
        </w:rPr>
        <w:t xml:space="preserve"> local</w:t>
      </w:r>
      <w:r w:rsidR="00164CC4">
        <w:rPr>
          <w:color w:val="000000" w:themeColor="text1"/>
        </w:rPr>
        <w:t xml:space="preserve"> temperatures.</w:t>
      </w:r>
      <w:r>
        <w:rPr>
          <w:b/>
          <w:color w:val="000000" w:themeColor="text1"/>
        </w:rPr>
        <w:br w:type="page"/>
      </w:r>
    </w:p>
    <w:p w14:paraId="6BA06E74" w14:textId="292C223A"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The bottom row shows the break down by type of injury</w:t>
      </w:r>
      <w:r w:rsidR="00D91594">
        <w:rPr>
          <w:color w:val="000000" w:themeColor="text1"/>
        </w:rPr>
        <w:t>, sex</w:t>
      </w:r>
      <w:r>
        <w:rPr>
          <w:color w:val="000000" w:themeColor="text1"/>
        </w:rPr>
        <w:t xml:space="preserve">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94745E">
      <w:headerReference w:type="default" r:id="rId12"/>
      <w:footerReference w:type="even" r:id="rId13"/>
      <w:footerReference w:type="default" r:id="rId14"/>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017448" w14:textId="77777777" w:rsidR="006A5716" w:rsidRDefault="006A5716">
      <w:r>
        <w:separator/>
      </w:r>
    </w:p>
  </w:endnote>
  <w:endnote w:type="continuationSeparator" w:id="0">
    <w:p w14:paraId="1DDF0D08" w14:textId="77777777" w:rsidR="006A5716" w:rsidRDefault="006A5716">
      <w:r>
        <w:continuationSeparator/>
      </w:r>
    </w:p>
  </w:endnote>
  <w:endnote w:type="continuationNotice" w:id="1">
    <w:p w14:paraId="573C33C6" w14:textId="77777777" w:rsidR="006A5716" w:rsidRDefault="006A57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2A06" w:rsidRDefault="00E82A06"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326B12FE"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06815">
      <w:rPr>
        <w:rStyle w:val="PageNumber"/>
        <w:noProof/>
      </w:rPr>
      <w:t>4</w:t>
    </w:r>
    <w:r>
      <w:rPr>
        <w:rStyle w:val="PageNumber"/>
      </w:rPr>
      <w:fldChar w:fldCharType="end"/>
    </w:r>
  </w:p>
  <w:p w14:paraId="75191DB3" w14:textId="77777777" w:rsidR="00E82A06" w:rsidRDefault="00E82A06"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DD7FCD" w14:textId="77777777" w:rsidR="006A5716" w:rsidRDefault="006A5716">
      <w:r>
        <w:separator/>
      </w:r>
    </w:p>
  </w:footnote>
  <w:footnote w:type="continuationSeparator" w:id="0">
    <w:p w14:paraId="13B88FA0" w14:textId="77777777" w:rsidR="006A5716" w:rsidRDefault="006A5716">
      <w:r>
        <w:continuationSeparator/>
      </w:r>
    </w:p>
  </w:footnote>
  <w:footnote w:type="continuationNotice" w:id="1">
    <w:p w14:paraId="57F081FF" w14:textId="77777777" w:rsidR="006A5716" w:rsidRDefault="006A571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F74714" w14:textId="77777777" w:rsidR="0050578C" w:rsidRDefault="00505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9"/>
  </w:num>
  <w:num w:numId="4">
    <w:abstractNumId w:val="12"/>
  </w:num>
  <w:num w:numId="5">
    <w:abstractNumId w:val="2"/>
  </w:num>
  <w:num w:numId="6">
    <w:abstractNumId w:val="4"/>
  </w:num>
  <w:num w:numId="7">
    <w:abstractNumId w:val="0"/>
  </w:num>
  <w:num w:numId="8">
    <w:abstractNumId w:val="8"/>
  </w:num>
  <w:num w:numId="9">
    <w:abstractNumId w:val="10"/>
  </w:num>
  <w:num w:numId="10">
    <w:abstractNumId w:val="7"/>
  </w:num>
  <w:num w:numId="11">
    <w:abstractNumId w:val="1"/>
  </w:num>
  <w:num w:numId="12">
    <w:abstractNumId w:val="11"/>
  </w:num>
  <w:num w:numId="13">
    <w:abstractNumId w:val="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6"/>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1349E"/>
    <w:rsid w:val="00015C8E"/>
    <w:rsid w:val="00025B49"/>
    <w:rsid w:val="000330EC"/>
    <w:rsid w:val="000607DA"/>
    <w:rsid w:val="00063068"/>
    <w:rsid w:val="0006486C"/>
    <w:rsid w:val="00064A53"/>
    <w:rsid w:val="0007192B"/>
    <w:rsid w:val="000737EB"/>
    <w:rsid w:val="00073D01"/>
    <w:rsid w:val="0007772A"/>
    <w:rsid w:val="00092EE2"/>
    <w:rsid w:val="0009546B"/>
    <w:rsid w:val="00097561"/>
    <w:rsid w:val="000A0D93"/>
    <w:rsid w:val="000A355E"/>
    <w:rsid w:val="000C2776"/>
    <w:rsid w:val="000C563B"/>
    <w:rsid w:val="000D39DD"/>
    <w:rsid w:val="000D54C5"/>
    <w:rsid w:val="00100D87"/>
    <w:rsid w:val="00106815"/>
    <w:rsid w:val="00110076"/>
    <w:rsid w:val="00111115"/>
    <w:rsid w:val="00112A57"/>
    <w:rsid w:val="00123774"/>
    <w:rsid w:val="001241AE"/>
    <w:rsid w:val="00134649"/>
    <w:rsid w:val="00140DB8"/>
    <w:rsid w:val="0014511F"/>
    <w:rsid w:val="001535E0"/>
    <w:rsid w:val="001578B7"/>
    <w:rsid w:val="00164CC4"/>
    <w:rsid w:val="00165E04"/>
    <w:rsid w:val="0017009F"/>
    <w:rsid w:val="00172B5B"/>
    <w:rsid w:val="00175B70"/>
    <w:rsid w:val="00180ECA"/>
    <w:rsid w:val="001A3D0C"/>
    <w:rsid w:val="001A752D"/>
    <w:rsid w:val="001C45B6"/>
    <w:rsid w:val="001D2042"/>
    <w:rsid w:val="001D43B8"/>
    <w:rsid w:val="001E3D7C"/>
    <w:rsid w:val="001E6A53"/>
    <w:rsid w:val="001F307A"/>
    <w:rsid w:val="001F3A6B"/>
    <w:rsid w:val="001F3CCB"/>
    <w:rsid w:val="001F4AAB"/>
    <w:rsid w:val="001F77F3"/>
    <w:rsid w:val="0021470F"/>
    <w:rsid w:val="002323F2"/>
    <w:rsid w:val="00241EB9"/>
    <w:rsid w:val="0026389E"/>
    <w:rsid w:val="00283342"/>
    <w:rsid w:val="002B4DCB"/>
    <w:rsid w:val="002C2EDC"/>
    <w:rsid w:val="002D3F38"/>
    <w:rsid w:val="002E038D"/>
    <w:rsid w:val="00310E7E"/>
    <w:rsid w:val="00326ABE"/>
    <w:rsid w:val="00393366"/>
    <w:rsid w:val="003953FB"/>
    <w:rsid w:val="003B10FF"/>
    <w:rsid w:val="003C6749"/>
    <w:rsid w:val="003D3E4E"/>
    <w:rsid w:val="003D575B"/>
    <w:rsid w:val="003F11C1"/>
    <w:rsid w:val="00431D95"/>
    <w:rsid w:val="00437D42"/>
    <w:rsid w:val="00447303"/>
    <w:rsid w:val="00460D94"/>
    <w:rsid w:val="004630FC"/>
    <w:rsid w:val="0047749E"/>
    <w:rsid w:val="00477F0B"/>
    <w:rsid w:val="00484E3B"/>
    <w:rsid w:val="004878EC"/>
    <w:rsid w:val="004D148F"/>
    <w:rsid w:val="004E30F3"/>
    <w:rsid w:val="004F617A"/>
    <w:rsid w:val="004F761B"/>
    <w:rsid w:val="0050578C"/>
    <w:rsid w:val="00516255"/>
    <w:rsid w:val="00537426"/>
    <w:rsid w:val="00551EAA"/>
    <w:rsid w:val="00554C76"/>
    <w:rsid w:val="00556C33"/>
    <w:rsid w:val="005608E9"/>
    <w:rsid w:val="00562F3E"/>
    <w:rsid w:val="005725C8"/>
    <w:rsid w:val="00574DB7"/>
    <w:rsid w:val="00587168"/>
    <w:rsid w:val="00591920"/>
    <w:rsid w:val="005922A2"/>
    <w:rsid w:val="00597846"/>
    <w:rsid w:val="005A38E3"/>
    <w:rsid w:val="005B15FA"/>
    <w:rsid w:val="005B7992"/>
    <w:rsid w:val="005C2A42"/>
    <w:rsid w:val="005C3355"/>
    <w:rsid w:val="005C694B"/>
    <w:rsid w:val="005D4C0F"/>
    <w:rsid w:val="006174C6"/>
    <w:rsid w:val="00644811"/>
    <w:rsid w:val="0064666D"/>
    <w:rsid w:val="0065196B"/>
    <w:rsid w:val="00684591"/>
    <w:rsid w:val="0069074B"/>
    <w:rsid w:val="00691CB8"/>
    <w:rsid w:val="00693003"/>
    <w:rsid w:val="00695719"/>
    <w:rsid w:val="006A2CB8"/>
    <w:rsid w:val="006A4E8B"/>
    <w:rsid w:val="006A5716"/>
    <w:rsid w:val="006B0D2B"/>
    <w:rsid w:val="006B1683"/>
    <w:rsid w:val="006C63BE"/>
    <w:rsid w:val="006D0C0A"/>
    <w:rsid w:val="006E2025"/>
    <w:rsid w:val="006F2FEB"/>
    <w:rsid w:val="006F7EB3"/>
    <w:rsid w:val="00710E1D"/>
    <w:rsid w:val="00712B85"/>
    <w:rsid w:val="007137E9"/>
    <w:rsid w:val="00714300"/>
    <w:rsid w:val="00715CFE"/>
    <w:rsid w:val="00720887"/>
    <w:rsid w:val="0075249E"/>
    <w:rsid w:val="007551F1"/>
    <w:rsid w:val="007617BF"/>
    <w:rsid w:val="00761993"/>
    <w:rsid w:val="00772013"/>
    <w:rsid w:val="0077467D"/>
    <w:rsid w:val="00790EA3"/>
    <w:rsid w:val="007A74F0"/>
    <w:rsid w:val="007B498A"/>
    <w:rsid w:val="007B75A7"/>
    <w:rsid w:val="007C09DB"/>
    <w:rsid w:val="007D2592"/>
    <w:rsid w:val="007F57D1"/>
    <w:rsid w:val="007F58E8"/>
    <w:rsid w:val="00801CD8"/>
    <w:rsid w:val="00803C13"/>
    <w:rsid w:val="00810B18"/>
    <w:rsid w:val="0081585C"/>
    <w:rsid w:val="0084099F"/>
    <w:rsid w:val="0084627B"/>
    <w:rsid w:val="00851BBD"/>
    <w:rsid w:val="008538B4"/>
    <w:rsid w:val="00860B34"/>
    <w:rsid w:val="00861DBA"/>
    <w:rsid w:val="008717EE"/>
    <w:rsid w:val="0088548E"/>
    <w:rsid w:val="008B092C"/>
    <w:rsid w:val="008B1803"/>
    <w:rsid w:val="008B4CDA"/>
    <w:rsid w:val="008B6D92"/>
    <w:rsid w:val="008C723E"/>
    <w:rsid w:val="008E26B6"/>
    <w:rsid w:val="008F2D1C"/>
    <w:rsid w:val="00901608"/>
    <w:rsid w:val="009037EA"/>
    <w:rsid w:val="00903AF7"/>
    <w:rsid w:val="009046BB"/>
    <w:rsid w:val="00916914"/>
    <w:rsid w:val="009175BD"/>
    <w:rsid w:val="009256AE"/>
    <w:rsid w:val="0094745E"/>
    <w:rsid w:val="009678D3"/>
    <w:rsid w:val="00973F5B"/>
    <w:rsid w:val="00977058"/>
    <w:rsid w:val="00977586"/>
    <w:rsid w:val="00981B2C"/>
    <w:rsid w:val="00984C48"/>
    <w:rsid w:val="00993246"/>
    <w:rsid w:val="009941A7"/>
    <w:rsid w:val="009A2853"/>
    <w:rsid w:val="009A3E74"/>
    <w:rsid w:val="009A6724"/>
    <w:rsid w:val="009B223E"/>
    <w:rsid w:val="009C48DE"/>
    <w:rsid w:val="009C70D9"/>
    <w:rsid w:val="009D4505"/>
    <w:rsid w:val="009E1F47"/>
    <w:rsid w:val="009E4AAC"/>
    <w:rsid w:val="009E6662"/>
    <w:rsid w:val="009F1115"/>
    <w:rsid w:val="009F642C"/>
    <w:rsid w:val="00A20069"/>
    <w:rsid w:val="00A35816"/>
    <w:rsid w:val="00A427C1"/>
    <w:rsid w:val="00A502C2"/>
    <w:rsid w:val="00A51774"/>
    <w:rsid w:val="00A67CDD"/>
    <w:rsid w:val="00A7105A"/>
    <w:rsid w:val="00A9112D"/>
    <w:rsid w:val="00AA3C2D"/>
    <w:rsid w:val="00AA4C93"/>
    <w:rsid w:val="00AD1556"/>
    <w:rsid w:val="00AE1F14"/>
    <w:rsid w:val="00AF43DE"/>
    <w:rsid w:val="00B03876"/>
    <w:rsid w:val="00B05E64"/>
    <w:rsid w:val="00B1048B"/>
    <w:rsid w:val="00B16F19"/>
    <w:rsid w:val="00B16FA1"/>
    <w:rsid w:val="00B178F9"/>
    <w:rsid w:val="00B27D4F"/>
    <w:rsid w:val="00B34BDE"/>
    <w:rsid w:val="00B3612C"/>
    <w:rsid w:val="00B52E63"/>
    <w:rsid w:val="00B56605"/>
    <w:rsid w:val="00B57911"/>
    <w:rsid w:val="00B57AAA"/>
    <w:rsid w:val="00B66C01"/>
    <w:rsid w:val="00B74A65"/>
    <w:rsid w:val="00B77DF4"/>
    <w:rsid w:val="00BB01F9"/>
    <w:rsid w:val="00BB3506"/>
    <w:rsid w:val="00BB74F7"/>
    <w:rsid w:val="00BC73AB"/>
    <w:rsid w:val="00BC74E6"/>
    <w:rsid w:val="00BD5426"/>
    <w:rsid w:val="00BD6674"/>
    <w:rsid w:val="00BE0385"/>
    <w:rsid w:val="00BE2421"/>
    <w:rsid w:val="00C06426"/>
    <w:rsid w:val="00C123A7"/>
    <w:rsid w:val="00C16BDD"/>
    <w:rsid w:val="00C1740D"/>
    <w:rsid w:val="00C237CE"/>
    <w:rsid w:val="00C45D42"/>
    <w:rsid w:val="00C60D3C"/>
    <w:rsid w:val="00C6277D"/>
    <w:rsid w:val="00C775D5"/>
    <w:rsid w:val="00C94C31"/>
    <w:rsid w:val="00CC7AAE"/>
    <w:rsid w:val="00CF6AE6"/>
    <w:rsid w:val="00D006C2"/>
    <w:rsid w:val="00D0309A"/>
    <w:rsid w:val="00D03977"/>
    <w:rsid w:val="00D077B9"/>
    <w:rsid w:val="00D07F9F"/>
    <w:rsid w:val="00D136F7"/>
    <w:rsid w:val="00D25AD3"/>
    <w:rsid w:val="00D447B4"/>
    <w:rsid w:val="00D450FB"/>
    <w:rsid w:val="00D55813"/>
    <w:rsid w:val="00D80EC0"/>
    <w:rsid w:val="00D86244"/>
    <w:rsid w:val="00D91594"/>
    <w:rsid w:val="00D965F8"/>
    <w:rsid w:val="00DB2CBB"/>
    <w:rsid w:val="00DC0A97"/>
    <w:rsid w:val="00DC71BA"/>
    <w:rsid w:val="00DF6AC4"/>
    <w:rsid w:val="00E15CE2"/>
    <w:rsid w:val="00E40851"/>
    <w:rsid w:val="00E512CF"/>
    <w:rsid w:val="00E82A06"/>
    <w:rsid w:val="00E82FFA"/>
    <w:rsid w:val="00E9761E"/>
    <w:rsid w:val="00EA78C3"/>
    <w:rsid w:val="00EA7E0B"/>
    <w:rsid w:val="00EC1B4B"/>
    <w:rsid w:val="00EC54F7"/>
    <w:rsid w:val="00ED2C27"/>
    <w:rsid w:val="00EE5907"/>
    <w:rsid w:val="00EE59A1"/>
    <w:rsid w:val="00F0193A"/>
    <w:rsid w:val="00F07509"/>
    <w:rsid w:val="00F13C7A"/>
    <w:rsid w:val="00F1584A"/>
    <w:rsid w:val="00F24F6F"/>
    <w:rsid w:val="00F36612"/>
    <w:rsid w:val="00F4164E"/>
    <w:rsid w:val="00F52C65"/>
    <w:rsid w:val="00F55AC7"/>
    <w:rsid w:val="00F712EE"/>
    <w:rsid w:val="00F95910"/>
    <w:rsid w:val="00FA29A5"/>
    <w:rsid w:val="00FA4114"/>
    <w:rsid w:val="00FB2929"/>
    <w:rsid w:val="00FD048A"/>
    <w:rsid w:val="00FE43A4"/>
    <w:rsid w:val="00FE6D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developers/data-sets/popest-popproj/popest.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19B9EB-E496-A54C-8307-973CF74FB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31238</Words>
  <Characters>178058</Characters>
  <Application>Microsoft Office Word</Application>
  <DocSecurity>0</DocSecurity>
  <Lines>1483</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4</cp:revision>
  <cp:lastPrinted>2019-03-11T13:02:00Z</cp:lastPrinted>
  <dcterms:created xsi:type="dcterms:W3CDTF">2019-04-01T08:47:00Z</dcterms:created>
  <dcterms:modified xsi:type="dcterms:W3CDTF">2019-04-01T11:57:00Z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