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62165587" w14:textId="77777777" w:rsidR="00762F63" w:rsidRDefault="00102468" w:rsidP="00061A3A">
          <w:pPr>
            <w:pStyle w:val="TOCHeading"/>
            <w:suppressLineNumbers/>
            <w:rPr>
              <w:noProof/>
            </w:rPr>
          </w:pPr>
          <w:r>
            <w:t>Table of Conten</w:t>
          </w:r>
          <w:r w:rsidR="00234781">
            <w:t>ts</w:t>
          </w:r>
          <w:r w:rsidRPr="00755632">
            <w:rPr>
              <w:rFonts w:ascii="Calibri" w:hAnsi="Calibri"/>
              <w:b w:val="0"/>
              <w:bCs w:val="0"/>
              <w:sz w:val="24"/>
              <w:szCs w:val="24"/>
            </w:rPr>
            <w:fldChar w:fldCharType="begin"/>
          </w:r>
          <w:r w:rsidRPr="00755632">
            <w:rPr>
              <w:rFonts w:ascii="Calibri" w:hAnsi="Calibri"/>
            </w:rPr>
            <w:instrText xml:space="preserve"> TOC \o "1-3" \h \z \u </w:instrText>
          </w:r>
          <w:r w:rsidRPr="00755632">
            <w:rPr>
              <w:rFonts w:ascii="Calibri" w:hAnsi="Calibri"/>
              <w:b w:val="0"/>
              <w:bCs w:val="0"/>
              <w:sz w:val="24"/>
              <w:szCs w:val="24"/>
            </w:rPr>
            <w:fldChar w:fldCharType="separate"/>
          </w:r>
        </w:p>
        <w:p w14:paraId="0DDBFCB4" w14:textId="297EEA33" w:rsidR="00762F63" w:rsidRDefault="0002508A">
          <w:pPr>
            <w:pStyle w:val="TOC2"/>
            <w:tabs>
              <w:tab w:val="right" w:leader="dot" w:pos="9010"/>
            </w:tabs>
            <w:rPr>
              <w:rFonts w:eastAsiaTheme="minorEastAsia" w:cstheme="minorBidi"/>
              <w:b w:val="0"/>
              <w:bCs w:val="0"/>
              <w:noProof/>
              <w:sz w:val="24"/>
              <w:szCs w:val="24"/>
            </w:rPr>
          </w:pPr>
          <w:hyperlink w:anchor="_Toc7299795" w:history="1">
            <w:r w:rsidR="00762F63" w:rsidRPr="00ED5B33">
              <w:rPr>
                <w:rStyle w:val="Hyperlink"/>
                <w:noProof/>
              </w:rPr>
              <w:t>List of figures</w:t>
            </w:r>
            <w:r w:rsidR="00762F63">
              <w:rPr>
                <w:noProof/>
                <w:webHidden/>
              </w:rPr>
              <w:tab/>
            </w:r>
            <w:r w:rsidR="00762F63">
              <w:rPr>
                <w:noProof/>
                <w:webHidden/>
              </w:rPr>
              <w:fldChar w:fldCharType="begin"/>
            </w:r>
            <w:r w:rsidR="00762F63">
              <w:rPr>
                <w:noProof/>
                <w:webHidden/>
              </w:rPr>
              <w:instrText xml:space="preserve"> PAGEREF _Toc7299795 \h </w:instrText>
            </w:r>
            <w:r w:rsidR="00762F63">
              <w:rPr>
                <w:noProof/>
                <w:webHidden/>
              </w:rPr>
            </w:r>
            <w:r w:rsidR="00762F63">
              <w:rPr>
                <w:noProof/>
                <w:webHidden/>
              </w:rPr>
              <w:fldChar w:fldCharType="separate"/>
            </w:r>
            <w:r w:rsidR="00762F63">
              <w:rPr>
                <w:noProof/>
                <w:webHidden/>
              </w:rPr>
              <w:t>1</w:t>
            </w:r>
            <w:r w:rsidR="00762F63">
              <w:rPr>
                <w:noProof/>
                <w:webHidden/>
              </w:rPr>
              <w:fldChar w:fldCharType="end"/>
            </w:r>
          </w:hyperlink>
        </w:p>
        <w:p w14:paraId="4B7A4501" w14:textId="578A93F4" w:rsidR="00762F63" w:rsidRDefault="0002508A">
          <w:pPr>
            <w:pStyle w:val="TOC2"/>
            <w:tabs>
              <w:tab w:val="right" w:leader="dot" w:pos="9010"/>
            </w:tabs>
            <w:rPr>
              <w:rFonts w:eastAsiaTheme="minorEastAsia" w:cstheme="minorBidi"/>
              <w:b w:val="0"/>
              <w:bCs w:val="0"/>
              <w:noProof/>
              <w:sz w:val="24"/>
              <w:szCs w:val="24"/>
            </w:rPr>
          </w:pPr>
          <w:hyperlink w:anchor="_Toc7299796" w:history="1">
            <w:r w:rsidR="00762F63" w:rsidRPr="00ED5B33">
              <w:rPr>
                <w:rStyle w:val="Hyperlink"/>
                <w:noProof/>
              </w:rPr>
              <w:t>List of tables</w:t>
            </w:r>
            <w:r w:rsidR="00762F63">
              <w:rPr>
                <w:noProof/>
                <w:webHidden/>
              </w:rPr>
              <w:tab/>
            </w:r>
            <w:r w:rsidR="00762F63">
              <w:rPr>
                <w:noProof/>
                <w:webHidden/>
              </w:rPr>
              <w:fldChar w:fldCharType="begin"/>
            </w:r>
            <w:r w:rsidR="00762F63">
              <w:rPr>
                <w:noProof/>
                <w:webHidden/>
              </w:rPr>
              <w:instrText xml:space="preserve"> PAGEREF _Toc7299796 \h </w:instrText>
            </w:r>
            <w:r w:rsidR="00762F63">
              <w:rPr>
                <w:noProof/>
                <w:webHidden/>
              </w:rPr>
            </w:r>
            <w:r w:rsidR="00762F63">
              <w:rPr>
                <w:noProof/>
                <w:webHidden/>
              </w:rPr>
              <w:fldChar w:fldCharType="separate"/>
            </w:r>
            <w:r w:rsidR="00762F63">
              <w:rPr>
                <w:noProof/>
                <w:webHidden/>
              </w:rPr>
              <w:t>3</w:t>
            </w:r>
            <w:r w:rsidR="00762F63">
              <w:rPr>
                <w:noProof/>
                <w:webHidden/>
              </w:rPr>
              <w:fldChar w:fldCharType="end"/>
            </w:r>
          </w:hyperlink>
        </w:p>
        <w:p w14:paraId="2CB6195F" w14:textId="45AB4792" w:rsidR="00762F63" w:rsidRDefault="0002508A">
          <w:pPr>
            <w:pStyle w:val="TOC2"/>
            <w:tabs>
              <w:tab w:val="right" w:leader="dot" w:pos="9010"/>
            </w:tabs>
            <w:rPr>
              <w:rFonts w:eastAsiaTheme="minorEastAsia" w:cstheme="minorBidi"/>
              <w:b w:val="0"/>
              <w:bCs w:val="0"/>
              <w:noProof/>
              <w:sz w:val="24"/>
              <w:szCs w:val="24"/>
            </w:rPr>
          </w:pPr>
          <w:hyperlink w:anchor="_Toc7299797" w:history="1">
            <w:r w:rsidR="00762F63" w:rsidRPr="00ED5B33">
              <w:rPr>
                <w:rStyle w:val="Hyperlink"/>
                <w:noProof/>
              </w:rPr>
              <w:t>List of equations</w:t>
            </w:r>
            <w:r w:rsidR="00762F63">
              <w:rPr>
                <w:noProof/>
                <w:webHidden/>
              </w:rPr>
              <w:tab/>
            </w:r>
            <w:r w:rsidR="00762F63">
              <w:rPr>
                <w:noProof/>
                <w:webHidden/>
              </w:rPr>
              <w:fldChar w:fldCharType="begin"/>
            </w:r>
            <w:r w:rsidR="00762F63">
              <w:rPr>
                <w:noProof/>
                <w:webHidden/>
              </w:rPr>
              <w:instrText xml:space="preserve"> PAGEREF _Toc7299797 \h </w:instrText>
            </w:r>
            <w:r w:rsidR="00762F63">
              <w:rPr>
                <w:noProof/>
                <w:webHidden/>
              </w:rPr>
            </w:r>
            <w:r w:rsidR="00762F63">
              <w:rPr>
                <w:noProof/>
                <w:webHidden/>
              </w:rPr>
              <w:fldChar w:fldCharType="separate"/>
            </w:r>
            <w:r w:rsidR="00762F63">
              <w:rPr>
                <w:noProof/>
                <w:webHidden/>
              </w:rPr>
              <w:t>3</w:t>
            </w:r>
            <w:r w:rsidR="00762F63">
              <w:rPr>
                <w:noProof/>
                <w:webHidden/>
              </w:rPr>
              <w:fldChar w:fldCharType="end"/>
            </w:r>
          </w:hyperlink>
        </w:p>
        <w:p w14:paraId="60F81B77" w14:textId="6FDD537D" w:rsidR="00762F63" w:rsidRDefault="0002508A">
          <w:pPr>
            <w:pStyle w:val="TOC1"/>
            <w:rPr>
              <w:rFonts w:eastAsiaTheme="minorEastAsia" w:cstheme="minorBidi"/>
              <w:b w:val="0"/>
              <w:bCs w:val="0"/>
              <w:noProof/>
            </w:rPr>
          </w:pPr>
          <w:hyperlink w:anchor="_Toc7299798" w:history="1">
            <w:r w:rsidR="00762F63" w:rsidRPr="00ED5B33">
              <w:rPr>
                <w:rStyle w:val="Hyperlink"/>
                <w:noProof/>
              </w:rPr>
              <w:t>1.</w:t>
            </w:r>
            <w:r w:rsidR="00762F63">
              <w:rPr>
                <w:rFonts w:eastAsiaTheme="minorEastAsia" w:cstheme="minorBidi"/>
                <w:b w:val="0"/>
                <w:bCs w:val="0"/>
                <w:noProof/>
              </w:rPr>
              <w:tab/>
            </w:r>
            <w:r w:rsidR="00762F63" w:rsidRPr="00ED5B33">
              <w:rPr>
                <w:rStyle w:val="Hyperlink"/>
                <w:noProof/>
              </w:rPr>
              <w:t>National and regional seasonal dynamics of all-cause and cause-specific mortality in the United States</w:t>
            </w:r>
            <w:r w:rsidR="00762F63">
              <w:rPr>
                <w:noProof/>
                <w:webHidden/>
              </w:rPr>
              <w:tab/>
            </w:r>
            <w:r w:rsidR="00762F63">
              <w:rPr>
                <w:noProof/>
                <w:webHidden/>
              </w:rPr>
              <w:fldChar w:fldCharType="begin"/>
            </w:r>
            <w:r w:rsidR="00762F63">
              <w:rPr>
                <w:noProof/>
                <w:webHidden/>
              </w:rPr>
              <w:instrText xml:space="preserve"> PAGEREF _Toc7299798 \h </w:instrText>
            </w:r>
            <w:r w:rsidR="00762F63">
              <w:rPr>
                <w:noProof/>
                <w:webHidden/>
              </w:rPr>
            </w:r>
            <w:r w:rsidR="00762F63">
              <w:rPr>
                <w:noProof/>
                <w:webHidden/>
              </w:rPr>
              <w:fldChar w:fldCharType="separate"/>
            </w:r>
            <w:r w:rsidR="00762F63">
              <w:rPr>
                <w:noProof/>
                <w:webHidden/>
              </w:rPr>
              <w:t>4</w:t>
            </w:r>
            <w:r w:rsidR="00762F63">
              <w:rPr>
                <w:noProof/>
                <w:webHidden/>
              </w:rPr>
              <w:fldChar w:fldCharType="end"/>
            </w:r>
          </w:hyperlink>
        </w:p>
        <w:p w14:paraId="294288C9" w14:textId="5918191A" w:rsidR="00762F63" w:rsidRDefault="0002508A">
          <w:pPr>
            <w:pStyle w:val="TOC2"/>
            <w:tabs>
              <w:tab w:val="right" w:leader="dot" w:pos="9010"/>
            </w:tabs>
            <w:rPr>
              <w:rFonts w:eastAsiaTheme="minorEastAsia" w:cstheme="minorBidi"/>
              <w:b w:val="0"/>
              <w:bCs w:val="0"/>
              <w:noProof/>
              <w:sz w:val="24"/>
              <w:szCs w:val="24"/>
            </w:rPr>
          </w:pPr>
          <w:hyperlink w:anchor="_Toc7299799" w:history="1">
            <w:r w:rsidR="00762F63" w:rsidRPr="00ED5B33">
              <w:rPr>
                <w:rStyle w:val="Hyperlink"/>
                <w:noProof/>
              </w:rPr>
              <w:t>Overview</w:t>
            </w:r>
            <w:r w:rsidR="00762F63">
              <w:rPr>
                <w:noProof/>
                <w:webHidden/>
              </w:rPr>
              <w:tab/>
            </w:r>
            <w:r w:rsidR="00762F63">
              <w:rPr>
                <w:noProof/>
                <w:webHidden/>
              </w:rPr>
              <w:fldChar w:fldCharType="begin"/>
            </w:r>
            <w:r w:rsidR="00762F63">
              <w:rPr>
                <w:noProof/>
                <w:webHidden/>
              </w:rPr>
              <w:instrText xml:space="preserve"> PAGEREF _Toc7299799 \h </w:instrText>
            </w:r>
            <w:r w:rsidR="00762F63">
              <w:rPr>
                <w:noProof/>
                <w:webHidden/>
              </w:rPr>
            </w:r>
            <w:r w:rsidR="00762F63">
              <w:rPr>
                <w:noProof/>
                <w:webHidden/>
              </w:rPr>
              <w:fldChar w:fldCharType="separate"/>
            </w:r>
            <w:r w:rsidR="00762F63">
              <w:rPr>
                <w:noProof/>
                <w:webHidden/>
              </w:rPr>
              <w:t>4</w:t>
            </w:r>
            <w:r w:rsidR="00762F63">
              <w:rPr>
                <w:noProof/>
                <w:webHidden/>
              </w:rPr>
              <w:fldChar w:fldCharType="end"/>
            </w:r>
          </w:hyperlink>
        </w:p>
        <w:p w14:paraId="788657B7" w14:textId="64EF5B43" w:rsidR="00762F63" w:rsidRDefault="0002508A">
          <w:pPr>
            <w:pStyle w:val="TOC2"/>
            <w:tabs>
              <w:tab w:val="right" w:leader="dot" w:pos="9010"/>
            </w:tabs>
            <w:rPr>
              <w:rFonts w:eastAsiaTheme="minorEastAsia" w:cstheme="minorBidi"/>
              <w:b w:val="0"/>
              <w:bCs w:val="0"/>
              <w:noProof/>
              <w:sz w:val="24"/>
              <w:szCs w:val="24"/>
            </w:rPr>
          </w:pPr>
          <w:hyperlink w:anchor="_Toc7299800" w:history="1">
            <w:r w:rsidR="00762F63" w:rsidRPr="00ED5B33">
              <w:rPr>
                <w:rStyle w:val="Hyperlink"/>
                <w:noProof/>
              </w:rPr>
              <w:t>Introduction</w:t>
            </w:r>
            <w:r w:rsidR="00762F63">
              <w:rPr>
                <w:noProof/>
                <w:webHidden/>
              </w:rPr>
              <w:tab/>
            </w:r>
            <w:r w:rsidR="00762F63">
              <w:rPr>
                <w:noProof/>
                <w:webHidden/>
              </w:rPr>
              <w:fldChar w:fldCharType="begin"/>
            </w:r>
            <w:r w:rsidR="00762F63">
              <w:rPr>
                <w:noProof/>
                <w:webHidden/>
              </w:rPr>
              <w:instrText xml:space="preserve"> PAGEREF _Toc7299800 \h </w:instrText>
            </w:r>
            <w:r w:rsidR="00762F63">
              <w:rPr>
                <w:noProof/>
                <w:webHidden/>
              </w:rPr>
            </w:r>
            <w:r w:rsidR="00762F63">
              <w:rPr>
                <w:noProof/>
                <w:webHidden/>
              </w:rPr>
              <w:fldChar w:fldCharType="separate"/>
            </w:r>
            <w:r w:rsidR="00762F63">
              <w:rPr>
                <w:noProof/>
                <w:webHidden/>
              </w:rPr>
              <w:t>4</w:t>
            </w:r>
            <w:r w:rsidR="00762F63">
              <w:rPr>
                <w:noProof/>
                <w:webHidden/>
              </w:rPr>
              <w:fldChar w:fldCharType="end"/>
            </w:r>
          </w:hyperlink>
        </w:p>
        <w:p w14:paraId="54DFF95F" w14:textId="3EFD2A20" w:rsidR="00762F63" w:rsidRDefault="0002508A">
          <w:pPr>
            <w:pStyle w:val="TOC2"/>
            <w:tabs>
              <w:tab w:val="right" w:leader="dot" w:pos="9010"/>
            </w:tabs>
            <w:rPr>
              <w:rFonts w:eastAsiaTheme="minorEastAsia" w:cstheme="minorBidi"/>
              <w:b w:val="0"/>
              <w:bCs w:val="0"/>
              <w:noProof/>
              <w:sz w:val="24"/>
              <w:szCs w:val="24"/>
            </w:rPr>
          </w:pPr>
          <w:hyperlink w:anchor="_Toc7299801" w:history="1">
            <w:r w:rsidR="00762F63" w:rsidRPr="00ED5B33">
              <w:rPr>
                <w:rStyle w:val="Hyperlink"/>
                <w:noProof/>
              </w:rPr>
              <w:t>Data</w:t>
            </w:r>
            <w:r w:rsidR="00762F63">
              <w:rPr>
                <w:noProof/>
                <w:webHidden/>
              </w:rPr>
              <w:tab/>
            </w:r>
            <w:r w:rsidR="00762F63">
              <w:rPr>
                <w:noProof/>
                <w:webHidden/>
              </w:rPr>
              <w:fldChar w:fldCharType="begin"/>
            </w:r>
            <w:r w:rsidR="00762F63">
              <w:rPr>
                <w:noProof/>
                <w:webHidden/>
              </w:rPr>
              <w:instrText xml:space="preserve"> PAGEREF _Toc7299801 \h </w:instrText>
            </w:r>
            <w:r w:rsidR="00762F63">
              <w:rPr>
                <w:noProof/>
                <w:webHidden/>
              </w:rPr>
            </w:r>
            <w:r w:rsidR="00762F63">
              <w:rPr>
                <w:noProof/>
                <w:webHidden/>
              </w:rPr>
              <w:fldChar w:fldCharType="separate"/>
            </w:r>
            <w:r w:rsidR="00762F63">
              <w:rPr>
                <w:noProof/>
                <w:webHidden/>
              </w:rPr>
              <w:t>5</w:t>
            </w:r>
            <w:r w:rsidR="00762F63">
              <w:rPr>
                <w:noProof/>
                <w:webHidden/>
              </w:rPr>
              <w:fldChar w:fldCharType="end"/>
            </w:r>
          </w:hyperlink>
        </w:p>
        <w:p w14:paraId="2F6E8EF3" w14:textId="38D67462" w:rsidR="00762F63" w:rsidRDefault="0002508A">
          <w:pPr>
            <w:pStyle w:val="TOC2"/>
            <w:tabs>
              <w:tab w:val="right" w:leader="dot" w:pos="9010"/>
            </w:tabs>
            <w:rPr>
              <w:rFonts w:eastAsiaTheme="minorEastAsia" w:cstheme="minorBidi"/>
              <w:b w:val="0"/>
              <w:bCs w:val="0"/>
              <w:noProof/>
              <w:sz w:val="24"/>
              <w:szCs w:val="24"/>
            </w:rPr>
          </w:pPr>
          <w:hyperlink w:anchor="_Toc7299802" w:history="1">
            <w:r w:rsidR="00762F63" w:rsidRPr="00ED5B33">
              <w:rPr>
                <w:rStyle w:val="Hyperlink"/>
                <w:noProof/>
              </w:rPr>
              <w:t>Statistical methods</w:t>
            </w:r>
            <w:r w:rsidR="00762F63">
              <w:rPr>
                <w:noProof/>
                <w:webHidden/>
              </w:rPr>
              <w:tab/>
            </w:r>
            <w:r w:rsidR="00762F63">
              <w:rPr>
                <w:noProof/>
                <w:webHidden/>
              </w:rPr>
              <w:fldChar w:fldCharType="begin"/>
            </w:r>
            <w:r w:rsidR="00762F63">
              <w:rPr>
                <w:noProof/>
                <w:webHidden/>
              </w:rPr>
              <w:instrText xml:space="preserve"> PAGEREF _Toc7299802 \h </w:instrText>
            </w:r>
            <w:r w:rsidR="00762F63">
              <w:rPr>
                <w:noProof/>
                <w:webHidden/>
              </w:rPr>
            </w:r>
            <w:r w:rsidR="00762F63">
              <w:rPr>
                <w:noProof/>
                <w:webHidden/>
              </w:rPr>
              <w:fldChar w:fldCharType="separate"/>
            </w:r>
            <w:r w:rsidR="00762F63">
              <w:rPr>
                <w:noProof/>
                <w:webHidden/>
              </w:rPr>
              <w:t>7</w:t>
            </w:r>
            <w:r w:rsidR="00762F63">
              <w:rPr>
                <w:noProof/>
                <w:webHidden/>
              </w:rPr>
              <w:fldChar w:fldCharType="end"/>
            </w:r>
          </w:hyperlink>
        </w:p>
        <w:p w14:paraId="3F6EC729" w14:textId="17FF7762" w:rsidR="00762F63" w:rsidRDefault="0002508A">
          <w:pPr>
            <w:pStyle w:val="TOC2"/>
            <w:tabs>
              <w:tab w:val="right" w:leader="dot" w:pos="9010"/>
            </w:tabs>
            <w:rPr>
              <w:rFonts w:eastAsiaTheme="minorEastAsia" w:cstheme="minorBidi"/>
              <w:b w:val="0"/>
              <w:bCs w:val="0"/>
              <w:noProof/>
              <w:sz w:val="24"/>
              <w:szCs w:val="24"/>
            </w:rPr>
          </w:pPr>
          <w:hyperlink w:anchor="_Toc7299803" w:history="1">
            <w:r w:rsidR="00762F63" w:rsidRPr="00ED5B33">
              <w:rPr>
                <w:rStyle w:val="Hyperlink"/>
                <w:noProof/>
              </w:rPr>
              <w:t>Results</w:t>
            </w:r>
            <w:r w:rsidR="00762F63">
              <w:rPr>
                <w:noProof/>
                <w:webHidden/>
              </w:rPr>
              <w:tab/>
            </w:r>
            <w:r w:rsidR="00762F63">
              <w:rPr>
                <w:noProof/>
                <w:webHidden/>
              </w:rPr>
              <w:fldChar w:fldCharType="begin"/>
            </w:r>
            <w:r w:rsidR="00762F63">
              <w:rPr>
                <w:noProof/>
                <w:webHidden/>
              </w:rPr>
              <w:instrText xml:space="preserve"> PAGEREF _Toc7299803 \h </w:instrText>
            </w:r>
            <w:r w:rsidR="00762F63">
              <w:rPr>
                <w:noProof/>
                <w:webHidden/>
              </w:rPr>
            </w:r>
            <w:r w:rsidR="00762F63">
              <w:rPr>
                <w:noProof/>
                <w:webHidden/>
              </w:rPr>
              <w:fldChar w:fldCharType="separate"/>
            </w:r>
            <w:r w:rsidR="00762F63">
              <w:rPr>
                <w:noProof/>
                <w:webHidden/>
              </w:rPr>
              <w:t>9</w:t>
            </w:r>
            <w:r w:rsidR="00762F63">
              <w:rPr>
                <w:noProof/>
                <w:webHidden/>
              </w:rPr>
              <w:fldChar w:fldCharType="end"/>
            </w:r>
          </w:hyperlink>
        </w:p>
        <w:p w14:paraId="17DB434B" w14:textId="5825B2A1" w:rsidR="00762F63" w:rsidRDefault="0002508A">
          <w:pPr>
            <w:pStyle w:val="TOC3"/>
            <w:tabs>
              <w:tab w:val="right" w:leader="dot" w:pos="9010"/>
            </w:tabs>
            <w:rPr>
              <w:rFonts w:eastAsiaTheme="minorEastAsia" w:cstheme="minorBidi"/>
              <w:noProof/>
              <w:sz w:val="24"/>
              <w:szCs w:val="24"/>
            </w:rPr>
          </w:pPr>
          <w:hyperlink w:anchor="_Toc7299804" w:history="1">
            <w:r w:rsidR="00762F63" w:rsidRPr="00ED5B33">
              <w:rPr>
                <w:rStyle w:val="Hyperlink"/>
                <w:noProof/>
              </w:rPr>
              <w:t>Wavelet analysis</w:t>
            </w:r>
            <w:r w:rsidR="00762F63">
              <w:rPr>
                <w:noProof/>
                <w:webHidden/>
              </w:rPr>
              <w:tab/>
            </w:r>
            <w:r w:rsidR="00762F63">
              <w:rPr>
                <w:noProof/>
                <w:webHidden/>
              </w:rPr>
              <w:fldChar w:fldCharType="begin"/>
            </w:r>
            <w:r w:rsidR="00762F63">
              <w:rPr>
                <w:noProof/>
                <w:webHidden/>
              </w:rPr>
              <w:instrText xml:space="preserve"> PAGEREF _Toc7299804 \h </w:instrText>
            </w:r>
            <w:r w:rsidR="00762F63">
              <w:rPr>
                <w:noProof/>
                <w:webHidden/>
              </w:rPr>
            </w:r>
            <w:r w:rsidR="00762F63">
              <w:rPr>
                <w:noProof/>
                <w:webHidden/>
              </w:rPr>
              <w:fldChar w:fldCharType="separate"/>
            </w:r>
            <w:r w:rsidR="00762F63">
              <w:rPr>
                <w:noProof/>
                <w:webHidden/>
              </w:rPr>
              <w:t>9</w:t>
            </w:r>
            <w:r w:rsidR="00762F63">
              <w:rPr>
                <w:noProof/>
                <w:webHidden/>
              </w:rPr>
              <w:fldChar w:fldCharType="end"/>
            </w:r>
          </w:hyperlink>
        </w:p>
        <w:p w14:paraId="51B14E17" w14:textId="5650BA6A" w:rsidR="00762F63" w:rsidRDefault="0002508A">
          <w:pPr>
            <w:pStyle w:val="TOC3"/>
            <w:tabs>
              <w:tab w:val="right" w:leader="dot" w:pos="9010"/>
            </w:tabs>
            <w:rPr>
              <w:rFonts w:eastAsiaTheme="minorEastAsia" w:cstheme="minorBidi"/>
              <w:noProof/>
              <w:sz w:val="24"/>
              <w:szCs w:val="24"/>
            </w:rPr>
          </w:pPr>
          <w:hyperlink w:anchor="_Toc7299805" w:history="1">
            <w:r w:rsidR="00762F63" w:rsidRPr="00ED5B33">
              <w:rPr>
                <w:rStyle w:val="Hyperlink"/>
                <w:noProof/>
              </w:rPr>
              <w:t>Centre of gravity analysis</w:t>
            </w:r>
            <w:r w:rsidR="00762F63">
              <w:rPr>
                <w:noProof/>
                <w:webHidden/>
              </w:rPr>
              <w:tab/>
            </w:r>
            <w:r w:rsidR="00762F63">
              <w:rPr>
                <w:noProof/>
                <w:webHidden/>
              </w:rPr>
              <w:fldChar w:fldCharType="begin"/>
            </w:r>
            <w:r w:rsidR="00762F63">
              <w:rPr>
                <w:noProof/>
                <w:webHidden/>
              </w:rPr>
              <w:instrText xml:space="preserve"> PAGEREF _Toc7299805 \h </w:instrText>
            </w:r>
            <w:r w:rsidR="00762F63">
              <w:rPr>
                <w:noProof/>
                <w:webHidden/>
              </w:rPr>
            </w:r>
            <w:r w:rsidR="00762F63">
              <w:rPr>
                <w:noProof/>
                <w:webHidden/>
              </w:rPr>
              <w:fldChar w:fldCharType="separate"/>
            </w:r>
            <w:r w:rsidR="00762F63">
              <w:rPr>
                <w:noProof/>
                <w:webHidden/>
              </w:rPr>
              <w:t>21</w:t>
            </w:r>
            <w:r w:rsidR="00762F63">
              <w:rPr>
                <w:noProof/>
                <w:webHidden/>
              </w:rPr>
              <w:fldChar w:fldCharType="end"/>
            </w:r>
          </w:hyperlink>
        </w:p>
        <w:p w14:paraId="1A0DAAE4" w14:textId="1507D30E" w:rsidR="00762F63" w:rsidRDefault="0002508A">
          <w:pPr>
            <w:pStyle w:val="TOC3"/>
            <w:tabs>
              <w:tab w:val="right" w:leader="dot" w:pos="9010"/>
            </w:tabs>
            <w:rPr>
              <w:rFonts w:eastAsiaTheme="minorEastAsia" w:cstheme="minorBidi"/>
              <w:noProof/>
              <w:sz w:val="24"/>
              <w:szCs w:val="24"/>
            </w:rPr>
          </w:pPr>
          <w:hyperlink w:anchor="_Toc7299806" w:history="1">
            <w:r w:rsidR="00762F63" w:rsidRPr="00ED5B33">
              <w:rPr>
                <w:rStyle w:val="Hyperlink"/>
                <w:noProof/>
              </w:rPr>
              <w:t>Change in percent difference in death rates</w:t>
            </w:r>
            <w:r w:rsidR="00762F63">
              <w:rPr>
                <w:noProof/>
                <w:webHidden/>
              </w:rPr>
              <w:tab/>
            </w:r>
            <w:r w:rsidR="00762F63">
              <w:rPr>
                <w:noProof/>
                <w:webHidden/>
              </w:rPr>
              <w:fldChar w:fldCharType="begin"/>
            </w:r>
            <w:r w:rsidR="00762F63">
              <w:rPr>
                <w:noProof/>
                <w:webHidden/>
              </w:rPr>
              <w:instrText xml:space="preserve"> PAGEREF _Toc7299806 \h </w:instrText>
            </w:r>
            <w:r w:rsidR="00762F63">
              <w:rPr>
                <w:noProof/>
                <w:webHidden/>
              </w:rPr>
            </w:r>
            <w:r w:rsidR="00762F63">
              <w:rPr>
                <w:noProof/>
                <w:webHidden/>
              </w:rPr>
              <w:fldChar w:fldCharType="separate"/>
            </w:r>
            <w:r w:rsidR="00762F63">
              <w:rPr>
                <w:noProof/>
                <w:webHidden/>
              </w:rPr>
              <w:t>28</w:t>
            </w:r>
            <w:r w:rsidR="00762F63">
              <w:rPr>
                <w:noProof/>
                <w:webHidden/>
              </w:rPr>
              <w:fldChar w:fldCharType="end"/>
            </w:r>
          </w:hyperlink>
        </w:p>
        <w:p w14:paraId="19619AD6" w14:textId="47502A52" w:rsidR="00762F63" w:rsidRDefault="0002508A">
          <w:pPr>
            <w:pStyle w:val="TOC2"/>
            <w:tabs>
              <w:tab w:val="right" w:leader="dot" w:pos="9010"/>
            </w:tabs>
            <w:rPr>
              <w:rFonts w:eastAsiaTheme="minorEastAsia" w:cstheme="minorBidi"/>
              <w:b w:val="0"/>
              <w:bCs w:val="0"/>
              <w:noProof/>
              <w:sz w:val="24"/>
              <w:szCs w:val="24"/>
            </w:rPr>
          </w:pPr>
          <w:hyperlink w:anchor="_Toc7299807" w:history="1">
            <w:r w:rsidR="00762F63" w:rsidRPr="00ED5B33">
              <w:rPr>
                <w:rStyle w:val="Hyperlink"/>
                <w:noProof/>
              </w:rPr>
              <w:t>Strengths and limitations</w:t>
            </w:r>
            <w:r w:rsidR="00762F63">
              <w:rPr>
                <w:noProof/>
                <w:webHidden/>
              </w:rPr>
              <w:tab/>
            </w:r>
            <w:r w:rsidR="00762F63">
              <w:rPr>
                <w:noProof/>
                <w:webHidden/>
              </w:rPr>
              <w:fldChar w:fldCharType="begin"/>
            </w:r>
            <w:r w:rsidR="00762F63">
              <w:rPr>
                <w:noProof/>
                <w:webHidden/>
              </w:rPr>
              <w:instrText xml:space="preserve"> PAGEREF _Toc7299807 \h </w:instrText>
            </w:r>
            <w:r w:rsidR="00762F63">
              <w:rPr>
                <w:noProof/>
                <w:webHidden/>
              </w:rPr>
            </w:r>
            <w:r w:rsidR="00762F63">
              <w:rPr>
                <w:noProof/>
                <w:webHidden/>
              </w:rPr>
              <w:fldChar w:fldCharType="separate"/>
            </w:r>
            <w:r w:rsidR="00762F63">
              <w:rPr>
                <w:noProof/>
                <w:webHidden/>
              </w:rPr>
              <w:t>30</w:t>
            </w:r>
            <w:r w:rsidR="00762F63">
              <w:rPr>
                <w:noProof/>
                <w:webHidden/>
              </w:rPr>
              <w:fldChar w:fldCharType="end"/>
            </w:r>
          </w:hyperlink>
        </w:p>
        <w:p w14:paraId="507DCB73" w14:textId="057C6820" w:rsidR="00762F63" w:rsidRDefault="0002508A">
          <w:pPr>
            <w:pStyle w:val="TOC2"/>
            <w:tabs>
              <w:tab w:val="right" w:leader="dot" w:pos="9010"/>
            </w:tabs>
            <w:rPr>
              <w:rFonts w:eastAsiaTheme="minorEastAsia" w:cstheme="minorBidi"/>
              <w:b w:val="0"/>
              <w:bCs w:val="0"/>
              <w:noProof/>
              <w:sz w:val="24"/>
              <w:szCs w:val="24"/>
            </w:rPr>
          </w:pPr>
          <w:hyperlink w:anchor="_Toc7299808" w:history="1">
            <w:r w:rsidR="00762F63" w:rsidRPr="00ED5B33">
              <w:rPr>
                <w:rStyle w:val="Hyperlink"/>
                <w:noProof/>
              </w:rPr>
              <w:t>Discussion</w:t>
            </w:r>
            <w:r w:rsidR="00762F63">
              <w:rPr>
                <w:noProof/>
                <w:webHidden/>
              </w:rPr>
              <w:tab/>
            </w:r>
            <w:r w:rsidR="00762F63">
              <w:rPr>
                <w:noProof/>
                <w:webHidden/>
              </w:rPr>
              <w:fldChar w:fldCharType="begin"/>
            </w:r>
            <w:r w:rsidR="00762F63">
              <w:rPr>
                <w:noProof/>
                <w:webHidden/>
              </w:rPr>
              <w:instrText xml:space="preserve"> PAGEREF _Toc7299808 \h </w:instrText>
            </w:r>
            <w:r w:rsidR="00762F63">
              <w:rPr>
                <w:noProof/>
                <w:webHidden/>
              </w:rPr>
            </w:r>
            <w:r w:rsidR="00762F63">
              <w:rPr>
                <w:noProof/>
                <w:webHidden/>
              </w:rPr>
              <w:fldChar w:fldCharType="separate"/>
            </w:r>
            <w:r w:rsidR="00762F63">
              <w:rPr>
                <w:noProof/>
                <w:webHidden/>
              </w:rPr>
              <w:t>30</w:t>
            </w:r>
            <w:r w:rsidR="00762F63">
              <w:rPr>
                <w:noProof/>
                <w:webHidden/>
              </w:rPr>
              <w:fldChar w:fldCharType="end"/>
            </w:r>
          </w:hyperlink>
        </w:p>
        <w:p w14:paraId="04F2CE1A" w14:textId="16E48F21" w:rsidR="00762F63" w:rsidRDefault="0002508A">
          <w:pPr>
            <w:pStyle w:val="TOC2"/>
            <w:tabs>
              <w:tab w:val="right" w:leader="dot" w:pos="9010"/>
            </w:tabs>
            <w:rPr>
              <w:rFonts w:eastAsiaTheme="minorEastAsia" w:cstheme="minorBidi"/>
              <w:b w:val="0"/>
              <w:bCs w:val="0"/>
              <w:noProof/>
              <w:sz w:val="24"/>
              <w:szCs w:val="24"/>
            </w:rPr>
          </w:pPr>
          <w:hyperlink w:anchor="_Toc7299809" w:history="1">
            <w:r w:rsidR="00762F63" w:rsidRPr="00ED5B33">
              <w:rPr>
                <w:rStyle w:val="Hyperlink"/>
                <w:noProof/>
              </w:rPr>
              <w:t>References</w:t>
            </w:r>
            <w:r w:rsidR="00762F63">
              <w:rPr>
                <w:noProof/>
                <w:webHidden/>
              </w:rPr>
              <w:tab/>
            </w:r>
            <w:r w:rsidR="00762F63">
              <w:rPr>
                <w:noProof/>
                <w:webHidden/>
              </w:rPr>
              <w:fldChar w:fldCharType="begin"/>
            </w:r>
            <w:r w:rsidR="00762F63">
              <w:rPr>
                <w:noProof/>
                <w:webHidden/>
              </w:rPr>
              <w:instrText xml:space="preserve"> PAGEREF _Toc7299809 \h </w:instrText>
            </w:r>
            <w:r w:rsidR="00762F63">
              <w:rPr>
                <w:noProof/>
                <w:webHidden/>
              </w:rPr>
            </w:r>
            <w:r w:rsidR="00762F63">
              <w:rPr>
                <w:noProof/>
                <w:webHidden/>
              </w:rPr>
              <w:fldChar w:fldCharType="separate"/>
            </w:r>
            <w:r w:rsidR="00762F63">
              <w:rPr>
                <w:noProof/>
                <w:webHidden/>
              </w:rPr>
              <w:t>33</w:t>
            </w:r>
            <w:r w:rsidR="00762F63">
              <w:rPr>
                <w:noProof/>
                <w:webHidden/>
              </w:rPr>
              <w:fldChar w:fldCharType="end"/>
            </w:r>
          </w:hyperlink>
        </w:p>
        <w:p w14:paraId="4E1CF970" w14:textId="3E19A5EB" w:rsidR="00B82FF5" w:rsidRPr="00755632" w:rsidRDefault="00102468" w:rsidP="00061A3A">
          <w:pPr>
            <w:suppressLineNumbers/>
            <w:rPr>
              <w:noProof/>
            </w:rPr>
          </w:pPr>
          <w:r w:rsidRPr="00755632">
            <w:rPr>
              <w:b/>
              <w:bCs/>
              <w:noProof/>
            </w:rPr>
            <w:fldChar w:fldCharType="end"/>
          </w:r>
        </w:p>
      </w:sdtContent>
    </w:sdt>
    <w:p w14:paraId="02E3E2E3" w14:textId="77777777" w:rsidR="00762F63" w:rsidRDefault="00061A3A" w:rsidP="00061A3A">
      <w:pPr>
        <w:pStyle w:val="Heading2"/>
        <w:suppressLineNumbers/>
        <w:rPr>
          <w:noProof/>
        </w:rPr>
      </w:pPr>
      <w:bookmarkStart w:id="0" w:name="_Toc7299795"/>
      <w:r>
        <w:t xml:space="preserve">List of </w:t>
      </w:r>
      <w:r w:rsidR="009E7EC8">
        <w:t>f</w:t>
      </w:r>
      <w:r>
        <w:t>igures</w:t>
      </w:r>
      <w:bookmarkEnd w:id="0"/>
      <w:r w:rsidR="00B82FF5" w:rsidRPr="00755632">
        <w:rPr>
          <w:rFonts w:ascii="Calibri" w:eastAsia="Calibri" w:hAnsi="Calibri" w:cs="Times New Roman"/>
          <w:color w:val="auto"/>
          <w:sz w:val="22"/>
          <w:szCs w:val="22"/>
        </w:rPr>
        <w:fldChar w:fldCharType="begin"/>
      </w:r>
      <w:r w:rsidR="00B82FF5" w:rsidRPr="00755632">
        <w:instrText xml:space="preserve"> TOC \h \z \c "Figure" </w:instrText>
      </w:r>
      <w:r w:rsidR="00B82FF5" w:rsidRPr="00755632">
        <w:rPr>
          <w:rFonts w:ascii="Calibri" w:eastAsia="Calibri" w:hAnsi="Calibri" w:cs="Times New Roman"/>
          <w:color w:val="auto"/>
          <w:sz w:val="22"/>
          <w:szCs w:val="22"/>
        </w:rPr>
        <w:fldChar w:fldCharType="separate"/>
      </w:r>
    </w:p>
    <w:p w14:paraId="7B83CC3E" w14:textId="42AC6499"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8" w:anchor="_Toc7299810" w:history="1">
        <w:r w:rsidR="00762F63" w:rsidRPr="009D0B8B">
          <w:rPr>
            <w:rStyle w:val="Hyperlink"/>
            <w:b/>
            <w:noProof/>
          </w:rPr>
          <w:t>Figure 1</w:t>
        </w:r>
        <w:r w:rsidR="00762F63" w:rsidRPr="009D0B8B">
          <w:rPr>
            <w:rStyle w:val="Hyperlink"/>
            <w:noProof/>
          </w:rPr>
          <w:t>. Wavelet power spectra for national time series of all-cause death rates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r w:rsidR="00762F63">
          <w:rPr>
            <w:noProof/>
            <w:webHidden/>
          </w:rPr>
          <w:tab/>
        </w:r>
        <w:r w:rsidR="00762F63">
          <w:rPr>
            <w:noProof/>
            <w:webHidden/>
          </w:rPr>
          <w:fldChar w:fldCharType="begin"/>
        </w:r>
        <w:r w:rsidR="00762F63">
          <w:rPr>
            <w:noProof/>
            <w:webHidden/>
          </w:rPr>
          <w:instrText xml:space="preserve"> PAGEREF _Toc7299810 \h </w:instrText>
        </w:r>
        <w:r w:rsidR="00762F63">
          <w:rPr>
            <w:noProof/>
            <w:webHidden/>
          </w:rPr>
        </w:r>
        <w:r w:rsidR="00762F63">
          <w:rPr>
            <w:noProof/>
            <w:webHidden/>
          </w:rPr>
          <w:fldChar w:fldCharType="separate"/>
        </w:r>
        <w:r w:rsidR="00762F63">
          <w:rPr>
            <w:noProof/>
            <w:webHidden/>
          </w:rPr>
          <w:t>11</w:t>
        </w:r>
        <w:r w:rsidR="00762F63">
          <w:rPr>
            <w:noProof/>
            <w:webHidden/>
          </w:rPr>
          <w:fldChar w:fldCharType="end"/>
        </w:r>
      </w:hyperlink>
    </w:p>
    <w:p w14:paraId="0A3F660F" w14:textId="6695187A"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9" w:anchor="_Toc7299811" w:history="1">
        <w:r w:rsidR="00762F63" w:rsidRPr="009D0B8B">
          <w:rPr>
            <w:rStyle w:val="Hyperlink"/>
            <w:b/>
            <w:noProof/>
          </w:rPr>
          <w:t>Figure 2</w:t>
        </w:r>
        <w:r w:rsidR="00762F63" w:rsidRPr="009D0B8B">
          <w:rPr>
            <w:rStyle w:val="Hyperlink"/>
            <w:noProof/>
          </w:rPr>
          <w:t>. Wavelet power spectra for national time series of all-cause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r w:rsidR="00762F63">
          <w:rPr>
            <w:noProof/>
            <w:webHidden/>
          </w:rPr>
          <w:tab/>
        </w:r>
        <w:r w:rsidR="00762F63">
          <w:rPr>
            <w:noProof/>
            <w:webHidden/>
          </w:rPr>
          <w:fldChar w:fldCharType="begin"/>
        </w:r>
        <w:r w:rsidR="00762F63">
          <w:rPr>
            <w:noProof/>
            <w:webHidden/>
          </w:rPr>
          <w:instrText xml:space="preserve"> PAGEREF _Toc7299811 \h </w:instrText>
        </w:r>
        <w:r w:rsidR="00762F63">
          <w:rPr>
            <w:noProof/>
            <w:webHidden/>
          </w:rPr>
        </w:r>
        <w:r w:rsidR="00762F63">
          <w:rPr>
            <w:noProof/>
            <w:webHidden/>
          </w:rPr>
          <w:fldChar w:fldCharType="separate"/>
        </w:r>
        <w:r w:rsidR="00762F63">
          <w:rPr>
            <w:noProof/>
            <w:webHidden/>
          </w:rPr>
          <w:t>12</w:t>
        </w:r>
        <w:r w:rsidR="00762F63">
          <w:rPr>
            <w:noProof/>
            <w:webHidden/>
          </w:rPr>
          <w:fldChar w:fldCharType="end"/>
        </w:r>
      </w:hyperlink>
    </w:p>
    <w:p w14:paraId="3D3AF77C" w14:textId="59424257"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10" w:anchor="_Toc7299812" w:history="1">
        <w:r w:rsidR="00762F63" w:rsidRPr="009D0B8B">
          <w:rPr>
            <w:rStyle w:val="Hyperlink"/>
            <w:b/>
            <w:noProof/>
          </w:rPr>
          <w:t>Figure 3</w:t>
        </w:r>
        <w:r w:rsidR="00762F63" w:rsidRPr="009D0B8B">
          <w:rPr>
            <w:rStyle w:val="Hyperlink"/>
            <w:noProof/>
          </w:rPr>
          <w:t>. Wavelet power spectra for national time series of cancer death rates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r w:rsidR="00762F63">
          <w:rPr>
            <w:noProof/>
            <w:webHidden/>
          </w:rPr>
          <w:tab/>
        </w:r>
        <w:r w:rsidR="00762F63">
          <w:rPr>
            <w:noProof/>
            <w:webHidden/>
          </w:rPr>
          <w:fldChar w:fldCharType="begin"/>
        </w:r>
        <w:r w:rsidR="00762F63">
          <w:rPr>
            <w:noProof/>
            <w:webHidden/>
          </w:rPr>
          <w:instrText xml:space="preserve"> PAGEREF _Toc7299812 \h </w:instrText>
        </w:r>
        <w:r w:rsidR="00762F63">
          <w:rPr>
            <w:noProof/>
            <w:webHidden/>
          </w:rPr>
        </w:r>
        <w:r w:rsidR="00762F63">
          <w:rPr>
            <w:noProof/>
            <w:webHidden/>
          </w:rPr>
          <w:fldChar w:fldCharType="separate"/>
        </w:r>
        <w:r w:rsidR="00762F63">
          <w:rPr>
            <w:noProof/>
            <w:webHidden/>
          </w:rPr>
          <w:t>13</w:t>
        </w:r>
        <w:r w:rsidR="00762F63">
          <w:rPr>
            <w:noProof/>
            <w:webHidden/>
          </w:rPr>
          <w:fldChar w:fldCharType="end"/>
        </w:r>
      </w:hyperlink>
    </w:p>
    <w:p w14:paraId="1A352611" w14:textId="5DC2DB56"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11" w:anchor="_Toc7299813" w:history="1">
        <w:r w:rsidR="00762F63" w:rsidRPr="009D0B8B">
          <w:rPr>
            <w:rStyle w:val="Hyperlink"/>
            <w:b/>
            <w:noProof/>
          </w:rPr>
          <w:t>Figure 4</w:t>
        </w:r>
        <w:r w:rsidR="00762F63" w:rsidRPr="009D0B8B">
          <w:rPr>
            <w:rStyle w:val="Hyperlink"/>
            <w:noProof/>
          </w:rPr>
          <w:t>. Wavelet power spectra for national time series of cancer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r w:rsidR="00762F63">
          <w:rPr>
            <w:noProof/>
            <w:webHidden/>
          </w:rPr>
          <w:tab/>
        </w:r>
        <w:r w:rsidR="00762F63">
          <w:rPr>
            <w:noProof/>
            <w:webHidden/>
          </w:rPr>
          <w:fldChar w:fldCharType="begin"/>
        </w:r>
        <w:r w:rsidR="00762F63">
          <w:rPr>
            <w:noProof/>
            <w:webHidden/>
          </w:rPr>
          <w:instrText xml:space="preserve"> PAGEREF _Toc7299813 \h </w:instrText>
        </w:r>
        <w:r w:rsidR="00762F63">
          <w:rPr>
            <w:noProof/>
            <w:webHidden/>
          </w:rPr>
        </w:r>
        <w:r w:rsidR="00762F63">
          <w:rPr>
            <w:noProof/>
            <w:webHidden/>
          </w:rPr>
          <w:fldChar w:fldCharType="separate"/>
        </w:r>
        <w:r w:rsidR="00762F63">
          <w:rPr>
            <w:noProof/>
            <w:webHidden/>
          </w:rPr>
          <w:t>14</w:t>
        </w:r>
        <w:r w:rsidR="00762F63">
          <w:rPr>
            <w:noProof/>
            <w:webHidden/>
          </w:rPr>
          <w:fldChar w:fldCharType="end"/>
        </w:r>
      </w:hyperlink>
    </w:p>
    <w:p w14:paraId="040221BC" w14:textId="7E67049E"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12" w:anchor="_Toc7299814" w:history="1">
        <w:r w:rsidR="00762F63" w:rsidRPr="009D0B8B">
          <w:rPr>
            <w:rStyle w:val="Hyperlink"/>
            <w:b/>
            <w:noProof/>
          </w:rPr>
          <w:t>Figure 5</w:t>
        </w:r>
        <w:r w:rsidR="00762F63" w:rsidRPr="009D0B8B">
          <w:rPr>
            <w:rStyle w:val="Hyperlink"/>
            <w:noProof/>
          </w:rPr>
          <w:t xml:space="preserve">. Wavelet power spectra for national time series of cardiorespiratory disease death rates for 1980-2016, by age group for males. Wavelet power values increase from blue to red. The shaded regions at the left and right edge of each box indicate the cone of influence, where spectral analysis </w:t>
        </w:r>
        <w:r w:rsidR="00762F63" w:rsidRPr="009D0B8B">
          <w:rPr>
            <w:rStyle w:val="Hyperlink"/>
            <w:noProof/>
          </w:rPr>
          <w:lastRenderedPageBreak/>
          <w:t>is less robust. P-values for the presence of 12-month seasonality are to the right of each figure at the 12-month line.</w:t>
        </w:r>
        <w:r w:rsidR="00762F63">
          <w:rPr>
            <w:noProof/>
            <w:webHidden/>
          </w:rPr>
          <w:tab/>
        </w:r>
        <w:r w:rsidR="00762F63">
          <w:rPr>
            <w:noProof/>
            <w:webHidden/>
          </w:rPr>
          <w:fldChar w:fldCharType="begin"/>
        </w:r>
        <w:r w:rsidR="00762F63">
          <w:rPr>
            <w:noProof/>
            <w:webHidden/>
          </w:rPr>
          <w:instrText xml:space="preserve"> PAGEREF _Toc7299814 \h </w:instrText>
        </w:r>
        <w:r w:rsidR="00762F63">
          <w:rPr>
            <w:noProof/>
            <w:webHidden/>
          </w:rPr>
        </w:r>
        <w:r w:rsidR="00762F63">
          <w:rPr>
            <w:noProof/>
            <w:webHidden/>
          </w:rPr>
          <w:fldChar w:fldCharType="separate"/>
        </w:r>
        <w:r w:rsidR="00762F63">
          <w:rPr>
            <w:noProof/>
            <w:webHidden/>
          </w:rPr>
          <w:t>15</w:t>
        </w:r>
        <w:r w:rsidR="00762F63">
          <w:rPr>
            <w:noProof/>
            <w:webHidden/>
          </w:rPr>
          <w:fldChar w:fldCharType="end"/>
        </w:r>
      </w:hyperlink>
    </w:p>
    <w:p w14:paraId="60D4EEAE" w14:textId="2A9EC183"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13" w:anchor="_Toc7299815" w:history="1">
        <w:r w:rsidR="00762F63" w:rsidRPr="009D0B8B">
          <w:rPr>
            <w:rStyle w:val="Hyperlink"/>
            <w:b/>
            <w:noProof/>
          </w:rPr>
          <w:t>Figure 6</w:t>
        </w:r>
        <w:r w:rsidR="00762F63" w:rsidRPr="009D0B8B">
          <w:rPr>
            <w:rStyle w:val="Hyperlink"/>
            <w:noProof/>
          </w:rPr>
          <w:t>. Wavelet power spectra for national time series of cardiorespiratory disease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r w:rsidR="00762F63">
          <w:rPr>
            <w:noProof/>
            <w:webHidden/>
          </w:rPr>
          <w:tab/>
        </w:r>
        <w:r w:rsidR="00762F63">
          <w:rPr>
            <w:noProof/>
            <w:webHidden/>
          </w:rPr>
          <w:fldChar w:fldCharType="begin"/>
        </w:r>
        <w:r w:rsidR="00762F63">
          <w:rPr>
            <w:noProof/>
            <w:webHidden/>
          </w:rPr>
          <w:instrText xml:space="preserve"> PAGEREF _Toc7299815 \h </w:instrText>
        </w:r>
        <w:r w:rsidR="00762F63">
          <w:rPr>
            <w:noProof/>
            <w:webHidden/>
          </w:rPr>
        </w:r>
        <w:r w:rsidR="00762F63">
          <w:rPr>
            <w:noProof/>
            <w:webHidden/>
          </w:rPr>
          <w:fldChar w:fldCharType="separate"/>
        </w:r>
        <w:r w:rsidR="00762F63">
          <w:rPr>
            <w:noProof/>
            <w:webHidden/>
          </w:rPr>
          <w:t>16</w:t>
        </w:r>
        <w:r w:rsidR="00762F63">
          <w:rPr>
            <w:noProof/>
            <w:webHidden/>
          </w:rPr>
          <w:fldChar w:fldCharType="end"/>
        </w:r>
      </w:hyperlink>
    </w:p>
    <w:p w14:paraId="63D56AB1" w14:textId="1847A823"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14" w:anchor="_Toc7299816" w:history="1">
        <w:r w:rsidR="00762F63" w:rsidRPr="009D0B8B">
          <w:rPr>
            <w:rStyle w:val="Hyperlink"/>
            <w:b/>
            <w:noProof/>
          </w:rPr>
          <w:t>Figure 7</w:t>
        </w:r>
        <w:r w:rsidR="00762F63" w:rsidRPr="009D0B8B">
          <w:rPr>
            <w:rStyle w:val="Hyperlink"/>
            <w:noProof/>
          </w:rPr>
          <w:t>. Wavelet power spectra for national time series of injury death rates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r w:rsidR="00762F63">
          <w:rPr>
            <w:noProof/>
            <w:webHidden/>
          </w:rPr>
          <w:tab/>
        </w:r>
        <w:r w:rsidR="00762F63">
          <w:rPr>
            <w:noProof/>
            <w:webHidden/>
          </w:rPr>
          <w:fldChar w:fldCharType="begin"/>
        </w:r>
        <w:r w:rsidR="00762F63">
          <w:rPr>
            <w:noProof/>
            <w:webHidden/>
          </w:rPr>
          <w:instrText xml:space="preserve"> PAGEREF _Toc7299816 \h </w:instrText>
        </w:r>
        <w:r w:rsidR="00762F63">
          <w:rPr>
            <w:noProof/>
            <w:webHidden/>
          </w:rPr>
        </w:r>
        <w:r w:rsidR="00762F63">
          <w:rPr>
            <w:noProof/>
            <w:webHidden/>
          </w:rPr>
          <w:fldChar w:fldCharType="separate"/>
        </w:r>
        <w:r w:rsidR="00762F63">
          <w:rPr>
            <w:noProof/>
            <w:webHidden/>
          </w:rPr>
          <w:t>17</w:t>
        </w:r>
        <w:r w:rsidR="00762F63">
          <w:rPr>
            <w:noProof/>
            <w:webHidden/>
          </w:rPr>
          <w:fldChar w:fldCharType="end"/>
        </w:r>
      </w:hyperlink>
    </w:p>
    <w:p w14:paraId="0D6AEE35" w14:textId="1FC81824"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15" w:anchor="_Toc7299817" w:history="1">
        <w:r w:rsidR="00762F63" w:rsidRPr="009D0B8B">
          <w:rPr>
            <w:rStyle w:val="Hyperlink"/>
            <w:b/>
            <w:noProof/>
          </w:rPr>
          <w:t>Figure 8</w:t>
        </w:r>
        <w:r w:rsidR="00762F63" w:rsidRPr="009D0B8B">
          <w:rPr>
            <w:rStyle w:val="Hyperlink"/>
            <w:noProof/>
          </w:rPr>
          <w:t>. Wavelet power spectra for national time series of injury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r w:rsidR="00762F63">
          <w:rPr>
            <w:noProof/>
            <w:webHidden/>
          </w:rPr>
          <w:tab/>
        </w:r>
        <w:r w:rsidR="00762F63">
          <w:rPr>
            <w:noProof/>
            <w:webHidden/>
          </w:rPr>
          <w:fldChar w:fldCharType="begin"/>
        </w:r>
        <w:r w:rsidR="00762F63">
          <w:rPr>
            <w:noProof/>
            <w:webHidden/>
          </w:rPr>
          <w:instrText xml:space="preserve"> PAGEREF _Toc7299817 \h </w:instrText>
        </w:r>
        <w:r w:rsidR="00762F63">
          <w:rPr>
            <w:noProof/>
            <w:webHidden/>
          </w:rPr>
        </w:r>
        <w:r w:rsidR="00762F63">
          <w:rPr>
            <w:noProof/>
            <w:webHidden/>
          </w:rPr>
          <w:fldChar w:fldCharType="separate"/>
        </w:r>
        <w:r w:rsidR="00762F63">
          <w:rPr>
            <w:noProof/>
            <w:webHidden/>
          </w:rPr>
          <w:t>18</w:t>
        </w:r>
        <w:r w:rsidR="00762F63">
          <w:rPr>
            <w:noProof/>
            <w:webHidden/>
          </w:rPr>
          <w:fldChar w:fldCharType="end"/>
        </w:r>
      </w:hyperlink>
    </w:p>
    <w:p w14:paraId="5A411BED" w14:textId="079458A3"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16" w:anchor="_Toc7299818" w:history="1">
        <w:r w:rsidR="00762F63" w:rsidRPr="009D0B8B">
          <w:rPr>
            <w:rStyle w:val="Hyperlink"/>
            <w:b/>
            <w:noProof/>
          </w:rPr>
          <w:t>Figure 9</w:t>
        </w:r>
        <w:r w:rsidR="00762F63" w:rsidRPr="009D0B8B">
          <w:rPr>
            <w:rStyle w:val="Hyperlink"/>
            <w:noProof/>
          </w:rPr>
          <w:t>. Wavelet power spectra for national time series of death rates from causes other than cancers, cardiorespiratory diseases and injuries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r w:rsidR="00762F63">
          <w:rPr>
            <w:noProof/>
            <w:webHidden/>
          </w:rPr>
          <w:tab/>
        </w:r>
        <w:r w:rsidR="00762F63">
          <w:rPr>
            <w:noProof/>
            <w:webHidden/>
          </w:rPr>
          <w:fldChar w:fldCharType="begin"/>
        </w:r>
        <w:r w:rsidR="00762F63">
          <w:rPr>
            <w:noProof/>
            <w:webHidden/>
          </w:rPr>
          <w:instrText xml:space="preserve"> PAGEREF _Toc7299818 \h </w:instrText>
        </w:r>
        <w:r w:rsidR="00762F63">
          <w:rPr>
            <w:noProof/>
            <w:webHidden/>
          </w:rPr>
        </w:r>
        <w:r w:rsidR="00762F63">
          <w:rPr>
            <w:noProof/>
            <w:webHidden/>
          </w:rPr>
          <w:fldChar w:fldCharType="separate"/>
        </w:r>
        <w:r w:rsidR="00762F63">
          <w:rPr>
            <w:noProof/>
            <w:webHidden/>
          </w:rPr>
          <w:t>19</w:t>
        </w:r>
        <w:r w:rsidR="00762F63">
          <w:rPr>
            <w:noProof/>
            <w:webHidden/>
          </w:rPr>
          <w:fldChar w:fldCharType="end"/>
        </w:r>
      </w:hyperlink>
    </w:p>
    <w:p w14:paraId="0ED9478A" w14:textId="561933E4"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17" w:anchor="_Toc7299819" w:history="1">
        <w:r w:rsidR="00762F63" w:rsidRPr="009D0B8B">
          <w:rPr>
            <w:rStyle w:val="Hyperlink"/>
            <w:b/>
            <w:noProof/>
          </w:rPr>
          <w:t>Figure 10</w:t>
        </w:r>
        <w:r w:rsidR="00762F63" w:rsidRPr="009D0B8B">
          <w:rPr>
            <w:rStyle w:val="Hyperlink"/>
            <w:noProof/>
          </w:rPr>
          <w:t>. Wavelet power spectra for national time series of death rates from causes other than cancers, cardiorespiratory diseases and injuries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r w:rsidR="00762F63">
          <w:rPr>
            <w:noProof/>
            <w:webHidden/>
          </w:rPr>
          <w:tab/>
        </w:r>
        <w:r w:rsidR="00762F63">
          <w:rPr>
            <w:noProof/>
            <w:webHidden/>
          </w:rPr>
          <w:fldChar w:fldCharType="begin"/>
        </w:r>
        <w:r w:rsidR="00762F63">
          <w:rPr>
            <w:noProof/>
            <w:webHidden/>
          </w:rPr>
          <w:instrText xml:space="preserve"> PAGEREF _Toc7299819 \h </w:instrText>
        </w:r>
        <w:r w:rsidR="00762F63">
          <w:rPr>
            <w:noProof/>
            <w:webHidden/>
          </w:rPr>
        </w:r>
        <w:r w:rsidR="00762F63">
          <w:rPr>
            <w:noProof/>
            <w:webHidden/>
          </w:rPr>
          <w:fldChar w:fldCharType="separate"/>
        </w:r>
        <w:r w:rsidR="00762F63">
          <w:rPr>
            <w:noProof/>
            <w:webHidden/>
          </w:rPr>
          <w:t>20</w:t>
        </w:r>
        <w:r w:rsidR="00762F63">
          <w:rPr>
            <w:noProof/>
            <w:webHidden/>
          </w:rPr>
          <w:fldChar w:fldCharType="end"/>
        </w:r>
      </w:hyperlink>
    </w:p>
    <w:p w14:paraId="409A36F3" w14:textId="092E7F89"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18" w:anchor="_Toc7299820" w:history="1">
        <w:r w:rsidR="00762F63" w:rsidRPr="009D0B8B">
          <w:rPr>
            <w:rStyle w:val="Hyperlink"/>
            <w:b/>
            <w:noProof/>
          </w:rPr>
          <w:t>Figure 11</w:t>
        </w:r>
        <w:r w:rsidR="00762F63" w:rsidRPr="009D0B8B">
          <w:rPr>
            <w:rStyle w:val="Hyperlink"/>
            <w:noProof/>
          </w:rPr>
          <w:t>. Mean timing of maximum and minimum all-cause and cause-specific mortality at the national level, by sex and age group for 1980-2016. Red arrows indicate the month of maximum mortality, and green arrows that of minimum mortality. The size of the arrow is inversely proportional to its respective variance.</w:t>
        </w:r>
        <w:r w:rsidR="00762F63">
          <w:rPr>
            <w:noProof/>
            <w:webHidden/>
          </w:rPr>
          <w:tab/>
        </w:r>
        <w:r w:rsidR="00762F63">
          <w:rPr>
            <w:noProof/>
            <w:webHidden/>
          </w:rPr>
          <w:fldChar w:fldCharType="begin"/>
        </w:r>
        <w:r w:rsidR="00762F63">
          <w:rPr>
            <w:noProof/>
            <w:webHidden/>
          </w:rPr>
          <w:instrText xml:space="preserve"> PAGEREF _Toc7299820 \h </w:instrText>
        </w:r>
        <w:r w:rsidR="00762F63">
          <w:rPr>
            <w:noProof/>
            <w:webHidden/>
          </w:rPr>
        </w:r>
        <w:r w:rsidR="00762F63">
          <w:rPr>
            <w:noProof/>
            <w:webHidden/>
          </w:rPr>
          <w:fldChar w:fldCharType="separate"/>
        </w:r>
        <w:r w:rsidR="00762F63">
          <w:rPr>
            <w:noProof/>
            <w:webHidden/>
          </w:rPr>
          <w:t>22</w:t>
        </w:r>
        <w:r w:rsidR="00762F63">
          <w:rPr>
            <w:noProof/>
            <w:webHidden/>
          </w:rPr>
          <w:fldChar w:fldCharType="end"/>
        </w:r>
      </w:hyperlink>
    </w:p>
    <w:p w14:paraId="773ADC7E" w14:textId="60492BA3"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19" w:anchor="_Toc7299821" w:history="1">
        <w:r w:rsidR="00762F63" w:rsidRPr="009D0B8B">
          <w:rPr>
            <w:rStyle w:val="Hyperlink"/>
            <w:b/>
            <w:noProof/>
          </w:rPr>
          <w:t>Figure 12</w:t>
        </w:r>
        <w:r w:rsidR="00762F63" w:rsidRPr="009D0B8B">
          <w:rPr>
            <w:rStyle w:val="Hyperlink"/>
            <w:noProof/>
          </w:rPr>
          <w:t>. Mean timing of maximum all-cause mortality for 1980-2016, by climate region and age group for males. Average temperatures (in degrees Celsius) are included in white for the corresponding month of maximum and minimum mortality for each climate region.</w:t>
        </w:r>
        <w:r w:rsidR="00762F63">
          <w:rPr>
            <w:noProof/>
            <w:webHidden/>
          </w:rPr>
          <w:tab/>
        </w:r>
        <w:r w:rsidR="00762F63">
          <w:rPr>
            <w:noProof/>
            <w:webHidden/>
          </w:rPr>
          <w:fldChar w:fldCharType="begin"/>
        </w:r>
        <w:r w:rsidR="00762F63">
          <w:rPr>
            <w:noProof/>
            <w:webHidden/>
          </w:rPr>
          <w:instrText xml:space="preserve"> PAGEREF _Toc7299821 \h </w:instrText>
        </w:r>
        <w:r w:rsidR="00762F63">
          <w:rPr>
            <w:noProof/>
            <w:webHidden/>
          </w:rPr>
        </w:r>
        <w:r w:rsidR="00762F63">
          <w:rPr>
            <w:noProof/>
            <w:webHidden/>
          </w:rPr>
          <w:fldChar w:fldCharType="separate"/>
        </w:r>
        <w:r w:rsidR="00762F63">
          <w:rPr>
            <w:noProof/>
            <w:webHidden/>
          </w:rPr>
          <w:t>23</w:t>
        </w:r>
        <w:r w:rsidR="00762F63">
          <w:rPr>
            <w:noProof/>
            <w:webHidden/>
          </w:rPr>
          <w:fldChar w:fldCharType="end"/>
        </w:r>
      </w:hyperlink>
    </w:p>
    <w:p w14:paraId="2829D446" w14:textId="298E07AC"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20" w:anchor="_Toc7299822" w:history="1">
        <w:r w:rsidR="00762F63" w:rsidRPr="009D0B8B">
          <w:rPr>
            <w:rStyle w:val="Hyperlink"/>
            <w:b/>
            <w:noProof/>
          </w:rPr>
          <w:t>Figure 13</w:t>
        </w:r>
        <w:r w:rsidR="00762F63" w:rsidRPr="009D0B8B">
          <w:rPr>
            <w:rStyle w:val="Hyperlink"/>
            <w:noProof/>
          </w:rPr>
          <w:t>. Mean timing of minimum all-cause mortality for 1980-2016, by climate region and age group for males. Average temperatures (in degrees Celsius) are included in white for the corresponding month of maximum and minimum mortality for each climate region.</w:t>
        </w:r>
        <w:r w:rsidR="00762F63">
          <w:rPr>
            <w:noProof/>
            <w:webHidden/>
          </w:rPr>
          <w:tab/>
        </w:r>
        <w:r w:rsidR="00762F63">
          <w:rPr>
            <w:noProof/>
            <w:webHidden/>
          </w:rPr>
          <w:fldChar w:fldCharType="begin"/>
        </w:r>
        <w:r w:rsidR="00762F63">
          <w:rPr>
            <w:noProof/>
            <w:webHidden/>
          </w:rPr>
          <w:instrText xml:space="preserve"> PAGEREF _Toc7299822 \h </w:instrText>
        </w:r>
        <w:r w:rsidR="00762F63">
          <w:rPr>
            <w:noProof/>
            <w:webHidden/>
          </w:rPr>
        </w:r>
        <w:r w:rsidR="00762F63">
          <w:rPr>
            <w:noProof/>
            <w:webHidden/>
          </w:rPr>
          <w:fldChar w:fldCharType="separate"/>
        </w:r>
        <w:r w:rsidR="00762F63">
          <w:rPr>
            <w:noProof/>
            <w:webHidden/>
          </w:rPr>
          <w:t>24</w:t>
        </w:r>
        <w:r w:rsidR="00762F63">
          <w:rPr>
            <w:noProof/>
            <w:webHidden/>
          </w:rPr>
          <w:fldChar w:fldCharType="end"/>
        </w:r>
      </w:hyperlink>
    </w:p>
    <w:p w14:paraId="67C136B4" w14:textId="08C0399D"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21" w:anchor="_Toc7299823" w:history="1">
        <w:r w:rsidR="00762F63" w:rsidRPr="009D0B8B">
          <w:rPr>
            <w:rStyle w:val="Hyperlink"/>
            <w:b/>
            <w:noProof/>
          </w:rPr>
          <w:t>Figure 14</w:t>
        </w:r>
        <w:r w:rsidR="00762F63" w:rsidRPr="009D0B8B">
          <w:rPr>
            <w:rStyle w:val="Hyperlink"/>
            <w:noProof/>
          </w:rPr>
          <w:t>. Mean timing of maximum all-cause mortality for 1980-2016, by climate region and age group for females. Average temperatures (in degrees Celsius) are included in white for the corresponding month of maximum and minimum mortality for each climate region.</w:t>
        </w:r>
        <w:r w:rsidR="00762F63">
          <w:rPr>
            <w:noProof/>
            <w:webHidden/>
          </w:rPr>
          <w:tab/>
        </w:r>
        <w:r w:rsidR="00762F63">
          <w:rPr>
            <w:noProof/>
            <w:webHidden/>
          </w:rPr>
          <w:fldChar w:fldCharType="begin"/>
        </w:r>
        <w:r w:rsidR="00762F63">
          <w:rPr>
            <w:noProof/>
            <w:webHidden/>
          </w:rPr>
          <w:instrText xml:space="preserve"> PAGEREF _Toc7299823 \h </w:instrText>
        </w:r>
        <w:r w:rsidR="00762F63">
          <w:rPr>
            <w:noProof/>
            <w:webHidden/>
          </w:rPr>
        </w:r>
        <w:r w:rsidR="00762F63">
          <w:rPr>
            <w:noProof/>
            <w:webHidden/>
          </w:rPr>
          <w:fldChar w:fldCharType="separate"/>
        </w:r>
        <w:r w:rsidR="00762F63">
          <w:rPr>
            <w:noProof/>
            <w:webHidden/>
          </w:rPr>
          <w:t>25</w:t>
        </w:r>
        <w:r w:rsidR="00762F63">
          <w:rPr>
            <w:noProof/>
            <w:webHidden/>
          </w:rPr>
          <w:fldChar w:fldCharType="end"/>
        </w:r>
      </w:hyperlink>
    </w:p>
    <w:p w14:paraId="7A5C76D9" w14:textId="697B0C05"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22" w:anchor="_Toc7299824" w:history="1">
        <w:r w:rsidR="00762F63" w:rsidRPr="009D0B8B">
          <w:rPr>
            <w:rStyle w:val="Hyperlink"/>
            <w:b/>
            <w:noProof/>
          </w:rPr>
          <w:t>Figure 15</w:t>
        </w:r>
        <w:r w:rsidR="00762F63" w:rsidRPr="009D0B8B">
          <w:rPr>
            <w:rStyle w:val="Hyperlink"/>
            <w:noProof/>
          </w:rPr>
          <w:t>. Mean timing of minimum all-cause mortality for 1980-2016, by climate region and age group for females. Average temperatures (in degrees Celsius) are included in white for the corresponding month of maximum and minimum mortality for each climate region.</w:t>
        </w:r>
        <w:r w:rsidR="00762F63">
          <w:rPr>
            <w:noProof/>
            <w:webHidden/>
          </w:rPr>
          <w:tab/>
        </w:r>
        <w:r w:rsidR="00762F63">
          <w:rPr>
            <w:noProof/>
            <w:webHidden/>
          </w:rPr>
          <w:fldChar w:fldCharType="begin"/>
        </w:r>
        <w:r w:rsidR="00762F63">
          <w:rPr>
            <w:noProof/>
            <w:webHidden/>
          </w:rPr>
          <w:instrText xml:space="preserve"> PAGEREF _Toc7299824 \h </w:instrText>
        </w:r>
        <w:r w:rsidR="00762F63">
          <w:rPr>
            <w:noProof/>
            <w:webHidden/>
          </w:rPr>
        </w:r>
        <w:r w:rsidR="00762F63">
          <w:rPr>
            <w:noProof/>
            <w:webHidden/>
          </w:rPr>
          <w:fldChar w:fldCharType="separate"/>
        </w:r>
        <w:r w:rsidR="00762F63">
          <w:rPr>
            <w:noProof/>
            <w:webHidden/>
          </w:rPr>
          <w:t>26</w:t>
        </w:r>
        <w:r w:rsidR="00762F63">
          <w:rPr>
            <w:noProof/>
            <w:webHidden/>
          </w:rPr>
          <w:fldChar w:fldCharType="end"/>
        </w:r>
      </w:hyperlink>
    </w:p>
    <w:p w14:paraId="48484C68" w14:textId="7F4BF873" w:rsidR="00762F63" w:rsidRDefault="0002508A">
      <w:pPr>
        <w:pStyle w:val="TableofFigures"/>
        <w:tabs>
          <w:tab w:val="right" w:leader="dot" w:pos="9010"/>
        </w:tabs>
        <w:rPr>
          <w:rFonts w:asciiTheme="minorHAnsi" w:eastAsiaTheme="minorEastAsia" w:hAnsiTheme="minorHAnsi" w:cstheme="minorBidi"/>
          <w:noProof/>
          <w:sz w:val="24"/>
          <w:szCs w:val="24"/>
        </w:rPr>
      </w:pPr>
      <w:hyperlink r:id="rId23" w:anchor="_Toc7299825" w:history="1">
        <w:r w:rsidR="00762F63" w:rsidRPr="009D0B8B">
          <w:rPr>
            <w:rStyle w:val="Hyperlink"/>
            <w:b/>
            <w:noProof/>
          </w:rPr>
          <w:t>Figure 16</w:t>
        </w:r>
        <w:r w:rsidR="00762F63" w:rsidRPr="009D0B8B">
          <w:rPr>
            <w:rStyle w:val="Hyperlink"/>
            <w:noProof/>
          </w:rPr>
          <w:t>. The relationship between percent difference in all-cause death rates and temperature difference between months with maximum and minimum mortality across climate regions, by sex and age group in 2016.</w:t>
        </w:r>
        <w:r w:rsidR="00762F63">
          <w:rPr>
            <w:noProof/>
            <w:webHidden/>
          </w:rPr>
          <w:tab/>
        </w:r>
        <w:r w:rsidR="00762F63">
          <w:rPr>
            <w:noProof/>
            <w:webHidden/>
          </w:rPr>
          <w:fldChar w:fldCharType="begin"/>
        </w:r>
        <w:r w:rsidR="00762F63">
          <w:rPr>
            <w:noProof/>
            <w:webHidden/>
          </w:rPr>
          <w:instrText xml:space="preserve"> PAGEREF _Toc7299825 \h </w:instrText>
        </w:r>
        <w:r w:rsidR="00762F63">
          <w:rPr>
            <w:noProof/>
            <w:webHidden/>
          </w:rPr>
        </w:r>
        <w:r w:rsidR="00762F63">
          <w:rPr>
            <w:noProof/>
            <w:webHidden/>
          </w:rPr>
          <w:fldChar w:fldCharType="separate"/>
        </w:r>
        <w:r w:rsidR="00762F63">
          <w:rPr>
            <w:noProof/>
            <w:webHidden/>
          </w:rPr>
          <w:t>27</w:t>
        </w:r>
        <w:r w:rsidR="00762F63">
          <w:rPr>
            <w:noProof/>
            <w:webHidden/>
          </w:rPr>
          <w:fldChar w:fldCharType="end"/>
        </w:r>
      </w:hyperlink>
    </w:p>
    <w:p w14:paraId="18A80913" w14:textId="751A31C6" w:rsidR="00762F63" w:rsidRDefault="0002508A">
      <w:pPr>
        <w:pStyle w:val="TableofFigures"/>
        <w:tabs>
          <w:tab w:val="right" w:leader="dot" w:pos="9010"/>
        </w:tabs>
        <w:rPr>
          <w:rFonts w:asciiTheme="minorHAnsi" w:eastAsiaTheme="minorEastAsia" w:hAnsiTheme="minorHAnsi" w:cstheme="minorBidi"/>
          <w:noProof/>
          <w:sz w:val="24"/>
          <w:szCs w:val="24"/>
        </w:rPr>
      </w:pPr>
      <w:hyperlink w:anchor="_Toc7299826" w:history="1">
        <w:r w:rsidR="00762F63" w:rsidRPr="009D0B8B">
          <w:rPr>
            <w:rStyle w:val="Hyperlink"/>
            <w:b/>
            <w:noProof/>
          </w:rPr>
          <w:t>Figure 17</w:t>
        </w:r>
        <w:r w:rsidR="00762F63" w:rsidRPr="009D0B8B">
          <w:rPr>
            <w:rStyle w:val="Hyperlink"/>
            <w:noProof/>
          </w:rPr>
          <w:t>. National percent difference in death rates between the maximum and minimum mortality months for all-cause and cause-specific mortality in 2016 versus 1980, by sex and age group.</w:t>
        </w:r>
        <w:r w:rsidR="00762F63">
          <w:rPr>
            <w:noProof/>
            <w:webHidden/>
          </w:rPr>
          <w:tab/>
        </w:r>
        <w:r w:rsidR="00762F63">
          <w:rPr>
            <w:noProof/>
            <w:webHidden/>
          </w:rPr>
          <w:fldChar w:fldCharType="begin"/>
        </w:r>
        <w:r w:rsidR="00762F63">
          <w:rPr>
            <w:noProof/>
            <w:webHidden/>
          </w:rPr>
          <w:instrText xml:space="preserve"> PAGEREF _Toc7299826 \h </w:instrText>
        </w:r>
        <w:r w:rsidR="00762F63">
          <w:rPr>
            <w:noProof/>
            <w:webHidden/>
          </w:rPr>
        </w:r>
        <w:r w:rsidR="00762F63">
          <w:rPr>
            <w:noProof/>
            <w:webHidden/>
          </w:rPr>
          <w:fldChar w:fldCharType="separate"/>
        </w:r>
        <w:r w:rsidR="00762F63">
          <w:rPr>
            <w:noProof/>
            <w:webHidden/>
          </w:rPr>
          <w:t>29</w:t>
        </w:r>
        <w:r w:rsidR="00762F63">
          <w:rPr>
            <w:noProof/>
            <w:webHidden/>
          </w:rPr>
          <w:fldChar w:fldCharType="end"/>
        </w:r>
      </w:hyperlink>
    </w:p>
    <w:p w14:paraId="6BD35CDE" w14:textId="53245D3D" w:rsidR="00BB73E3" w:rsidRDefault="00B82FF5" w:rsidP="003D5182">
      <w:r w:rsidRPr="00755632">
        <w:fldChar w:fldCharType="end"/>
      </w:r>
    </w:p>
    <w:p w14:paraId="7D6E8FDA" w14:textId="77777777" w:rsidR="00762F63" w:rsidRDefault="00061A3A" w:rsidP="005660AA">
      <w:pPr>
        <w:pStyle w:val="Heading2"/>
        <w:suppressLineNumbers/>
        <w:rPr>
          <w:noProof/>
        </w:rPr>
      </w:pPr>
      <w:bookmarkStart w:id="1" w:name="_Toc7299796"/>
      <w:r>
        <w:t xml:space="preserve">List of </w:t>
      </w:r>
      <w:r w:rsidR="009E7EC8">
        <w:t>t</w:t>
      </w:r>
      <w:r>
        <w:t>ables</w:t>
      </w:r>
      <w:bookmarkEnd w:id="1"/>
      <w:r w:rsidR="00B82FF5" w:rsidRPr="00755632">
        <w:fldChar w:fldCharType="begin"/>
      </w:r>
      <w:r w:rsidR="00B82FF5" w:rsidRPr="00755632">
        <w:instrText xml:space="preserve"> TOC \h \z \c "Table" </w:instrText>
      </w:r>
      <w:r w:rsidR="00B82FF5" w:rsidRPr="00755632">
        <w:fldChar w:fldCharType="separate"/>
      </w:r>
    </w:p>
    <w:p w14:paraId="0AEF514B" w14:textId="0CCFF3BE" w:rsidR="001A4B51" w:rsidRDefault="00762F63" w:rsidP="003D5182">
      <w:r>
        <w:rPr>
          <w:b/>
          <w:bCs/>
          <w:noProof/>
          <w:lang w:val="en-US"/>
        </w:rPr>
        <w:t>No table of figures entries found.</w:t>
      </w:r>
      <w:r w:rsidR="00B82FF5" w:rsidRPr="00755632">
        <w:fldChar w:fldCharType="end"/>
      </w:r>
    </w:p>
    <w:p w14:paraId="0B23770C" w14:textId="77777777" w:rsidR="002D35A5" w:rsidRDefault="001A4B51" w:rsidP="001A4B51">
      <w:pPr>
        <w:pStyle w:val="Heading2"/>
      </w:pPr>
      <w:bookmarkStart w:id="2" w:name="_Toc7299797"/>
      <w:r>
        <w:t>List of equations</w:t>
      </w:r>
      <w:bookmarkEnd w:id="2"/>
    </w:p>
    <w:p w14:paraId="1D199FFE" w14:textId="04EF010B" w:rsidR="00762F63" w:rsidRDefault="002D35A5">
      <w:pPr>
        <w:pStyle w:val="TableofFigures"/>
        <w:tabs>
          <w:tab w:val="right" w:leader="dot" w:pos="9010"/>
        </w:tabs>
        <w:rPr>
          <w:rFonts w:asciiTheme="minorHAnsi" w:eastAsiaTheme="minorEastAsia" w:hAnsiTheme="minorHAnsi" w:cstheme="minorBidi"/>
          <w:noProof/>
          <w:sz w:val="24"/>
          <w:szCs w:val="24"/>
        </w:rPr>
      </w:pPr>
      <w:r>
        <w:fldChar w:fldCharType="begin"/>
      </w:r>
      <w:r>
        <w:instrText xml:space="preserve"> TOC \h \z \c "Equation" </w:instrText>
      </w:r>
      <w:r>
        <w:fldChar w:fldCharType="separate"/>
      </w:r>
      <w:hyperlink w:anchor="_Toc7299827" w:history="1">
        <w:r w:rsidR="00762F63" w:rsidRPr="00554219">
          <w:rPr>
            <w:rStyle w:val="Hyperlink"/>
            <w:b/>
            <w:noProof/>
          </w:rPr>
          <w:t>Equation 1</w:t>
        </w:r>
        <w:r w:rsidR="00762F63" w:rsidRPr="00554219">
          <w:rPr>
            <w:rStyle w:val="Hyperlink"/>
            <w:noProof/>
          </w:rPr>
          <w:t>. Circular mean calculation.</w:t>
        </w:r>
        <w:r w:rsidR="00762F63">
          <w:rPr>
            <w:noProof/>
            <w:webHidden/>
          </w:rPr>
          <w:tab/>
        </w:r>
        <w:r w:rsidR="00762F63">
          <w:rPr>
            <w:noProof/>
            <w:webHidden/>
          </w:rPr>
          <w:fldChar w:fldCharType="begin"/>
        </w:r>
        <w:r w:rsidR="00762F63">
          <w:rPr>
            <w:noProof/>
            <w:webHidden/>
          </w:rPr>
          <w:instrText xml:space="preserve"> PAGEREF _Toc7299827 \h </w:instrText>
        </w:r>
        <w:r w:rsidR="00762F63">
          <w:rPr>
            <w:noProof/>
            <w:webHidden/>
          </w:rPr>
        </w:r>
        <w:r w:rsidR="00762F63">
          <w:rPr>
            <w:noProof/>
            <w:webHidden/>
          </w:rPr>
          <w:fldChar w:fldCharType="separate"/>
        </w:r>
        <w:r w:rsidR="00762F63">
          <w:rPr>
            <w:noProof/>
            <w:webHidden/>
          </w:rPr>
          <w:t>8</w:t>
        </w:r>
        <w:r w:rsidR="00762F63">
          <w:rPr>
            <w:noProof/>
            <w:webHidden/>
          </w:rPr>
          <w:fldChar w:fldCharType="end"/>
        </w:r>
      </w:hyperlink>
    </w:p>
    <w:p w14:paraId="02019DD7" w14:textId="2622B8D6" w:rsidR="006675AE" w:rsidRDefault="002D35A5" w:rsidP="006675AE">
      <w:pPr>
        <w:pStyle w:val="Heading1"/>
        <w:spacing w:line="480" w:lineRule="auto"/>
        <w:jc w:val="both"/>
      </w:pPr>
      <w:r>
        <w:fldChar w:fldCharType="end"/>
      </w:r>
      <w:r w:rsidR="00C0748B" w:rsidRPr="00755632">
        <w:br w:type="page"/>
      </w:r>
    </w:p>
    <w:p w14:paraId="2A5ACAE5" w14:textId="0C8849AA" w:rsidR="006675AE" w:rsidRDefault="006675AE" w:rsidP="006675AE">
      <w:pPr>
        <w:pStyle w:val="Heading1"/>
        <w:numPr>
          <w:ilvl w:val="0"/>
          <w:numId w:val="42"/>
        </w:numPr>
        <w:jc w:val="both"/>
      </w:pPr>
      <w:bookmarkStart w:id="3" w:name="_Toc6045005"/>
      <w:bookmarkStart w:id="4" w:name="_Toc7299798"/>
      <w:bookmarkStart w:id="5" w:name="_Toc6045006"/>
      <w:r w:rsidRPr="00127064">
        <w:lastRenderedPageBreak/>
        <w:t xml:space="preserve">National and regional seasonal dynamics of all-cause and cause-specific mortality in the </w:t>
      </w:r>
      <w:bookmarkEnd w:id="3"/>
      <w:r w:rsidR="00CC6A64">
        <w:t>United States</w:t>
      </w:r>
      <w:bookmarkEnd w:id="4"/>
    </w:p>
    <w:p w14:paraId="6A6B2026" w14:textId="77777777" w:rsidR="006675AE" w:rsidRDefault="006675AE" w:rsidP="006675AE">
      <w:pPr>
        <w:pStyle w:val="Heading2"/>
      </w:pPr>
    </w:p>
    <w:p w14:paraId="1310F75B" w14:textId="46DB6980" w:rsidR="006675AE" w:rsidRPr="00127064" w:rsidRDefault="006675AE" w:rsidP="006675AE">
      <w:pPr>
        <w:pStyle w:val="Heading2"/>
      </w:pPr>
      <w:bookmarkStart w:id="6" w:name="_Toc7299799"/>
      <w:r w:rsidRPr="00127064">
        <w:t>Overview</w:t>
      </w:r>
      <w:bookmarkEnd w:id="5"/>
      <w:bookmarkEnd w:id="6"/>
    </w:p>
    <w:p w14:paraId="0CEE2505" w14:textId="36073AAE" w:rsidR="006675AE" w:rsidRDefault="006675AE" w:rsidP="00A417B7">
      <w:pPr>
        <w:spacing w:line="480" w:lineRule="auto"/>
        <w:ind w:firstLine="720"/>
        <w:jc w:val="both"/>
        <w:rPr>
          <w:sz w:val="24"/>
          <w:szCs w:val="24"/>
        </w:rPr>
      </w:pPr>
      <w:commentRangeStart w:id="7"/>
      <w:r w:rsidRPr="005660AA">
        <w:rPr>
          <w:sz w:val="24"/>
          <w:szCs w:val="24"/>
        </w:rPr>
        <w:t xml:space="preserve">In temperate climates, winter deaths exceed summer ones. However, there is limited information on how the timing and the relative magnitudes of minimum and maximum mortality, by local climate age group, sex and medical cause of death. </w:t>
      </w:r>
      <w:r w:rsidR="002A45D1">
        <w:rPr>
          <w:sz w:val="24"/>
          <w:szCs w:val="24"/>
        </w:rPr>
        <w:t>I</w:t>
      </w:r>
      <w:r w:rsidRPr="005660AA">
        <w:rPr>
          <w:sz w:val="24"/>
          <w:szCs w:val="24"/>
        </w:rPr>
        <w:t xml:space="preserve"> used geo-coded mortality data and wavelets to analyse the seasonality of mortality by age group and sex from 1980 to 2016 in </w:t>
      </w:r>
      <w:r w:rsidR="00B95A14">
        <w:rPr>
          <w:sz w:val="24"/>
          <w:szCs w:val="24"/>
        </w:rPr>
        <w:t>the United States</w:t>
      </w:r>
      <w:r w:rsidRPr="005660AA">
        <w:rPr>
          <w:sz w:val="24"/>
          <w:szCs w:val="24"/>
        </w:rPr>
        <w:t xml:space="preserve"> and its subnational climatic regions. Death rates in men and women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1990s. In adolescents and young adults, especially in males, death rates peaked in June/July and were lowest in December/January, driven by injury deaths.</w:t>
      </w:r>
      <w:commentRangeEnd w:id="7"/>
      <w:r w:rsidR="0002341C">
        <w:rPr>
          <w:rStyle w:val="CommentReference"/>
          <w:rFonts w:asciiTheme="minorHAnsi" w:eastAsiaTheme="minorHAnsi" w:hAnsiTheme="minorHAnsi" w:cstheme="minorBidi"/>
        </w:rPr>
        <w:commentReference w:id="7"/>
      </w:r>
    </w:p>
    <w:p w14:paraId="6D885487" w14:textId="0EAAA39F" w:rsidR="003A4BA3" w:rsidRPr="005660AA" w:rsidRDefault="003A4BA3" w:rsidP="00A417B7">
      <w:pPr>
        <w:spacing w:line="480" w:lineRule="auto"/>
        <w:ind w:firstLine="720"/>
        <w:jc w:val="both"/>
        <w:rPr>
          <w:sz w:val="24"/>
          <w:szCs w:val="24"/>
        </w:rPr>
      </w:pPr>
      <w:commentRangeStart w:id="8"/>
      <w:r>
        <w:rPr>
          <w:sz w:val="24"/>
          <w:szCs w:val="24"/>
        </w:rPr>
        <w:t xml:space="preserve">This chapter is based on work I </w:t>
      </w:r>
      <w:r w:rsidR="002727F2">
        <w:rPr>
          <w:sz w:val="24"/>
          <w:szCs w:val="24"/>
        </w:rPr>
        <w:t xml:space="preserve">had </w:t>
      </w:r>
      <w:r>
        <w:rPr>
          <w:sz w:val="24"/>
          <w:szCs w:val="24"/>
        </w:rPr>
        <w:t xml:space="preserve">originally published as first author </w:t>
      </w:r>
      <w:r w:rsidR="00DB423F">
        <w:rPr>
          <w:sz w:val="24"/>
          <w:szCs w:val="24"/>
        </w:rPr>
        <w:fldChar w:fldCharType="begin" w:fldLock="1"/>
      </w:r>
      <w:r w:rsidR="00DB423F">
        <w:rPr>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Bennett, Foreman, Toumi, &amp; Ezzati, 2018)","plainTextFormattedCitation":"(Parks, Bennett, Foreman, Toumi, &amp; Ezzati, 2018)"},"properties":{"noteIndex":0},"schema":"https://github.com/citation-style-language/schema/raw/master/csl-citation.json"}</w:instrText>
      </w:r>
      <w:r w:rsidR="00DB423F">
        <w:rPr>
          <w:sz w:val="24"/>
          <w:szCs w:val="24"/>
        </w:rPr>
        <w:fldChar w:fldCharType="separate"/>
      </w:r>
      <w:r w:rsidR="00DB423F" w:rsidRPr="00DB423F">
        <w:rPr>
          <w:noProof/>
          <w:sz w:val="24"/>
          <w:szCs w:val="24"/>
        </w:rPr>
        <w:t>(Parks, Bennett, Foreman, Toumi, &amp; Ezzati, 2018)</w:t>
      </w:r>
      <w:r w:rsidR="00DB423F">
        <w:rPr>
          <w:sz w:val="24"/>
          <w:szCs w:val="24"/>
        </w:rPr>
        <w:fldChar w:fldCharType="end"/>
      </w:r>
      <w:r>
        <w:rPr>
          <w:sz w:val="24"/>
          <w:szCs w:val="24"/>
        </w:rPr>
        <w:t>.</w:t>
      </w:r>
      <w:commentRangeEnd w:id="8"/>
      <w:r w:rsidR="0002341C">
        <w:rPr>
          <w:rStyle w:val="CommentReference"/>
          <w:rFonts w:asciiTheme="minorHAnsi" w:eastAsiaTheme="minorHAnsi" w:hAnsiTheme="minorHAnsi" w:cstheme="minorBidi"/>
        </w:rPr>
        <w:commentReference w:id="8"/>
      </w:r>
    </w:p>
    <w:p w14:paraId="270EFBD2" w14:textId="79B472AD" w:rsidR="006675AE" w:rsidRPr="00127064" w:rsidRDefault="006675AE" w:rsidP="006675AE">
      <w:pPr>
        <w:pStyle w:val="Heading2"/>
      </w:pPr>
      <w:bookmarkStart w:id="9" w:name="_Toc6045007"/>
      <w:bookmarkStart w:id="10" w:name="_Toc7299800"/>
      <w:r w:rsidRPr="00127064">
        <w:t>Introduction</w:t>
      </w:r>
      <w:bookmarkEnd w:id="9"/>
      <w:bookmarkEnd w:id="10"/>
    </w:p>
    <w:p w14:paraId="04DF7A50" w14:textId="2D46B2DE" w:rsidR="006675AE" w:rsidRPr="00097CA5" w:rsidRDefault="006675AE" w:rsidP="005B5045">
      <w:pPr>
        <w:spacing w:line="480" w:lineRule="auto"/>
        <w:ind w:firstLine="720"/>
        <w:jc w:val="both"/>
        <w:rPr>
          <w:sz w:val="24"/>
          <w:szCs w:val="24"/>
        </w:rPr>
      </w:pPr>
      <w:r w:rsidRPr="00097CA5">
        <w:rPr>
          <w:sz w:val="24"/>
          <w:szCs w:val="24"/>
        </w:rPr>
        <w:t xml:space="preserve">It is well-established that death rates vary throughout the year, and in temperate climates there tend to be more deaths in winter than in summer </w:t>
      </w:r>
      <w:r w:rsidRPr="00097CA5">
        <w:rPr>
          <w:sz w:val="24"/>
          <w:szCs w:val="24"/>
        </w:rPr>
        <w:fldChar w:fldCharType="begin" w:fldLock="1"/>
      </w:r>
      <w:r w:rsidRPr="00097CA5">
        <w:rPr>
          <w:sz w:val="24"/>
          <w:szCs w:val="24"/>
        </w:rPr>
        <w:instrText>ADDIN CSL_CITATION {"citationItems":[{"id":"ITEM-1","itemData":{"DOI":"10.1007/BF00156826","ISSN":"03922990","abstract":"There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Epidemiology","id":"ITEM-1","issue":"2","issued":{"date-parts":[["1989"]]},"page":"178-182","title":"Deaths in winter: Can Britain learn from Europe?","type":"article-journal","volume":"5"},"uris":["http://www.mendeley.com/documents/?uuid=3cd840a5-addb-4d68-9dcf-039d2f2f1220"]},{"id":"ITEM-2","itemData":{"DOI":"10.1136/jech.57.10.784","ISBN":"0143-005X","ISSN":"0143005X","PMID":"14573581","abstract":"OBJECTIVE: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(final)","type":"article-journal"},"uris":["http://www.mendeley.com/documents/?uuid=2a758779-bddf-4c37-a907-4fb36862c28f"]},{"id":"ITEM-4","itemData":{"DOI":"10.1093/eurpub/cku073","ISBN":"1464-360X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Health","id":"ITEM-4","issue":"2","issued":{"date-parts":[["2015"]]},"page":"339-345","title":"Excess winter deaths in Europe: A multi-country descriptive analysis","type":"article-journal","volume":"25"},"uris":["http://www.mendeley.com/documents/?uuid=b30766a9-cdc0-41a0-95d8-1ca7a2391ddd"]}],"mendeley":{"formattedCitation":"(Campbell, 2017; Fowler et al., 2015; Healy, 2003; McKee, 1989)","plainTextFormattedCitation":"(Campbell, 2017; Fowler et al., 2015; Healy, 2003; McKee, 1989)","previouslyFormattedCitation":"(Campbell, 2017; Fowler et al., 2015; Healy, 2003; McKee, 1989)"},"properties":{"noteIndex":0},"schema":"https://github.com/citation-style-language/schema/raw/master/csl-citation.json"}</w:instrText>
      </w:r>
      <w:r w:rsidRPr="00097CA5">
        <w:rPr>
          <w:sz w:val="24"/>
          <w:szCs w:val="24"/>
        </w:rPr>
        <w:fldChar w:fldCharType="separate"/>
      </w:r>
      <w:r w:rsidRPr="00097CA5">
        <w:rPr>
          <w:noProof/>
          <w:sz w:val="24"/>
          <w:szCs w:val="24"/>
        </w:rPr>
        <w:t>(Campbell, 2017; Fowler et al., 2015; Healy, 2003; McKee, 1989)</w:t>
      </w:r>
      <w:r w:rsidRPr="00097CA5">
        <w:rPr>
          <w:sz w:val="24"/>
          <w:szCs w:val="24"/>
        </w:rPr>
        <w:fldChar w:fldCharType="end"/>
      </w:r>
      <w:r w:rsidRPr="00097CA5">
        <w:rPr>
          <w:sz w:val="24"/>
          <w:szCs w:val="24"/>
        </w:rPr>
        <w:t xml:space="preserve">. It has therefore been hypothesized that a warmer world may lower winter mortality in temperate climates </w:t>
      </w:r>
      <w:r w:rsidRPr="00097CA5">
        <w:rPr>
          <w:sz w:val="24"/>
          <w:szCs w:val="24"/>
        </w:rPr>
        <w:fldChar w:fldCharType="begin" w:fldLock="1"/>
      </w:r>
      <w:r w:rsidRPr="00097CA5">
        <w:rPr>
          <w:sz w:val="24"/>
          <w:szCs w:val="24"/>
        </w:rPr>
        <w:instrText>ADDIN CSL_CITATION {"citationItems":[{"id":"ITEM-1","itemData":{"ISSN":"0020-7128 (Print) 0020-7128 (Linking)","abstract":"In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climate.","author":[{"dropping-particle":"","family":"Langford","given":"I H","non-dropping-particle":"","parse-names":false,"suffix":""},{"dropping-particle":"","family":"Bentham","given":"G","non-dropping-particle":"","parse-names":false,"suffix":""}],"container-title":"Int J Biometeorol","id":"ITEM-1","issue":"3","issued":{"date-parts":[["1995"]]},"note":"Langford, I H\nBentham, G\neng\nReview\n1995/03/01\nInt J Biometeorol. 1995 Mar;38(3):141-7.","page":"141-147","publisher-place":"Health Policy and Practice Unit, School of Health and Social Work, University of East Anglia, Norwich, UK.","title":"The potential effects of climate change on winter mortality in England and Wales","type":"article-journal","volume":"38"},"uris":["http://www.mendeley.com/documents/?uuid=3126ff34-727a-4f7c-b241-0a13146aa5a7"]},{"id":"ITEM-2","itemData":{"ISSN":"0277-9536 (Print) 0277-9536 (Linking)","abstract":"One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populations.","author":[{"dropping-particle":"","family":"Martens","given":"W J","non-dropping-particle":"","parse-names":false,"suffix":""}],"container-title":"Soc Sci Med","id":"ITEM-2","issue":"3","issued":{"date-parts":[["1998"]]},"note":"Martens, W J\neng\nMeta-Analysis\nEngland\n1998/02/14\nSoc Sci Med. 1998 Feb;46(3):331-44.","page":"331-344","publisher-place":"Maastricht University, Department of Mathematics, The Netherlands.","title":"Climate change, thermal stress and mortality changes","type":"article-journal","volume":"46"},"uris":["http://www.mendeley.com/documents/?uuid=0a2cb328-6536-42c0-8ca8-ff67ad1e97dd"]}],"mendeley":{"formattedCitation":"(Langford &amp; Bentham, 1995; Martens, 1998)","plainTextFormattedCitation":"(Langford &amp; Bentham, 1995; Martens, 1998)","previouslyFormattedCitation":"(Langford &amp; Bentham, 1995; Martens, 1998)"},"properties":{"noteIndex":0},"schema":"https://github.com/citation-style-language/schema/raw/master/csl-citation.json"}</w:instrText>
      </w:r>
      <w:r w:rsidRPr="00097CA5">
        <w:rPr>
          <w:sz w:val="24"/>
          <w:szCs w:val="24"/>
        </w:rPr>
        <w:fldChar w:fldCharType="separate"/>
      </w:r>
      <w:r w:rsidRPr="00097CA5">
        <w:rPr>
          <w:noProof/>
          <w:sz w:val="24"/>
          <w:szCs w:val="24"/>
        </w:rPr>
        <w:t>(Langford &amp; Bentham, 1995; Martens, 1998)</w:t>
      </w:r>
      <w:r w:rsidRPr="00097CA5">
        <w:rPr>
          <w:sz w:val="24"/>
          <w:szCs w:val="24"/>
        </w:rPr>
        <w:fldChar w:fldCharType="end"/>
      </w:r>
      <w:r w:rsidRPr="00097CA5">
        <w:rPr>
          <w:sz w:val="24"/>
          <w:szCs w:val="24"/>
        </w:rPr>
        <w:t xml:space="preserve">. In a large country like the </w:t>
      </w:r>
      <w:r w:rsidR="00D94A51">
        <w:rPr>
          <w:sz w:val="24"/>
          <w:szCs w:val="24"/>
        </w:rPr>
        <w:t>United States</w:t>
      </w:r>
      <w:r w:rsidRPr="00097CA5">
        <w:rPr>
          <w:sz w:val="24"/>
          <w:szCs w:val="24"/>
        </w:rPr>
        <w:t xml:space="preserve">, which possesses distinct climate regions, the seasonality of mortality may vary geographically, due to geographical variations in mortality, localized weather patterns, and regional differences in adaptation measures such as heating, </w:t>
      </w:r>
      <w:r w:rsidRPr="00097CA5">
        <w:rPr>
          <w:sz w:val="24"/>
          <w:szCs w:val="24"/>
        </w:rPr>
        <w:lastRenderedPageBreak/>
        <w:t xml:space="preserve">air conditioning and healthcare </w:t>
      </w:r>
      <w:r w:rsidRPr="00097CA5">
        <w:rPr>
          <w:sz w:val="24"/>
          <w:szCs w:val="24"/>
        </w:rPr>
        <w:fldChar w:fldCharType="begin" w:fldLock="1"/>
      </w:r>
      <w:r w:rsidR="00DB423F">
        <w:rPr>
          <w:sz w:val="24"/>
          <w:szCs w:val="24"/>
        </w:rPr>
        <w:instrText>ADDIN CSL_CITATION {"citationItems":[{"id":"ITEM-1","itemData":{"DOI":"10.3354/cr026061","ISBN":"0936-577X","ISSN":"0936-577X","abstract":"Human mortality in US cities is highest on extremely hot, humid summer days, but in general, winter-mortality rates are significantly higher than summer rates. The observed winter-dominant warming pattern, which has been linked to increasing greenhouse-gas concentrations, has led some researchers to propose future mortality decreases, while others contend that increasing heat-related mortality in summer will more than offset any winter-mortality reductions. Because winter mortality is only weakly linked to daily weather, we examine the seasonality of mortality using monthly data for 28 major US cities from 1964 to 1998. Daily all-causes mortality counts are age-standardized, aggregated monthly, and related to mean monthly 07:00 h local standard time (LST) air temperature in each city. The climate-mortality seasonality patterns are examined for spatial and temporal (decadal-scale) variability, and the impact of climate change on mortality rates is investigated after an approximation of the inherent technology/adaptation trend is removed from the monthly time series. Mortality seasonality varies little between most US cities with comparable climates. By the 1990s, monthly mortality anomalies were similar between all cities regardless of climate, suggesting there is no net mortality benefit to be derived from a location's climate. After removing the impact of long-term declining mortality rates, some statistically significant monthly climate-mortality relationships remain in most cities, with generally positive temperature-mortality relationships in summer and negative relationships in winter. Future mortality could be reduced with a winter-dominant warming but increase with pronounced summer warming. In each case, however, net future climate-related mortality rates are very low relative to the baseline death rate, indicating that climate change will have little impact in defining future mortality patterns in US cities.","author":[{"dropping-particle":"","family":"Davis","given":"Robert E.","non-dropping-particle":"","parse-names":false,"suffix":""},{"dropping-particle":"","family":"Knappenberger","given":"Paul C.","non-dropping-particle":"","parse-names":false,"suffix":""},{"dropping-particle":"","family":"Michaels","given":"Patrick J.","non-dropping-particle":"","parse-names":false,"suffix":""},{"dropping-particle":"","family":"Novicoff","given":"Wendy M.","non-dropping-particle":"","parse-names":false,"suffix":""}],"container-title":"Climate Research","id":"ITEM-1","issue":"1","issued":{"date-parts":[["2004"]]},"page":"61-76","title":"Seasonality of climate-human mortality relationships in US cities and impacts of climate change","type":"article-journal","volume":"26"},"uris":["http://www.mendeley.com/documents/?uuid=4fd8f1be-8711-4de3-b971-6e7b0a9a3bfe"]},{"id":"ITEM-2","itemData":{"DOI":"10.1136/oem.2007.033175","ISBN":"1470-7926","ISSN":"13510711","PMID":"17600037","abstract":"OBJECTIVES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6 513 330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author":[{"dropping-particle":"","family":"Medina-Ramón","given":"M.","non-dropping-particle":"","parse-names":false,"suffix":""},{"dropping-particle":"","family":"Schwartz","given":"J.","non-dropping-particle":"","parse-names":false,"suffix":""}],"container-title":"Occupational and Environmental Medicine","id":"ITEM-2","issue":"12","issued":{"date-parts":[["2007"]]},"page":"827-833","title":"Temperature, temperature extremes, and mortality: A study of acclimatisation and effect modification in 50 US cities","type":"article-journal","volume":"64"},"uris":["http://www.mendeley.com/documents/?uuid=a23bd195-1d02-4ac9-86f6-d82065b33b29"]},{"id":"ITEM-3","itemData":{"DOI":"10.1371/journal.pone.0063971","ISBN":"1932-6203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Areas","type":"article-journal","volume":"8"},"uris":["http://www.mendeley.com/documents/?uuid=50b74cb8-33dd-4519-ac6d-9a36289002e0"]},{"id":"ITEM-4","itemData":{"DOI":"10.1097/00001648-200111000-00014","ISBN":"1044-3983","ISSN":"10443983","PMID":"11679794","abstract":"We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harvesting.","author":[{"dropping-particle":"","family":"Ferreira Braga","given":"Alf??sio Lu??s","non-dropping-particle":"","parse-names":false,"suffix":""},{"dropping-particle":"","family":"Zanobetti","given":"Antonella","non-dropping-particle":"","parse-names":false,"suffix":""},{"dropping-particle":"","family":"Schwartz","given":"Joel","non-dropping-particle":"","parse-names":false,"suffix":""}],"container-title":"Epidemiology","id":"ITEM-4","issue":"6","issued":{"date-parts":[["2001"]]},"page":"662-667","title":"The time course of weather-related deaths","type":"article-journal","volume":"12"},"uris":["http://www.mendeley.com/documents/?uuid=be110b7e-0808-41cf-85b9-f62c55bb14c9"]}],"mendeley":{"formattedCitation":"(Davis, Knappenberger, Michaels, &amp; Novicoff, 2004; Ferreira Braga, Zanobetti, &amp; Schwartz, 2001; Kalkstein, 2013; Medina-Ramón &amp; Schwartz, 2007)","plainTextFormattedCitation":"(Davis, Knappenberger, Michaels, &amp; Novicoff, 2004; Ferreira Braga, Zanobetti, &amp; Schwartz, 2001; Kalkstein, 2013; Medina-Ramón &amp; Schwartz, 2007)","previouslyFormattedCitation":"(Davis, Knappenberger, Michaels, &amp; Novicoff, 2004; Ferreira Braga, Zanobetti, &amp; Schwartz, 2001; Kalkstein, 2013; Medina-Ramón &amp; Schwartz, 2007)"},"properties":{"noteIndex":0},"schema":"https://github.com/citation-style-language/schema/raw/master/csl-citation.json"}</w:instrText>
      </w:r>
      <w:r w:rsidRPr="00097CA5">
        <w:rPr>
          <w:sz w:val="24"/>
          <w:szCs w:val="24"/>
        </w:rPr>
        <w:fldChar w:fldCharType="separate"/>
      </w:r>
      <w:r w:rsidRPr="00097CA5">
        <w:rPr>
          <w:noProof/>
          <w:sz w:val="24"/>
          <w:szCs w:val="24"/>
        </w:rPr>
        <w:t>(Davis, Knappenberger, Michaels, &amp; Novicoff, 2004; Ferreira Braga, Zanobetti, &amp; Schwartz, 2001; Kalkstein, 2013; Medina-Ramón &amp; Schwartz, 2007)</w:t>
      </w:r>
      <w:r w:rsidRPr="00097CA5">
        <w:rPr>
          <w:sz w:val="24"/>
          <w:szCs w:val="24"/>
        </w:rPr>
        <w:fldChar w:fldCharType="end"/>
      </w:r>
      <w:r w:rsidRPr="00097CA5">
        <w:rPr>
          <w:sz w:val="24"/>
          <w:szCs w:val="24"/>
        </w:rPr>
        <w:t xml:space="preserve">. The presence and extent of seasonal variation in mortality may also itself change over time </w:t>
      </w:r>
      <w:r w:rsidRPr="00097CA5">
        <w:rPr>
          <w:sz w:val="24"/>
          <w:szCs w:val="24"/>
        </w:rPr>
        <w:fldChar w:fldCharType="begin" w:fldLock="1"/>
      </w:r>
      <w:r w:rsidRPr="00097CA5">
        <w:rPr>
          <w:sz w:val="24"/>
          <w:szCs w:val="24"/>
        </w:rPr>
        <w:instrText>ADDIN CSL_CITATION {"citationItems":[{"id":"ITEM-1","itemData":{"DOI":"10.1001/jama.1997.03550120072036","ISSN":"0098-7484","author":[{"dropping-particle":"","family":"Seretakis","given":"Dimitrios","non-dropping-particle":"","parse-names":false,"suffix":""}],"container-title":"JAMA: The Journal of the American Medical Association","id":"ITEM-1","issue":"12","issued":{"date-parts":[["1997"]]},"page":"1012","title":"Changing Seasonality of Mortality From Coronary Heart Disease","type":"article-journal","volume":"278"},"uris":["http://www.mendeley.com/documents/?uuid=f8f1d39a-cba5-4b07-8183-8e346932439a"]},{"id":"ITEM-2","itemData":{"DOI":"10.1093/aje/kwj147","ISBN":"0002-9262 (Print) 0002-9262 (Linking)","ISSN":"00029262","PMID":"16624968","abstract":"The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author":[{"dropping-particle":"","family":"Carson","given":"Claire","non-dropping-particle":"","parse-names":false,"suffix":""},{"dropping-particle":"","family":"Hajat","given":"Shakoor","non-dropping-particle":"","parse-names":false,"suffix":""},{"dropping-particle":"","family":"Armstrong","given":"Ben","non-dropping-particle":"","parse-names":false,"suffix":""},{"dropping-particle":"","family":"Wilkinson","given":"Paul","non-dropping-particle":"","parse-names":false,"suffix":""}],"container-title":"American Journal of Epidemiology","id":"ITEM-2","issue":"1","issued":{"date-parts":[["2006"]]},"page":"77-84","title":"Declining vulnerability to temperature-related mortality in London over the 20th century","type":"article-journal","volume":"164"},"uris":["http://www.mendeley.com/documents/?uuid=c909b360-8d2b-4aac-a03d-eb05b74619ee"]},{"id":"ITEM-3","itemData":{"DOI":"10.1007/s11069-008-9327-2","ISBN":"0921-030X","ISSN":"0921030X","PMID":"282","abstract":"This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“oppressive”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events.","author":[{"dropping-particle":"","family":"Sheridan","given":"Scott C.","non-dropping-particle":"","parse-names":false,"suffix":""},{"dropping-particle":"","family":"Kalkstein","given":"Adam J.","non-dropping-particle":"","parse-names":false,"suffix":""},{"dropping-particle":"","family":"Kalkstein","given":"Laurence S.","non-dropping-particle":"","parse-names":false,"suffix":""}],"container-title":"Natural Hazards","id":"ITEM-3","issue":"1","issued":{"date-parts":[["2009"]]},"page":"145-160","title":"Trends in heat-related mortality in the United States, 1975-2004","type":"article-journal","volume":"50"},"uris":["http://www.mendeley.com/documents/?uuid=eb3d5076-8711-4144-af91-fba1e56f2993"]},{"id":"ITEM-4","itemData":{"DOI":"10.1289/ehp.1307392","ISBN":"00916765","ISSN":"15529924","PMID":"24780880","abstract":"BACKGROUND: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10°F increase in same-day temperature decreased from 51 [95% posterior interval (PI): 42, 61] in 1987 to 19 (95% PI: 12, 27) in 2005. This decline was largest among those ≥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5°F (central climate projection) would lead to an additional 1,907 deaths per summer across all cities.","author":[{"dropping-particle":"","family":"Bobb","given":"Jennifer F.","non-dropping-particle":"","parse-names":false,"suffix":""},{"dropping-particle":"","family":"Peng","given":"Roger D.","non-dropping-particle":"","parse-names":false,"suffix":""},{"dropping-particle":"","family":"Bell","given":"Michelle L.","non-dropping-particle":"","parse-names":false,"suffix":""},{"dropping-particle":"","family":"Dominici","given":"Francesca","non-dropping-particle":"","parse-names":false,"suffix":""}],"container-title":"Environmental Health Perspectives","id":"ITEM-4","issue":"8","issued":{"date-parts":[["2014"]]},"page":"811-816","title":"Heat-related mortality and adaptation to heat in the United States","type":"article-journal","volume":"122"},"uris":["http://www.mendeley.com/documents/?uuid=c9f7dbd2-00af-408a-a3fa-10494a700366"]}],"mendeley":{"formattedCitation":"(Bobb, Peng, Bell, &amp; Dominici, 2014; Carson, Hajat, Armstrong, &amp; Wilkinson, 2006; Seretakis, 1997; Sheridan, Kalkstein, &amp; Kalkstein, 2009)","plainTextFormattedCitation":"(Bobb, Peng, Bell, &amp; Dominici, 2014; Carson, Hajat, Armstrong, &amp; Wilkinson, 2006; Seretakis, 1997; Sheridan, Kalkstein, &amp; Kalkstein, 2009)","previouslyFormattedCitation":"(Bobb, Peng, Bell, &amp; Dominici, 2014; Carson, Hajat, Armstrong, &amp; Wilkinson, 2006; Seretakis, 1997; Sheridan, Kalkstein, &amp; Kalkstein, 2009)"},"properties":{"noteIndex":0},"schema":"https://github.com/citation-style-language/schema/raw/master/csl-citation.json"}</w:instrText>
      </w:r>
      <w:r w:rsidRPr="00097CA5">
        <w:rPr>
          <w:sz w:val="24"/>
          <w:szCs w:val="24"/>
        </w:rPr>
        <w:fldChar w:fldCharType="separate"/>
      </w:r>
      <w:r w:rsidRPr="00097CA5">
        <w:rPr>
          <w:noProof/>
          <w:sz w:val="24"/>
          <w:szCs w:val="24"/>
        </w:rPr>
        <w:t>(Bobb, Peng, Bell, &amp; Dominici, 2014; Carson, Hajat, Armstrong, &amp; Wilkinson, 2006; Seretakis, 1997; Sheridan, Kalkstein, &amp; Kalkstein, 2009)</w:t>
      </w:r>
      <w:r w:rsidRPr="00097CA5">
        <w:rPr>
          <w:sz w:val="24"/>
          <w:szCs w:val="24"/>
        </w:rPr>
        <w:fldChar w:fldCharType="end"/>
      </w:r>
      <w:r w:rsidRPr="00097CA5">
        <w:rPr>
          <w:sz w:val="24"/>
          <w:szCs w:val="24"/>
        </w:rPr>
        <w:t>.</w:t>
      </w:r>
    </w:p>
    <w:p w14:paraId="0C640C6F" w14:textId="71349996" w:rsidR="006675AE" w:rsidRPr="00097CA5" w:rsidRDefault="006675AE" w:rsidP="005B5045">
      <w:pPr>
        <w:spacing w:line="480" w:lineRule="auto"/>
        <w:ind w:firstLine="720"/>
        <w:jc w:val="both"/>
        <w:rPr>
          <w:sz w:val="24"/>
          <w:szCs w:val="24"/>
        </w:rPr>
      </w:pPr>
      <w:r w:rsidRPr="00097CA5">
        <w:rPr>
          <w:sz w:val="24"/>
          <w:szCs w:val="24"/>
        </w:rPr>
        <w:t xml:space="preserve">A thorough understanding of the long-term dynamics of seasonality of mortality, and its geographical and demographic patterns, is needed to identify at-risk groups, plan responses at the present time as well as under changing climate conditions. </w:t>
      </w:r>
      <w:r w:rsidRPr="00097CA5" w:rsidDel="007B3AFF">
        <w:rPr>
          <w:sz w:val="24"/>
          <w:szCs w:val="24"/>
        </w:rPr>
        <w:t xml:space="preserve">Although mortality seasonality is well-established, there is limited information on how </w:t>
      </w:r>
      <w:r w:rsidRPr="00097CA5">
        <w:rPr>
          <w:sz w:val="24"/>
          <w:szCs w:val="24"/>
        </w:rPr>
        <w:t>seasonality, including the timing of minimum and maximum mortality,</w:t>
      </w:r>
      <w:r w:rsidRPr="00097CA5" w:rsidDel="007B3AFF">
        <w:rPr>
          <w:sz w:val="24"/>
          <w:szCs w:val="24"/>
        </w:rPr>
        <w:t xml:space="preserve"> varies by local climate and how </w:t>
      </w:r>
      <w:r w:rsidRPr="00097CA5">
        <w:rPr>
          <w:sz w:val="24"/>
          <w:szCs w:val="24"/>
        </w:rPr>
        <w:t>these features</w:t>
      </w:r>
      <w:r w:rsidRPr="00097CA5" w:rsidDel="007B3AFF">
        <w:rPr>
          <w:sz w:val="24"/>
          <w:szCs w:val="24"/>
        </w:rPr>
        <w:t xml:space="preserve"> ha</w:t>
      </w:r>
      <w:r w:rsidRPr="00097CA5">
        <w:rPr>
          <w:sz w:val="24"/>
          <w:szCs w:val="24"/>
        </w:rPr>
        <w:t>ve</w:t>
      </w:r>
      <w:r w:rsidRPr="00097CA5" w:rsidDel="007B3AFF">
        <w:rPr>
          <w:sz w:val="24"/>
          <w:szCs w:val="24"/>
        </w:rPr>
        <w:t xml:space="preserve"> changed over time, especially in relation to age</w:t>
      </w:r>
      <w:r w:rsidRPr="00097CA5">
        <w:rPr>
          <w:sz w:val="24"/>
          <w:szCs w:val="24"/>
        </w:rPr>
        <w:t xml:space="preserve"> </w:t>
      </w:r>
      <w:r w:rsidRPr="00097CA5" w:rsidDel="007B3AFF">
        <w:rPr>
          <w:sz w:val="24"/>
          <w:szCs w:val="24"/>
        </w:rPr>
        <w:t>group, sex and medical cause of death</w:t>
      </w:r>
      <w:r w:rsidRPr="00097CA5">
        <w:rPr>
          <w:sz w:val="24"/>
          <w:szCs w:val="24"/>
        </w:rPr>
        <w:t xml:space="preserve"> </w:t>
      </w:r>
      <w:r w:rsidRPr="00097CA5">
        <w:rPr>
          <w:sz w:val="24"/>
          <w:szCs w:val="24"/>
        </w:rPr>
        <w:fldChar w:fldCharType="begin" w:fldLock="1"/>
      </w:r>
      <w:r w:rsidR="00DB423F">
        <w:rPr>
          <w:sz w:val="24"/>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approach","type":"article-journal","volume":"PhD"},"uris":["http://www.mendeley.com/documents/?uuid=735ffa52-a2fc-4bed-ab59-d84289752b70"]}],"mendeley":{"formattedCitation":"(Rau, 2004; Rau, Bohk-Ewald, Muszyńska, &amp; Vaupel, 2018)","plainTextFormattedCitation":"(Rau, 2004; Rau, Bohk-Ewald, Muszyńska, &amp; Vaupel, 2018)","previouslyFormattedCitation":"(Rau, 2004; Rau, Bohk-Ewald, Muszyńska, &amp; Vaupel, 2018)"},"properties":{"noteIndex":0},"schema":"https://github.com/citation-style-language/schema/raw/master/csl-citation.json"}</w:instrText>
      </w:r>
      <w:r w:rsidRPr="00097CA5">
        <w:rPr>
          <w:sz w:val="24"/>
          <w:szCs w:val="24"/>
        </w:rPr>
        <w:fldChar w:fldCharType="separate"/>
      </w:r>
      <w:r w:rsidRPr="00097CA5">
        <w:rPr>
          <w:noProof/>
          <w:sz w:val="24"/>
          <w:szCs w:val="24"/>
        </w:rPr>
        <w:t>(Rau, 2004; Rau, Bohk-Ewald, Muszyńska, &amp; Vaupel, 2018)</w:t>
      </w:r>
      <w:r w:rsidRPr="00097CA5">
        <w:rPr>
          <w:sz w:val="24"/>
          <w:szCs w:val="24"/>
        </w:rPr>
        <w:fldChar w:fldCharType="end"/>
      </w:r>
      <w:r w:rsidRPr="00097CA5">
        <w:rPr>
          <w:sz w:val="24"/>
          <w:szCs w:val="24"/>
        </w:rPr>
        <w:t>.</w:t>
      </w:r>
    </w:p>
    <w:p w14:paraId="753DA8BB" w14:textId="15B37F9E" w:rsidR="006675AE" w:rsidRPr="00097CA5" w:rsidRDefault="006675AE" w:rsidP="00850C55">
      <w:pPr>
        <w:spacing w:line="480" w:lineRule="auto"/>
        <w:ind w:firstLine="720"/>
        <w:jc w:val="both"/>
        <w:rPr>
          <w:sz w:val="24"/>
          <w:szCs w:val="24"/>
        </w:rPr>
      </w:pPr>
      <w:r w:rsidRPr="00097CA5">
        <w:rPr>
          <w:sz w:val="24"/>
          <w:szCs w:val="24"/>
        </w:rPr>
        <w:t xml:space="preserve">Here, </w:t>
      </w:r>
      <w:r w:rsidR="002A45D1">
        <w:rPr>
          <w:sz w:val="24"/>
          <w:szCs w:val="24"/>
        </w:rPr>
        <w:t>I</w:t>
      </w:r>
      <w:r w:rsidRPr="00097CA5">
        <w:rPr>
          <w:sz w:val="24"/>
          <w:szCs w:val="24"/>
        </w:rPr>
        <w:t xml:space="preserve"> comprehensively characterize the spatial and temporal patterns of all-cause and cause-specific mortality seasonality in the </w:t>
      </w:r>
      <w:r w:rsidR="00084038">
        <w:rPr>
          <w:sz w:val="24"/>
          <w:szCs w:val="24"/>
        </w:rPr>
        <w:t>United States</w:t>
      </w:r>
      <w:r w:rsidRPr="00097CA5">
        <w:rPr>
          <w:sz w:val="24"/>
          <w:szCs w:val="24"/>
        </w:rPr>
        <w:t xml:space="preserve"> by sex and age group, through the application of wavelet analytical techniques, to over three decades of national mortality data. Wavelets have been used to study the dynamics of weather phenomena </w:t>
      </w:r>
      <w:r w:rsidRPr="00097CA5">
        <w:rPr>
          <w:sz w:val="24"/>
          <w:szCs w:val="24"/>
        </w:rPr>
        <w:fldChar w:fldCharType="begin" w:fldLock="1"/>
      </w:r>
      <w:r w:rsidRPr="00097CA5">
        <w:rPr>
          <w:sz w:val="24"/>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Pr="00097CA5">
        <w:rPr>
          <w:sz w:val="24"/>
          <w:szCs w:val="24"/>
        </w:rPr>
        <w:fldChar w:fldCharType="separate"/>
      </w:r>
      <w:r w:rsidRPr="00097CA5">
        <w:rPr>
          <w:noProof/>
          <w:sz w:val="24"/>
          <w:szCs w:val="24"/>
        </w:rPr>
        <w:t>(Moy, Seltzer, Rodbell, &amp; Anderson, 2002)</w:t>
      </w:r>
      <w:r w:rsidRPr="00097CA5">
        <w:rPr>
          <w:sz w:val="24"/>
          <w:szCs w:val="24"/>
        </w:rPr>
        <w:fldChar w:fldCharType="end"/>
      </w:r>
      <w:r w:rsidRPr="00097CA5">
        <w:rPr>
          <w:sz w:val="24"/>
          <w:szCs w:val="24"/>
        </w:rPr>
        <w:t xml:space="preserve"> and infectious diseases </w:t>
      </w:r>
      <w:r w:rsidRPr="00097CA5">
        <w:rPr>
          <w:sz w:val="24"/>
          <w:szCs w:val="24"/>
        </w:rPr>
        <w:fldChar w:fldCharType="begin" w:fldLock="1"/>
      </w:r>
      <w:r w:rsidRPr="00097CA5">
        <w:rPr>
          <w:sz w:val="24"/>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Pr="00097CA5">
        <w:rPr>
          <w:sz w:val="24"/>
          <w:szCs w:val="24"/>
        </w:rPr>
        <w:fldChar w:fldCharType="separate"/>
      </w:r>
      <w:r w:rsidRPr="00097CA5">
        <w:rPr>
          <w:noProof/>
          <w:sz w:val="24"/>
          <w:szCs w:val="24"/>
        </w:rPr>
        <w:t>(Grenfell, Bjørnstad, &amp; Kappey, 2001)</w:t>
      </w:r>
      <w:r w:rsidRPr="00097CA5">
        <w:rPr>
          <w:sz w:val="24"/>
          <w:szCs w:val="24"/>
        </w:rPr>
        <w:fldChar w:fldCharType="end"/>
      </w:r>
      <w:r w:rsidRPr="00097CA5">
        <w:rPr>
          <w:sz w:val="24"/>
          <w:szCs w:val="24"/>
        </w:rPr>
        <w:t xml:space="preserve">. </w:t>
      </w:r>
      <w:r w:rsidR="002A45D1">
        <w:rPr>
          <w:sz w:val="24"/>
          <w:szCs w:val="24"/>
        </w:rPr>
        <w:t>I</w:t>
      </w:r>
      <w:r w:rsidRPr="00097CA5">
        <w:rPr>
          <w:sz w:val="24"/>
          <w:szCs w:val="24"/>
        </w:rPr>
        <w:t xml:space="preserve"> also used centre of gravity analysis and circular statistics methods to understand the timing of mortality minimum and maximum. In addition, </w:t>
      </w:r>
      <w:r w:rsidR="002A45D1">
        <w:rPr>
          <w:sz w:val="24"/>
          <w:szCs w:val="24"/>
        </w:rPr>
        <w:t>I</w:t>
      </w:r>
      <w:r w:rsidRPr="00097CA5">
        <w:rPr>
          <w:sz w:val="24"/>
          <w:szCs w:val="24"/>
        </w:rPr>
        <w:t xml:space="preserve"> identify how the percentage difference between death rates in maximum and minimum mortality months has changed over time.</w:t>
      </w:r>
    </w:p>
    <w:p w14:paraId="597F06CB" w14:textId="2BF39514" w:rsidR="006675AE" w:rsidRPr="00127064" w:rsidRDefault="006675AE" w:rsidP="006675AE">
      <w:pPr>
        <w:pStyle w:val="Heading2"/>
      </w:pPr>
      <w:bookmarkStart w:id="11" w:name="_Toc6045008"/>
      <w:bookmarkStart w:id="12" w:name="_Toc7299801"/>
      <w:commentRangeStart w:id="13"/>
      <w:r w:rsidRPr="00127064">
        <w:t>Data</w:t>
      </w:r>
      <w:bookmarkEnd w:id="11"/>
      <w:bookmarkEnd w:id="12"/>
      <w:commentRangeEnd w:id="13"/>
      <w:r w:rsidR="00284B4C">
        <w:rPr>
          <w:rStyle w:val="CommentReference"/>
          <w:rFonts w:asciiTheme="minorHAnsi" w:eastAsiaTheme="minorHAnsi" w:hAnsiTheme="minorHAnsi" w:cstheme="minorBidi"/>
          <w:color w:val="auto"/>
        </w:rPr>
        <w:commentReference w:id="13"/>
      </w:r>
    </w:p>
    <w:p w14:paraId="506A11FD" w14:textId="7785F1A4" w:rsidR="00CB44F1" w:rsidRDefault="002A45D1" w:rsidP="00CB44F1">
      <w:pPr>
        <w:spacing w:line="480" w:lineRule="auto"/>
        <w:ind w:firstLine="720"/>
        <w:jc w:val="both"/>
        <w:rPr>
          <w:sz w:val="24"/>
          <w:szCs w:val="24"/>
        </w:rPr>
      </w:pPr>
      <w:bookmarkStart w:id="14" w:name="OLE_LINK1"/>
      <w:bookmarkStart w:id="15" w:name="OLE_LINK2"/>
      <w:r>
        <w:rPr>
          <w:rStyle w:val="apple-style-span"/>
          <w:sz w:val="24"/>
          <w:szCs w:val="24"/>
        </w:rPr>
        <w:t>I</w:t>
      </w:r>
      <w:r w:rsidR="006675AE" w:rsidRPr="00097CA5">
        <w:rPr>
          <w:rStyle w:val="apple-style-span"/>
          <w:sz w:val="24"/>
          <w:szCs w:val="24"/>
        </w:rPr>
        <w:t xml:space="preserve"> used </w:t>
      </w:r>
      <w:r w:rsidR="00631D45">
        <w:rPr>
          <w:rStyle w:val="apple-style-span"/>
          <w:sz w:val="24"/>
          <w:szCs w:val="24"/>
        </w:rPr>
        <w:t xml:space="preserve">vital registration </w:t>
      </w:r>
      <w:r w:rsidR="006675AE" w:rsidRPr="00097CA5">
        <w:rPr>
          <w:rStyle w:val="apple-style-span"/>
          <w:sz w:val="24"/>
          <w:szCs w:val="24"/>
        </w:rPr>
        <w:t xml:space="preserve">data on all </w:t>
      </w:r>
      <w:r w:rsidR="001A7E97" w:rsidRPr="00755632">
        <w:rPr>
          <w:sz w:val="24"/>
          <w:szCs w:val="24"/>
        </w:rPr>
        <w:t xml:space="preserve">85,453,845 deaths in the contiguous </w:t>
      </w:r>
      <w:r w:rsidR="001A7E97">
        <w:rPr>
          <w:sz w:val="24"/>
          <w:szCs w:val="24"/>
        </w:rPr>
        <w:t xml:space="preserve">United States (i.e., excluding Alaska and Hawaii) </w:t>
      </w:r>
      <w:r w:rsidR="006675AE" w:rsidRPr="00097CA5">
        <w:rPr>
          <w:rStyle w:val="apple-style-span"/>
          <w:sz w:val="24"/>
          <w:szCs w:val="24"/>
        </w:rPr>
        <w:t xml:space="preserve">from 1980 to 2016 from the National Center for Health </w:t>
      </w:r>
      <w:r w:rsidR="006675AE" w:rsidRPr="00097CA5">
        <w:rPr>
          <w:rStyle w:val="apple-style-span"/>
          <w:sz w:val="24"/>
          <w:szCs w:val="24"/>
        </w:rPr>
        <w:lastRenderedPageBreak/>
        <w:t>Statistics (NCHS)</w:t>
      </w:r>
      <w:r w:rsidR="009549BD">
        <w:rPr>
          <w:rStyle w:val="FootnoteReference"/>
          <w:sz w:val="24"/>
          <w:szCs w:val="24"/>
        </w:rPr>
        <w:footnoteReference w:id="1"/>
      </w:r>
      <w:r w:rsidR="006675AE" w:rsidRPr="00097CA5">
        <w:rPr>
          <w:rStyle w:val="apple-style-span"/>
          <w:sz w:val="24"/>
          <w:szCs w:val="24"/>
        </w:rPr>
        <w:t xml:space="preserve">. </w:t>
      </w:r>
      <w:r w:rsidR="006675AE" w:rsidRPr="00097CA5">
        <w:rPr>
          <w:sz w:val="24"/>
          <w:szCs w:val="24"/>
        </w:rPr>
        <w:t>Age, sex, state of residence, month of death, and underlying cause of death were available for each record. The underlying cause of death was coded according to the international classification of diseases (ICD) system (9</w:t>
      </w:r>
      <w:r w:rsidR="006675AE" w:rsidRPr="00097CA5">
        <w:rPr>
          <w:sz w:val="24"/>
          <w:szCs w:val="24"/>
          <w:vertAlign w:val="superscript"/>
        </w:rPr>
        <w:t>th</w:t>
      </w:r>
      <w:r w:rsidR="006675AE" w:rsidRPr="00097CA5">
        <w:rPr>
          <w:sz w:val="24"/>
          <w:szCs w:val="24"/>
        </w:rPr>
        <w:t xml:space="preserve"> revision of ICD from 1980 to 1998 and 10</w:t>
      </w:r>
      <w:r w:rsidR="006675AE" w:rsidRPr="00097CA5">
        <w:rPr>
          <w:sz w:val="24"/>
          <w:szCs w:val="24"/>
          <w:vertAlign w:val="superscript"/>
        </w:rPr>
        <w:t>th</w:t>
      </w:r>
      <w:r w:rsidR="006675AE" w:rsidRPr="00097CA5">
        <w:rPr>
          <w:sz w:val="24"/>
          <w:szCs w:val="24"/>
        </w:rPr>
        <w:t xml:space="preserve"> revision of ICD thereafter). Yearly population counts were available from NCHS for 1990 to 2016 </w:t>
      </w:r>
      <w:r w:rsidR="009C7842" w:rsidRPr="00097CA5">
        <w:rPr>
          <w:sz w:val="24"/>
          <w:szCs w:val="24"/>
        </w:rPr>
        <w:fldChar w:fldCharType="begin" w:fldLock="1"/>
      </w:r>
      <w:r w:rsidR="009C7842">
        <w:rPr>
          <w:sz w:val="24"/>
          <w:szCs w:val="24"/>
        </w:rPr>
        <w: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categories","type":"article-journal"},"uris":["http://www.mendeley.com/documents/?uuid=fb493269-ad80-4373-80d8-0353ea7a95eb"]}],"mendeley":{"formattedCitation":"(Ingram et al., 2003)","plainTextFormattedCitation":"(Ingram et al., 2003)","previouslyFormattedCitation":"(Ingram et al., 2003)"},"properties":{"noteIndex":0},"schema":"https://github.com/citation-style-language/schema/raw/master/csl-citation.json"}</w:instrText>
      </w:r>
      <w:r w:rsidR="009C7842" w:rsidRPr="00097CA5">
        <w:rPr>
          <w:sz w:val="24"/>
          <w:szCs w:val="24"/>
        </w:rPr>
        <w:fldChar w:fldCharType="separate"/>
      </w:r>
      <w:r w:rsidR="009C7842" w:rsidRPr="00097CA5">
        <w:rPr>
          <w:noProof/>
          <w:sz w:val="24"/>
          <w:szCs w:val="24"/>
        </w:rPr>
        <w:t>(Ingram et al., 2003)</w:t>
      </w:r>
      <w:r w:rsidR="009C7842" w:rsidRPr="00097CA5">
        <w:rPr>
          <w:sz w:val="24"/>
          <w:szCs w:val="24"/>
        </w:rPr>
        <w:fldChar w:fldCharType="end"/>
      </w:r>
      <w:r w:rsidR="009C7842">
        <w:rPr>
          <w:sz w:val="24"/>
          <w:szCs w:val="24"/>
        </w:rPr>
        <w:t xml:space="preserve"> </w:t>
      </w:r>
      <w:r w:rsidR="006675AE" w:rsidRPr="00097CA5">
        <w:rPr>
          <w:sz w:val="24"/>
          <w:szCs w:val="24"/>
        </w:rPr>
        <w:t>and from the U</w:t>
      </w:r>
      <w:r>
        <w:rPr>
          <w:sz w:val="24"/>
          <w:szCs w:val="24"/>
        </w:rPr>
        <w:t>nited States</w:t>
      </w:r>
      <w:r w:rsidR="006675AE" w:rsidRPr="00097CA5">
        <w:rPr>
          <w:sz w:val="24"/>
          <w:szCs w:val="24"/>
        </w:rPr>
        <w:t xml:space="preserve"> Census Bureau prior to 1990</w:t>
      </w:r>
      <w:r w:rsidR="009C7842">
        <w:rPr>
          <w:sz w:val="24"/>
          <w:szCs w:val="24"/>
        </w:rPr>
        <w:t xml:space="preserve"> </w:t>
      </w:r>
      <w:r w:rsidR="009C7842">
        <w:rPr>
          <w:sz w:val="24"/>
          <w:szCs w:val="24"/>
        </w:rPr>
        <w:fldChar w:fldCharType="begin" w:fldLock="1"/>
      </w:r>
      <w:r w:rsidR="009C7842">
        <w:rPr>
          <w:sz w:val="24"/>
          <w:szCs w:val="24"/>
        </w:rPr>
        <w:instrText>ADDIN CSL_CITATION {"citationItems":[{"id":"ITEM-1","itemData":{"URL":"https://www.census.gov/data/tables/time-series/demo/popest/1980s-county.html","author":[{"dropping-particle":"","family":"United States Census Bureau","given":"","non-dropping-particle":"","parse-names":false,"suffix":""}],"id":"ITEM-1","issued":{"date-parts":[["2016"]]},"title":"County Intercensal Tables 1980-1990","type":"webpage"},"uris":["http://www.mendeley.com/documents/?uuid=10f9249e-26a4-422c-8cbd-a3ef23e79bc5"]}],"mendeley":{"formattedCitation":"(United States Census Bureau, 2016)","plainTextFormattedCitation":"(United States Census Bureau, 2016)","previouslyFormattedCitation":"(United States Census Bureau, 2016)"},"properties":{"noteIndex":0},"schema":"https://github.com/citation-style-language/schema/raw/master/csl-citation.json"}</w:instrText>
      </w:r>
      <w:r w:rsidR="009C7842">
        <w:rPr>
          <w:sz w:val="24"/>
          <w:szCs w:val="24"/>
        </w:rPr>
        <w:fldChar w:fldCharType="separate"/>
      </w:r>
      <w:r w:rsidR="009C7842" w:rsidRPr="00DF37DE">
        <w:rPr>
          <w:noProof/>
          <w:sz w:val="24"/>
          <w:szCs w:val="24"/>
        </w:rPr>
        <w:t>(United States Census Bureau, 2016)</w:t>
      </w:r>
      <w:r w:rsidR="009C7842">
        <w:rPr>
          <w:sz w:val="24"/>
          <w:szCs w:val="24"/>
        </w:rPr>
        <w:fldChar w:fldCharType="end"/>
      </w:r>
      <w:r w:rsidR="006675AE" w:rsidRPr="00097CA5">
        <w:rPr>
          <w:sz w:val="24"/>
          <w:szCs w:val="24"/>
        </w:rPr>
        <w:t xml:space="preserve">. </w:t>
      </w:r>
      <w:r>
        <w:rPr>
          <w:sz w:val="24"/>
          <w:szCs w:val="24"/>
        </w:rPr>
        <w:t>I</w:t>
      </w:r>
      <w:r w:rsidR="006675AE" w:rsidRPr="00097CA5">
        <w:rPr>
          <w:sz w:val="24"/>
          <w:szCs w:val="24"/>
        </w:rPr>
        <w:t xml:space="preserve"> calculated monthly population counts through linear interpolation, assigning each yearly count to July. </w:t>
      </w:r>
    </w:p>
    <w:p w14:paraId="6C31D3F0" w14:textId="772C903C" w:rsidR="006675AE" w:rsidRPr="00097CA5" w:rsidRDefault="009B6F42" w:rsidP="00CB44F1">
      <w:pPr>
        <w:spacing w:line="480" w:lineRule="auto"/>
        <w:ind w:firstLine="720"/>
        <w:jc w:val="both"/>
        <w:rPr>
          <w:sz w:val="24"/>
          <w:szCs w:val="24"/>
        </w:rPr>
      </w:pPr>
      <w:r>
        <w:rPr>
          <w:sz w:val="24"/>
          <w:szCs w:val="24"/>
        </w:rPr>
        <w:t>I</w:t>
      </w:r>
      <w:r w:rsidR="006675AE" w:rsidRPr="00097CA5">
        <w:rPr>
          <w:sz w:val="24"/>
          <w:szCs w:val="24"/>
        </w:rPr>
        <w:t xml:space="preserve"> also subdivided the national data geographically into nine climate regions used by the National Oceanic and Atmospheric Administration</w:t>
      </w:r>
      <w:r w:rsidR="00CB44F1">
        <w:rPr>
          <w:sz w:val="24"/>
          <w:szCs w:val="24"/>
        </w:rPr>
        <w:t xml:space="preserve"> </w:t>
      </w:r>
      <w:r w:rsidR="006675AE" w:rsidRPr="00097CA5">
        <w:rPr>
          <w:sz w:val="24"/>
          <w:szCs w:val="24"/>
        </w:rPr>
        <w:fldChar w:fldCharType="begin" w:fldLock="1"/>
      </w:r>
      <w:r w:rsidR="00DB423F">
        <w:rPr>
          <w:sz w:val="24"/>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1895-1983","type":"article-journal"},"uris":["http://www.mendeley.com/documents/?uuid=a8be3a03-f0f9-4ac7-a789-507a5f528abd"]}],"mendeley":{"formattedCitation":"(Karl &amp; Koss, 1984)","plainTextFormattedCitation":"(Karl &amp; Koss, 1984)","previouslyFormattedCitation":"(Karl &amp; Koss, 1984)"},"properties":{"noteIndex":0},"schema":"https://github.com/citation-style-language/schema/raw/master/csl-citation.json"}</w:instrText>
      </w:r>
      <w:r w:rsidR="006675AE" w:rsidRPr="00097CA5">
        <w:rPr>
          <w:sz w:val="24"/>
          <w:szCs w:val="24"/>
        </w:rPr>
        <w:fldChar w:fldCharType="separate"/>
      </w:r>
      <w:r w:rsidR="006675AE" w:rsidRPr="00097CA5">
        <w:rPr>
          <w:noProof/>
          <w:sz w:val="24"/>
          <w:szCs w:val="24"/>
        </w:rPr>
        <w:t>(Karl &amp; Koss, 1984)</w:t>
      </w:r>
      <w:r w:rsidR="006675AE" w:rsidRPr="00097CA5">
        <w:rPr>
          <w:sz w:val="24"/>
          <w:szCs w:val="24"/>
        </w:rPr>
        <w:fldChar w:fldCharType="end"/>
      </w:r>
      <w:r w:rsidR="006675AE" w:rsidRPr="00097CA5">
        <w:rPr>
          <w:sz w:val="24"/>
          <w:szCs w:val="24"/>
        </w:rPr>
        <w:t xml:space="preserve">. </w:t>
      </w:r>
      <w:r w:rsidR="00CB44F1">
        <w:rPr>
          <w:sz w:val="24"/>
          <w:szCs w:val="24"/>
        </w:rPr>
        <w:t xml:space="preserve">Further details of the characteristics of the climate regions are available in </w:t>
      </w:r>
      <w:r w:rsidR="00CB44F1" w:rsidRPr="00097CA5">
        <w:rPr>
          <w:sz w:val="24"/>
          <w:szCs w:val="24"/>
        </w:rPr>
        <w:t xml:space="preserve">Figure </w:t>
      </w:r>
      <w:r w:rsidR="00CB44F1">
        <w:rPr>
          <w:sz w:val="24"/>
          <w:szCs w:val="24"/>
        </w:rPr>
        <w:t xml:space="preserve">XX </w:t>
      </w:r>
      <w:r w:rsidR="00CB44F1" w:rsidRPr="00097CA5">
        <w:rPr>
          <w:sz w:val="24"/>
          <w:szCs w:val="24"/>
        </w:rPr>
        <w:t xml:space="preserve">and Table </w:t>
      </w:r>
      <w:r w:rsidR="00CB44F1">
        <w:rPr>
          <w:sz w:val="24"/>
          <w:szCs w:val="24"/>
        </w:rPr>
        <w:t>XX in Chapter XX.</w:t>
      </w:r>
    </w:p>
    <w:p w14:paraId="4E9C904D" w14:textId="17FE10C5" w:rsidR="006675AE" w:rsidRPr="00097CA5" w:rsidRDefault="006675AE" w:rsidP="003E674E">
      <w:pPr>
        <w:spacing w:line="480" w:lineRule="auto"/>
        <w:ind w:firstLine="720"/>
        <w:jc w:val="both"/>
        <w:rPr>
          <w:sz w:val="24"/>
          <w:szCs w:val="24"/>
        </w:rPr>
      </w:pPr>
      <w:r w:rsidRPr="00097CA5">
        <w:rPr>
          <w:sz w:val="24"/>
          <w:szCs w:val="24"/>
        </w:rPr>
        <w:t xml:space="preserve">Data were divided by sex and age in the following 10 age groups: 0-4, 5-14, 25- 34, 35-44, 45-54, 55-64, 65-74, 75-84, 85+ years. </w:t>
      </w:r>
      <w:r w:rsidR="002A45D1">
        <w:rPr>
          <w:sz w:val="24"/>
          <w:szCs w:val="24"/>
        </w:rPr>
        <w:t>I</w:t>
      </w:r>
      <w:r w:rsidRPr="00097CA5">
        <w:rPr>
          <w:sz w:val="24"/>
          <w:szCs w:val="24"/>
        </w:rPr>
        <w:t xml:space="preserv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bookmarkEnd w:id="14"/>
      <w:bookmarkEnd w:id="15"/>
    </w:p>
    <w:p w14:paraId="6758CC63" w14:textId="0FF06825" w:rsidR="006675AE" w:rsidRPr="00097CA5" w:rsidRDefault="006675AE" w:rsidP="003A0A27">
      <w:pPr>
        <w:spacing w:line="480" w:lineRule="auto"/>
        <w:ind w:firstLine="720"/>
        <w:jc w:val="both"/>
        <w:rPr>
          <w:sz w:val="24"/>
          <w:szCs w:val="24"/>
        </w:rPr>
      </w:pPr>
      <w:r w:rsidRPr="00097CA5">
        <w:rPr>
          <w:sz w:val="24"/>
          <w:szCs w:val="24"/>
        </w:rPr>
        <w:t xml:space="preserve">For analysis of seasonality by cause of death, </w:t>
      </w:r>
      <w:r w:rsidR="002A45D1">
        <w:rPr>
          <w:sz w:val="24"/>
          <w:szCs w:val="24"/>
        </w:rPr>
        <w:t>I</w:t>
      </w:r>
      <w:r w:rsidRPr="00097CA5">
        <w:rPr>
          <w:sz w:val="24"/>
          <w:szCs w:val="24"/>
        </w:rPr>
        <w:t xml:space="preserve"> mapped each ICD-9 and ICD-10 codes to four main disease categories</w:t>
      </w:r>
      <w:r w:rsidR="007628AC">
        <w:rPr>
          <w:sz w:val="24"/>
          <w:szCs w:val="24"/>
        </w:rPr>
        <w:t>: cardiorespiratory diseases, cancers, injuries and other</w:t>
      </w:r>
      <w:r w:rsidR="00DD1C87">
        <w:rPr>
          <w:sz w:val="24"/>
          <w:szCs w:val="24"/>
        </w:rPr>
        <w:t xml:space="preserve"> causes of death</w:t>
      </w:r>
      <w:r w:rsidR="00F842F2">
        <w:rPr>
          <w:sz w:val="24"/>
          <w:szCs w:val="24"/>
        </w:rPr>
        <w:t xml:space="preserve"> </w:t>
      </w:r>
      <w:r w:rsidRPr="00097CA5">
        <w:rPr>
          <w:sz w:val="24"/>
          <w:szCs w:val="24"/>
        </w:rPr>
        <w:t>(</w:t>
      </w:r>
      <w:r w:rsidR="00CB25C1">
        <w:rPr>
          <w:sz w:val="24"/>
          <w:szCs w:val="24"/>
        </w:rPr>
        <w:t>Figure XX</w:t>
      </w:r>
      <w:r w:rsidR="008626D2">
        <w:rPr>
          <w:sz w:val="24"/>
          <w:szCs w:val="24"/>
        </w:rPr>
        <w:t xml:space="preserve"> in Chapter XX</w:t>
      </w:r>
      <w:r w:rsidR="00C63CC4">
        <w:rPr>
          <w:sz w:val="24"/>
          <w:szCs w:val="24"/>
        </w:rPr>
        <w:t>)</w:t>
      </w:r>
      <w:r w:rsidRPr="00097CA5">
        <w:rPr>
          <w:sz w:val="24"/>
          <w:szCs w:val="24"/>
        </w:rPr>
        <w:t xml:space="preserve">. Deaths from cardiorespiratory diseases have been associated with cold and warm temperatures </w:t>
      </w:r>
      <w:r w:rsidRPr="00097CA5">
        <w:rPr>
          <w:sz w:val="24"/>
          <w:szCs w:val="24"/>
        </w:rPr>
        <w:fldChar w:fldCharType="begin" w:fldLock="1"/>
      </w:r>
      <w:r w:rsidR="00DB423F">
        <w:rPr>
          <w:sz w:val="24"/>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Perspectives","id":"ITEM-3","issue":"9","issued":{"date-parts":[["2002"]]},"page":"859-863","title":"The effect of weather on respiratory and cardiovascular deaths in 12 U.S. cities","type":"article-journal","volume":"110"},"uris":["http://www.mendeley.com/documents/?uuid=3e710881-527a-42d3-bc7e-34c21f9cc47e"]},{"id":"ITEM-4","itemData":{"DOI":"10.1016/S0140-6736(14)62114-0","ISBN":"1474-547X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Lancet","id":"ITEM-4","issue":"9991","issued":{"date-parts":[["2015"]]},"page":"369-375","title":"Mortality risk attributable to high and low ambient temperature: A multicountry observational study","type":"article-journal","volume":"386"},"uris":["http://www.mendeley.com/documents/?uuid=ec2ac118-d8e9-4d29-9116-d43210b3e1ca"]},{"id":"ITEM-5","itemData":{"DOI":"10.1186/1476-069X-8-40","ISBN":"1476-069X","ISSN":"1476069X","PMID":"19758453","abstract":"BACKGROUND: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Basu &amp; Samet, 2002; Bennett, Blangiardo, Fecht, Elliott, &amp; Ezzati, 2014; Braga, Zanobetti, &amp; Schwartz, 2002; Gasparrini et al., 2015)","plainTextFormattedCitation":"(Basu, 2009; Basu &amp; Samet, 2002; Bennett, Blangiardo, Fecht, Elliott, &amp; Ezzati, 2014; Braga, Zanobetti, &amp; Schwartz, 2002; Gasparrini et al., 2015)","previouslyFormattedCitation":"(Basu, 2009; Basu &amp; Samet, 2002; Bennett, Blangiardo, Fecht, Elliott, &amp; Ezzati, 2014; Braga, Zanobetti, &amp; Schwartz, 2002; Gasparrini et al., 2015)"},"properties":{"noteIndex":0},"schema":"https://github.com/citation-style-language/schema/raw/master/csl-citation.json"}</w:instrText>
      </w:r>
      <w:r w:rsidRPr="00097CA5">
        <w:rPr>
          <w:sz w:val="24"/>
          <w:szCs w:val="24"/>
        </w:rPr>
        <w:fldChar w:fldCharType="separate"/>
      </w:r>
      <w:r w:rsidRPr="00097CA5">
        <w:rPr>
          <w:noProof/>
          <w:sz w:val="24"/>
          <w:szCs w:val="24"/>
        </w:rPr>
        <w:t xml:space="preserve">(Basu, 2009; Basu &amp; Samet, 2002; Bennett, </w:t>
      </w:r>
      <w:r w:rsidRPr="00097CA5">
        <w:rPr>
          <w:noProof/>
          <w:sz w:val="24"/>
          <w:szCs w:val="24"/>
        </w:rPr>
        <w:lastRenderedPageBreak/>
        <w:t>Blangiardo, Fecht, Elliott, &amp; Ezzati, 2014; Braga, Zanobetti, &amp; Schwartz, 2002; Gasparrini et al., 2015)</w:t>
      </w:r>
      <w:r w:rsidRPr="00097CA5">
        <w:rPr>
          <w:sz w:val="24"/>
          <w:szCs w:val="24"/>
        </w:rPr>
        <w:fldChar w:fldCharType="end"/>
      </w:r>
      <w:r w:rsidRPr="00097CA5">
        <w:rPr>
          <w:sz w:val="24"/>
          <w:szCs w:val="24"/>
        </w:rPr>
        <w:t>. Injuries</w:t>
      </w:r>
      <w:r w:rsidR="00BA5823" w:rsidRPr="00BA5823">
        <w:rPr>
          <w:sz w:val="24"/>
          <w:szCs w:val="24"/>
        </w:rPr>
        <w:t xml:space="preserve"> </w:t>
      </w:r>
      <w:r w:rsidRPr="00097CA5">
        <w:rPr>
          <w:sz w:val="24"/>
          <w:szCs w:val="24"/>
        </w:rPr>
        <w:t xml:space="preserve">may have seasonality that is distinct from so-called natural causes. </w:t>
      </w:r>
      <w:r w:rsidR="002A45D1">
        <w:rPr>
          <w:sz w:val="24"/>
          <w:szCs w:val="24"/>
        </w:rPr>
        <w:t>I</w:t>
      </w:r>
      <w:r w:rsidRPr="00097CA5">
        <w:rPr>
          <w:sz w:val="24"/>
          <w:szCs w:val="24"/>
        </w:rPr>
        <w:t xml:space="preserve"> did not further divide other causes because the number of deaths could become too small to allow stable estimates when divided by age group, sex and climate region.</w:t>
      </w:r>
    </w:p>
    <w:p w14:paraId="54A5D9D1" w14:textId="7898BF9A" w:rsidR="006675AE" w:rsidRPr="00097CA5" w:rsidRDefault="002A45D1" w:rsidP="008B6170">
      <w:pPr>
        <w:spacing w:line="480" w:lineRule="auto"/>
        <w:ind w:firstLine="720"/>
        <w:jc w:val="both"/>
        <w:rPr>
          <w:sz w:val="24"/>
          <w:szCs w:val="24"/>
        </w:rPr>
      </w:pPr>
      <w:r>
        <w:rPr>
          <w:sz w:val="24"/>
          <w:szCs w:val="24"/>
        </w:rPr>
        <w:t>I</w:t>
      </w:r>
      <w:r w:rsidR="006675AE" w:rsidRPr="00097CA5">
        <w:rPr>
          <w:sz w:val="24"/>
          <w:szCs w:val="24"/>
        </w:rPr>
        <w:t xml:space="preserve"> obtained data on temperature from ERA-Interim, which combines predictions from a physical model with ground-based and satellite measurements </w:t>
      </w:r>
      <w:r w:rsidR="006675AE" w:rsidRPr="00097CA5">
        <w:rPr>
          <w:sz w:val="24"/>
          <w:szCs w:val="24"/>
        </w:rPr>
        <w:fldChar w:fldCharType="begin" w:fldLock="1"/>
      </w:r>
      <w:r w:rsidR="00DB423F">
        <w:rPr>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6675AE" w:rsidRPr="00097CA5">
        <w:rPr>
          <w:sz w:val="24"/>
          <w:szCs w:val="24"/>
        </w:rPr>
        <w:fldChar w:fldCharType="separate"/>
      </w:r>
      <w:r w:rsidR="006675AE" w:rsidRPr="00097CA5">
        <w:rPr>
          <w:noProof/>
          <w:sz w:val="24"/>
          <w:szCs w:val="24"/>
        </w:rPr>
        <w:t>(Dee et al., 2011)</w:t>
      </w:r>
      <w:r w:rsidR="006675AE" w:rsidRPr="00097CA5">
        <w:rPr>
          <w:sz w:val="24"/>
          <w:szCs w:val="24"/>
        </w:rPr>
        <w:fldChar w:fldCharType="end"/>
      </w:r>
      <w:r w:rsidR="006675AE" w:rsidRPr="00097CA5">
        <w:rPr>
          <w:sz w:val="24"/>
          <w:szCs w:val="24"/>
        </w:rPr>
        <w:t xml:space="preserve">. </w:t>
      </w:r>
      <w:r>
        <w:rPr>
          <w:sz w:val="24"/>
          <w:szCs w:val="24"/>
        </w:rPr>
        <w:t>I</w:t>
      </w:r>
      <w:r w:rsidR="006675AE" w:rsidRPr="00097CA5">
        <w:rPr>
          <w:sz w:val="24"/>
          <w:szCs w:val="24"/>
        </w:rPr>
        <w:t xml:space="preserve"> used gridded four-times-daily estimates at a resolution of 80km to generate monthly population-weighted temperature by climate region throughout the analysis period.</w:t>
      </w:r>
      <w:r w:rsidR="008B6170">
        <w:rPr>
          <w:sz w:val="24"/>
          <w:szCs w:val="24"/>
        </w:rPr>
        <w:t xml:space="preserve"> Further details about ERA-Interim and reanalysis can be found in Chapter XX.</w:t>
      </w:r>
    </w:p>
    <w:p w14:paraId="79A1F752" w14:textId="395E64C3" w:rsidR="006675AE" w:rsidRPr="00127064" w:rsidRDefault="006675AE" w:rsidP="006675AE">
      <w:pPr>
        <w:pStyle w:val="Heading2"/>
      </w:pPr>
      <w:bookmarkStart w:id="16" w:name="_Toc6045009"/>
      <w:bookmarkStart w:id="17" w:name="_Toc7299802"/>
      <w:r w:rsidRPr="00127064">
        <w:t>Statistical methods</w:t>
      </w:r>
      <w:bookmarkEnd w:id="16"/>
      <w:bookmarkEnd w:id="17"/>
    </w:p>
    <w:p w14:paraId="559A012B" w14:textId="21894FBA" w:rsidR="006675AE" w:rsidRPr="00097CA5" w:rsidRDefault="002A45D1" w:rsidP="00BB56D1">
      <w:pPr>
        <w:pStyle w:val="CommentText"/>
        <w:spacing w:line="480" w:lineRule="auto"/>
        <w:ind w:firstLine="720"/>
        <w:jc w:val="both"/>
        <w:rPr>
          <w:rFonts w:ascii="Calibri" w:hAnsi="Calibri" w:cs="Times New Roman"/>
          <w:sz w:val="24"/>
          <w:szCs w:val="24"/>
        </w:rPr>
      </w:pPr>
      <w:r>
        <w:rPr>
          <w:sz w:val="24"/>
          <w:szCs w:val="24"/>
        </w:rPr>
        <w:t>I</w:t>
      </w:r>
      <w:r w:rsidR="006675AE" w:rsidRPr="00097CA5">
        <w:rPr>
          <w:sz w:val="24"/>
          <w:szCs w:val="24"/>
        </w:rPr>
        <w:t xml:space="preserve"> used wavelet analysis to investigate seasonality for each age-sex group. Wavelet analysis uncovers the presence, and frequency, of repeated maxima and minima in each age-sex-specific death rate time</w:t>
      </w:r>
      <w:r w:rsidR="006675AE" w:rsidRPr="00097CA5">
        <w:rPr>
          <w:rFonts w:ascii="Calibri" w:hAnsi="Calibri" w:cs="Times New Roman"/>
          <w:sz w:val="24"/>
          <w:szCs w:val="24"/>
        </w:rPr>
        <w:t xml:space="preserve"> series </w:t>
      </w:r>
      <w:r w:rsidR="006675AE" w:rsidRPr="00097CA5">
        <w:rPr>
          <w:rFonts w:ascii="Calibri" w:hAnsi="Calibri" w:cs="Times New Roman"/>
          <w:sz w:val="24"/>
          <w:szCs w:val="24"/>
        </w:rPr>
        <w:fldChar w:fldCharType="begin" w:fldLock="1"/>
      </w:r>
      <w:r w:rsidR="006675AE" w:rsidRPr="00097CA5">
        <w:rPr>
          <w:rFonts w:ascii="Calibri" w:hAnsi="Calibri" w:cs="Times New Roman"/>
          <w:sz w:val="24"/>
          <w:szCs w:val="24"/>
        </w:rPr>
        <w:instrText>ADDIN CSL_CITATION {"citationItems":[{"id":"ITEM-1","itemData":{"DOI":"10.1175/1520-0477(1998)079&lt;0061:APGTWA&gt;2.0.CO;2","ISBN":"0871706881","ISSN":"00030007","PMID":"21229804","abstract":"A practical step-by-step guide to wavelet analysis is given, with examples taken from time series of the El Niño–Southern Oscillation (ENSO). The guide includes a comparison to the windowed Fourier transform, the choice of an appropriate wavelet basis function, edge effects due to finite-length time series, and the relationship between wavelet scale and Fourier frequency. New statistical significance tests for wavelet power spectra are developed by deriving theoretical wavelet spectra for white and red noise processes and using these to establish significance levels and confidence intervals. It is shown that smoothing in time or scale can be used to increase the confidence of the wavelet spectrum. Empirical formulas are given for the effect of smoothing on significance levels and confidence intervals. Extensions to wavelet analysis such as filtering, the power Hovmöller, cross-wavelet spectra, and coherence are described. The statistical significance tests are used to give a quantitative measure of changes in ENSO variance on interdecadal timescales. Using new datasets that extend back to 1871, the Niño3 sea surface temperature and the Southern Oscillation index show significantly higher power during 1880–1920 and 1960–90, and lower power during 1920–60, as well as a possible 15-yr modulation of variance. The power Hovmöller of sea level pressure shows significant variations in 2–8-yr wavelet power in both longitude and time.","author":[{"dropping-particle":"","family":"Torrence","given":"Christopher","non-dropping-particle":"","parse-names":false,"suffix":""},{"dropping-particle":"","family":"Compo","given":"Gilbert P.","non-dropping-particle":"","parse-names":false,"suffix":""}],"container-title":"Bulletin of the American Meteorological Society","id":"ITEM-1","issued":{"date-parts":[["1998"]]},"title":"A Practical Guide to Wavelet Analysis","type":"article-journal"},"uris":["http://www.mendeley.com/documents/?uuid=01ea8ad1-904b-46e4-a3e4-6cbc5d8756a0"]},{"id":"ITEM-2","itemData":{"ISBN":"1-56881-047-4","abstract":"This best-selling book introduces a broad audience including scientists and engineers working in a variety of fields as well as mathematicians from other subspecialties to one of the most active new areas of applied mathematics and the story of its discovery and development. Organized in \"hypertext fashion\", the book tells a story of scientific discovery with separate brief entries for technical terms and explicit appendices in a section called \"Beyond Plain English\".","author":[{"dropping-particle":"","family":"Hubbard","given":"Barbara Burke","non-dropping-particle":"","parse-names":false,"suffix":""}],"id":"ITEM-2","issued":{"date-parts":[["1998"]]},"publisher":"A K Peters/CRC Press","title":"The world according to wavelets: the story of a mathematical technique in the making","type":"book"},"uris":["http://www.mendeley.com/documents/?uuid=c0318730-63cb-4808-bc08-757d8c45d2b1"]}],"mendeley":{"formattedCitation":"(Hubbard, 1998; Torrence &amp; Compo, 1998)","plainTextFormattedCitation":"(Hubbard, 1998; Torrence &amp; Compo, 1998)","previouslyFormattedCitation":"(Hubbard, 1998; Torrence &amp; Compo, 1998)"},"properties":{"noteIndex":0},"schema":"https://github.com/citation-style-language/schema/raw/master/csl-citation.json"}</w:instrText>
      </w:r>
      <w:r w:rsidR="006675AE" w:rsidRPr="00097CA5">
        <w:rPr>
          <w:rFonts w:ascii="Calibri" w:hAnsi="Calibri" w:cs="Times New Roman"/>
          <w:sz w:val="24"/>
          <w:szCs w:val="24"/>
        </w:rPr>
        <w:fldChar w:fldCharType="separate"/>
      </w:r>
      <w:r w:rsidR="006675AE" w:rsidRPr="00097CA5">
        <w:rPr>
          <w:rFonts w:ascii="Calibri" w:hAnsi="Calibri" w:cs="Times New Roman"/>
          <w:noProof/>
          <w:sz w:val="24"/>
          <w:szCs w:val="24"/>
        </w:rPr>
        <w:t>(Hubbard, 1998; Torrence &amp; Compo, 1998)</w:t>
      </w:r>
      <w:r w:rsidR="006675AE" w:rsidRPr="00097CA5">
        <w:rPr>
          <w:rFonts w:ascii="Calibri" w:hAnsi="Calibri" w:cs="Times New Roman"/>
          <w:sz w:val="24"/>
          <w:szCs w:val="24"/>
        </w:rPr>
        <w:fldChar w:fldCharType="end"/>
      </w:r>
      <w:r w:rsidR="006675AE" w:rsidRPr="00097CA5">
        <w:rPr>
          <w:rFonts w:ascii="Calibri" w:hAnsi="Calibri" w:cs="Times New Roman"/>
          <w:sz w:val="24"/>
          <w:szCs w:val="24"/>
        </w:rPr>
        <w:t xml:space="preserve">. In brief, a Morlet wavelet, described in detail elsewhere </w:t>
      </w:r>
      <w:r w:rsidR="006675AE" w:rsidRPr="00097CA5">
        <w:rPr>
          <w:rFonts w:ascii="Calibri" w:hAnsi="Calibri" w:cs="Times New Roman"/>
          <w:sz w:val="24"/>
          <w:szCs w:val="24"/>
        </w:rPr>
        <w:fldChar w:fldCharType="begin" w:fldLock="1"/>
      </w:r>
      <w:r w:rsidR="006675AE" w:rsidRPr="00097CA5">
        <w:rPr>
          <w:rFonts w:ascii="Calibri" w:hAnsi="Calibri" w:cs="Times New Roman"/>
          <w:sz w:val="24"/>
          <w:szCs w:val="24"/>
        </w:rPr>
        <w:instrText>ADDIN CSL_CITATION {"citationItems":[{"id":"ITEM-1","itemData":{"DOI":"10.1007/s00442-008-0993-2","ISBN":"0029-8549","ISSN":"00298549","PMID":"18322705","abstract":"Wavelet analysis is a powerful tool that is already in use throughout science and engineering. The versatility and attractiveness of the wavelet approach lie in its decomposition properties, principally its time-scale localization. It is especially relevant to the analysis of non-stationary systems, i.e., systems with short-lived transient components, like those observed in ecological systems. Here, we review the basic properties of the wavelet approach for time-series analysis from an ecological perspective. Wavelet decomposition offers several advantages that are discussed in this paper and illustrated by appropriate synthetic and ecological examples. Wavelet analysis is notably free from the assumption of stationarity that makes most methods unsuitable for many ecological time series. Wavelet analysis also permits analysis of the relationships between two signals, and it is especially appropriate for following gradual change in forcing by exogenous variables.","author":[{"dropping-particle":"","family":"Cazelles","given":"Bernard","non-dropping-particle":"","parse-names":false,"suffix":""},{"dropping-particle":"","family":"Chavez","given":"Mario","non-dropping-particle":"","parse-names":false,"suffix":""},{"dropping-particle":"","family":"Berteaux","given":"Dominique","non-dropping-particle":"","parse-names":false,"suffix":""},{"dropping-particle":"","family":"Ménard","given":"Frédéric","non-dropping-particle":"","parse-names":false,"suffix":""},{"dropping-particle":"","family":"Vik","given":"Jon Olav","non-dropping-particle":"","parse-names":false,"suffix":""},{"dropping-particle":"","family":"Jenouvrier","given":"Stéphanie","non-dropping-particle":"","parse-names":false,"suffix":""},{"dropping-particle":"","family":"Stenseth","given":"Nils C.","non-dropping-particle":"","parse-names":false,"suffix":""}],"container-title":"Oecologia","id":"ITEM-1","issue":"2","issued":{"date-parts":[["2008"]]},"page":"287-304","title":"Wavelet analysis of ecological time series","type":"article","volume":"156"},"uris":["http://www.mendeley.com/documents/?uuid=59ae7ae3-a0f5-410c-a027-ae0977becaa1"]}],"mendeley":{"formattedCitation":"(Cazelles et al., 2008)","plainTextFormattedCitation":"(Cazelles et al., 2008)","previouslyFormattedCitation":"(Cazelles et al., 2008)"},"properties":{"noteIndex":0},"schema":"https://github.com/citation-style-language/schema/raw/master/csl-citation.json"}</w:instrText>
      </w:r>
      <w:r w:rsidR="006675AE" w:rsidRPr="00097CA5">
        <w:rPr>
          <w:rFonts w:ascii="Calibri" w:hAnsi="Calibri" w:cs="Times New Roman"/>
          <w:sz w:val="24"/>
          <w:szCs w:val="24"/>
        </w:rPr>
        <w:fldChar w:fldCharType="separate"/>
      </w:r>
      <w:r w:rsidR="006675AE" w:rsidRPr="00097CA5">
        <w:rPr>
          <w:rFonts w:ascii="Calibri" w:hAnsi="Calibri" w:cs="Times New Roman"/>
          <w:noProof/>
          <w:sz w:val="24"/>
          <w:szCs w:val="24"/>
        </w:rPr>
        <w:t>(Cazelles et al., 2008)</w:t>
      </w:r>
      <w:r w:rsidR="006675AE" w:rsidRPr="00097CA5">
        <w:rPr>
          <w:rFonts w:ascii="Calibri" w:hAnsi="Calibri" w:cs="Times New Roman"/>
          <w:sz w:val="24"/>
          <w:szCs w:val="24"/>
        </w:rPr>
        <w:fldChar w:fldCharType="end"/>
      </w:r>
      <w:r w:rsidR="006675AE" w:rsidRPr="00097CA5">
        <w:rPr>
          <w:rFonts w:ascii="Calibri" w:hAnsi="Calibri" w:cs="Times New Roman"/>
          <w:sz w:val="24"/>
          <w:szCs w:val="24"/>
        </w:rPr>
        <w:t xml:space="preserve">, is equivalent to using a moving window on the death rate time series and analysing periodicity in each window using a short-form Fourier transform, hence generating a dynamic spectral analysis, which allows measuring dynamic seasonal patterns, in which the periodicity of death rates may disappear, emerge, or change over time. In addition to coefficients that measure the frequency of periodicity, wavelet analysis estimates the probability of whether the data are different from the null situation of random fluctuations that can be represented with white (an independent random process) or red (autoregressive of order 1 process) noise.  For each age-sex group, </w:t>
      </w:r>
      <w:r>
        <w:rPr>
          <w:rFonts w:ascii="Calibri" w:hAnsi="Calibri" w:cs="Times New Roman"/>
          <w:sz w:val="24"/>
          <w:szCs w:val="24"/>
        </w:rPr>
        <w:t>I</w:t>
      </w:r>
      <w:r w:rsidR="006675AE" w:rsidRPr="00097CA5">
        <w:rPr>
          <w:rFonts w:ascii="Calibri" w:hAnsi="Calibri" w:cs="Times New Roman"/>
          <w:sz w:val="24"/>
          <w:szCs w:val="24"/>
        </w:rPr>
        <w:t xml:space="preserve"> calculated the p-values of the presence of 12-month seasonality for the comparison of wavelet power spectra of the entire study period (1980-2016) with 100 simulations against a white noise spectrum, which represents random fluctuations. </w:t>
      </w:r>
      <w:r>
        <w:rPr>
          <w:rFonts w:ascii="Calibri" w:hAnsi="Calibri" w:cs="Times New Roman"/>
          <w:sz w:val="24"/>
          <w:szCs w:val="24"/>
        </w:rPr>
        <w:t>I</w:t>
      </w:r>
      <w:r w:rsidR="006675AE" w:rsidRPr="00097CA5">
        <w:rPr>
          <w:rFonts w:ascii="Calibri" w:hAnsi="Calibri" w:cs="Times New Roman"/>
          <w:sz w:val="24"/>
          <w:szCs w:val="24"/>
        </w:rPr>
        <w:t xml:space="preserve"> used the R package </w:t>
      </w:r>
      <w:r w:rsidR="006675AE" w:rsidRPr="00097CA5">
        <w:rPr>
          <w:rFonts w:ascii="Calibri" w:hAnsi="Calibri" w:cs="Times New Roman"/>
          <w:sz w:val="24"/>
          <w:szCs w:val="24"/>
        </w:rPr>
        <w:lastRenderedPageBreak/>
        <w:t xml:space="preserve">WaveletComp (version 1.0) for the wavelet analysis. Before analysis, </w:t>
      </w:r>
      <w:r>
        <w:rPr>
          <w:rFonts w:ascii="Calibri" w:hAnsi="Calibri" w:cs="Times New Roman"/>
          <w:sz w:val="24"/>
          <w:szCs w:val="24"/>
        </w:rPr>
        <w:t>I</w:t>
      </w:r>
      <w:r w:rsidR="006675AE" w:rsidRPr="00097CA5">
        <w:rPr>
          <w:rFonts w:ascii="Calibri" w:hAnsi="Calibri" w:cs="Times New Roman"/>
          <w:sz w:val="24"/>
          <w:szCs w:val="24"/>
        </w:rPr>
        <w:t xml:space="preserve"> de-trended death rates using a polynomial regression, and rescaled each death rate time series so as to range between 1 and -1.</w:t>
      </w:r>
    </w:p>
    <w:p w14:paraId="102BBC8B" w14:textId="5D9C263D" w:rsidR="006675AE" w:rsidRPr="00097CA5" w:rsidRDefault="006675AE" w:rsidP="00CD5B64">
      <w:pPr>
        <w:spacing w:line="480" w:lineRule="auto"/>
        <w:ind w:firstLine="720"/>
        <w:jc w:val="both"/>
        <w:rPr>
          <w:noProof/>
          <w:sz w:val="24"/>
          <w:szCs w:val="24"/>
        </w:rPr>
      </w:pPr>
      <w:r w:rsidRPr="00097CA5">
        <w:rPr>
          <w:sz w:val="24"/>
          <w:szCs w:val="24"/>
        </w:rPr>
        <w:t xml:space="preserve">To identify the months of maximum and minimum death rates, </w:t>
      </w:r>
      <w:r w:rsidR="002A45D1">
        <w:rPr>
          <w:sz w:val="24"/>
          <w:szCs w:val="24"/>
        </w:rPr>
        <w:t>I</w:t>
      </w:r>
      <w:r w:rsidRPr="00097CA5">
        <w:rPr>
          <w:sz w:val="24"/>
          <w:szCs w:val="24"/>
        </w:rPr>
        <w:t xml:space="preserve"> calculated the centre of gravity and the negative centre of gravity of monthly death rates. Centre of gravity was calculated as a weighted average of months of deaths, with each month weighted by its death rate; negative centre of gravity was also calculated as a weighted average of months of deaths, but with each month was weighted by the difference between its death rate and the year’s maximum death rate. In taking the weighted average, </w:t>
      </w:r>
      <w:r w:rsidR="002A45D1">
        <w:rPr>
          <w:sz w:val="24"/>
          <w:szCs w:val="24"/>
        </w:rPr>
        <w:t>I</w:t>
      </w:r>
      <w:r w:rsidRPr="00097CA5">
        <w:rPr>
          <w:sz w:val="24"/>
          <w:szCs w:val="24"/>
        </w:rPr>
        <w:t xml:space="preserve"> allowed </w:t>
      </w:r>
      <w:r w:rsidRPr="00097CA5">
        <w:rPr>
          <w:noProof/>
          <w:sz w:val="24"/>
          <w:szCs w:val="24"/>
        </w:rPr>
        <w:t xml:space="preserve">December (month 12) to neighbour January (month 1), representing each month by an angle subtended from 12 equally-spaced points around a unit circle. Using a technique called circular statistics, a mean </w:t>
      </w:r>
      <m:oMath>
        <m:r>
          <w:rPr>
            <w:rFonts w:ascii="Cambria Math" w:eastAsiaTheme="minorEastAsia" w:hAnsi="Cambria Math"/>
            <w:noProof/>
            <w:sz w:val="24"/>
            <w:szCs w:val="24"/>
          </w:rPr>
          <m:t>(</m:t>
        </m:r>
        <m:acc>
          <m:accPr>
            <m:chr m:val="̅"/>
            <m:ctrlPr>
              <w:rPr>
                <w:rFonts w:ascii="Cambria Math" w:hAnsi="Cambria Math"/>
                <w:i/>
                <w:noProof/>
                <w:sz w:val="24"/>
                <w:szCs w:val="24"/>
              </w:rPr>
            </m:ctrlPr>
          </m:accPr>
          <m:e>
            <m:r>
              <w:rPr>
                <w:rFonts w:ascii="Cambria Math" w:hAnsi="Cambria Math"/>
                <w:noProof/>
                <w:sz w:val="24"/>
                <w:szCs w:val="24"/>
              </w:rPr>
              <m:t>θ</m:t>
            </m:r>
          </m:e>
        </m:acc>
        <m:r>
          <w:rPr>
            <w:rFonts w:ascii="Cambria Math" w:hAnsi="Cambria Math"/>
            <w:noProof/>
            <w:sz w:val="24"/>
            <w:szCs w:val="24"/>
          </w:rPr>
          <m:t>)</m:t>
        </m:r>
      </m:oMath>
      <w:r w:rsidRPr="00097CA5">
        <w:rPr>
          <w:noProof/>
          <w:sz w:val="24"/>
          <w:szCs w:val="24"/>
        </w:rPr>
        <w:t>of the angles (</w:t>
      </w:r>
      <m:oMath>
        <m:sSub>
          <m:sSubPr>
            <m:ctrlPr>
              <w:rPr>
                <w:rFonts w:ascii="Cambria Math" w:hAnsi="Cambria Math"/>
                <w:i/>
                <w:noProof/>
                <w:sz w:val="24"/>
                <w:szCs w:val="24"/>
              </w:rPr>
            </m:ctrlPr>
          </m:sSubPr>
          <m:e>
            <m:r>
              <w:rPr>
                <w:rFonts w:ascii="Cambria Math" w:hAnsi="Cambria Math"/>
                <w:noProof/>
                <w:sz w:val="24"/>
                <w:szCs w:val="24"/>
              </w:rPr>
              <m:t>θ</m:t>
            </m:r>
          </m:e>
          <m:sub>
            <m:r>
              <w:rPr>
                <w:rFonts w:ascii="Cambria Math" w:hAnsi="Cambria Math"/>
                <w:noProof/>
                <w:sz w:val="24"/>
                <w:szCs w:val="24"/>
              </w:rPr>
              <m:t>1</m:t>
            </m:r>
          </m:sub>
        </m:sSub>
        <m:r>
          <w:rPr>
            <w:rFonts w:ascii="Cambria Math" w:hAnsi="Cambria Math"/>
            <w:noProof/>
            <w:sz w:val="24"/>
            <w:szCs w:val="24"/>
          </w:rPr>
          <m:t>,</m:t>
        </m:r>
        <m:sSub>
          <m:sSubPr>
            <m:ctrlPr>
              <w:rPr>
                <w:rFonts w:ascii="Cambria Math" w:hAnsi="Cambria Math"/>
                <w:i/>
                <w:noProof/>
                <w:sz w:val="24"/>
                <w:szCs w:val="24"/>
              </w:rPr>
            </m:ctrlPr>
          </m:sSubPr>
          <m:e>
            <m:r>
              <w:rPr>
                <w:rFonts w:ascii="Cambria Math" w:hAnsi="Cambria Math"/>
                <w:noProof/>
                <w:sz w:val="24"/>
                <w:szCs w:val="24"/>
              </w:rPr>
              <m:t>θ</m:t>
            </m:r>
          </m:e>
          <m:sub>
            <m:r>
              <w:rPr>
                <w:rFonts w:ascii="Cambria Math" w:hAnsi="Cambria Math"/>
                <w:noProof/>
                <w:sz w:val="24"/>
                <w:szCs w:val="24"/>
              </w:rPr>
              <m:t>2</m:t>
            </m:r>
          </m:sub>
        </m:sSub>
        <m:sSub>
          <m:sSubPr>
            <m:ctrlPr>
              <w:rPr>
                <w:rFonts w:ascii="Cambria Math" w:hAnsi="Cambria Math"/>
                <w:i/>
                <w:noProof/>
                <w:sz w:val="24"/>
                <w:szCs w:val="24"/>
              </w:rPr>
            </m:ctrlPr>
          </m:sSubPr>
          <m:e>
            <m:r>
              <w:rPr>
                <w:rFonts w:ascii="Cambria Math" w:hAnsi="Cambria Math"/>
                <w:noProof/>
                <w:sz w:val="24"/>
                <w:szCs w:val="24"/>
              </w:rPr>
              <m:t>,θ</m:t>
            </m:r>
          </m:e>
          <m:sub>
            <m:r>
              <w:rPr>
                <w:rFonts w:ascii="Cambria Math" w:hAnsi="Cambria Math"/>
                <w:noProof/>
                <w:sz w:val="24"/>
                <w:szCs w:val="24"/>
              </w:rPr>
              <m:t>3</m:t>
            </m:r>
          </m:sub>
        </m:sSub>
        <m:r>
          <w:rPr>
            <w:rFonts w:ascii="Cambria Math" w:hAnsi="Cambria Math"/>
            <w:noProof/>
            <w:sz w:val="24"/>
            <w:szCs w:val="24"/>
          </w:rPr>
          <m:t>…</m:t>
        </m:r>
        <m:sSub>
          <m:sSubPr>
            <m:ctrlPr>
              <w:rPr>
                <w:rFonts w:ascii="Cambria Math" w:hAnsi="Cambria Math"/>
                <w:i/>
                <w:noProof/>
                <w:sz w:val="24"/>
                <w:szCs w:val="24"/>
              </w:rPr>
            </m:ctrlPr>
          </m:sSubPr>
          <m:e>
            <m:r>
              <w:rPr>
                <w:rFonts w:ascii="Cambria Math" w:hAnsi="Cambria Math"/>
                <w:noProof/>
                <w:sz w:val="24"/>
                <w:szCs w:val="24"/>
              </w:rPr>
              <m:t>,θ</m:t>
            </m:r>
          </m:e>
          <m:sub>
            <m:r>
              <w:rPr>
                <w:rFonts w:ascii="Cambria Math" w:hAnsi="Cambria Math"/>
                <w:noProof/>
                <w:sz w:val="24"/>
                <w:szCs w:val="24"/>
              </w:rPr>
              <m:t>n,</m:t>
            </m:r>
          </m:sub>
        </m:sSub>
      </m:oMath>
      <w:r w:rsidRPr="00097CA5">
        <w:rPr>
          <w:noProof/>
          <w:sz w:val="24"/>
          <w:szCs w:val="24"/>
        </w:rPr>
        <w:t xml:space="preserve">) representing the deaths (with n the total number of deaths in an age-sex group for a particular cause of death) is found using the relation </w:t>
      </w:r>
      <w:r w:rsidR="006E6706" w:rsidRPr="00097CA5">
        <w:rPr>
          <w:noProof/>
          <w:sz w:val="24"/>
          <w:szCs w:val="24"/>
        </w:rPr>
        <w:t>below</w:t>
      </w:r>
      <w:r w:rsidRPr="00097CA5">
        <w:rPr>
          <w:noProof/>
          <w:sz w:val="24"/>
          <w:szCs w:val="24"/>
        </w:rPr>
        <w:t xml:space="preserve">: </w:t>
      </w:r>
    </w:p>
    <w:p w14:paraId="78ECE5E0" w14:textId="77777777" w:rsidR="006675AE" w:rsidRPr="00097CA5" w:rsidRDefault="0002508A" w:rsidP="005660AA">
      <w:pPr>
        <w:pStyle w:val="CommentText"/>
        <w:spacing w:line="480" w:lineRule="auto"/>
        <w:jc w:val="both"/>
        <w:rPr>
          <w:rFonts w:ascii="Calibri" w:eastAsiaTheme="minorEastAsia" w:hAnsi="Calibri"/>
          <w:noProof/>
          <w:sz w:val="24"/>
          <w:szCs w:val="24"/>
        </w:rPr>
      </w:pPr>
      <m:oMathPara>
        <m:oMath>
          <m:acc>
            <m:accPr>
              <m:chr m:val="̅"/>
              <m:ctrlPr>
                <w:rPr>
                  <w:rFonts w:ascii="Cambria Math" w:hAnsi="Cambria Math"/>
                  <w:noProof/>
                  <w:sz w:val="24"/>
                  <w:szCs w:val="24"/>
                </w:rPr>
              </m:ctrlPr>
            </m:accPr>
            <m:e>
              <m:r>
                <w:rPr>
                  <w:rFonts w:ascii="Cambria Math" w:hAnsi="Cambria Math"/>
                  <w:noProof/>
                  <w:sz w:val="24"/>
                  <w:szCs w:val="24"/>
                </w:rPr>
                <m:t>θ</m:t>
              </m:r>
            </m:e>
          </m:acc>
          <m:r>
            <m:rPr>
              <m:sty m:val="p"/>
            </m:rPr>
            <w:rPr>
              <w:rFonts w:ascii="Cambria Math" w:hAnsi="Cambria Math"/>
              <w:noProof/>
              <w:sz w:val="24"/>
              <w:szCs w:val="24"/>
            </w:rPr>
            <m:t>=</m:t>
          </m:r>
          <m:r>
            <w:rPr>
              <w:rFonts w:ascii="Cambria Math" w:hAnsi="Cambria Math"/>
              <w:noProof/>
              <w:sz w:val="24"/>
              <w:szCs w:val="24"/>
            </w:rPr>
            <m:t>arg</m:t>
          </m:r>
          <m:d>
            <m:dPr>
              <m:begChr m:val="{"/>
              <m:endChr m:val="}"/>
              <m:ctrlPr>
                <w:rPr>
                  <w:rFonts w:ascii="Cambria Math" w:hAnsi="Cambria Math"/>
                  <w:noProof/>
                  <w:sz w:val="24"/>
                  <w:szCs w:val="24"/>
                </w:rPr>
              </m:ctrlPr>
            </m:dPr>
            <m:e>
              <m:nary>
                <m:naryPr>
                  <m:chr m:val="∑"/>
                  <m:limLoc m:val="undOvr"/>
                  <m:ctrlPr>
                    <w:rPr>
                      <w:rFonts w:ascii="Cambria Math" w:hAnsi="Cambria Math"/>
                      <w:noProof/>
                      <w:sz w:val="24"/>
                      <w:szCs w:val="24"/>
                    </w:rPr>
                  </m:ctrlPr>
                </m:naryPr>
                <m:sub>
                  <m:r>
                    <w:rPr>
                      <w:rFonts w:ascii="Cambria Math" w:hAnsi="Cambria Math"/>
                      <w:noProof/>
                      <w:sz w:val="24"/>
                      <w:szCs w:val="24"/>
                    </w:rPr>
                    <m:t>j</m:t>
                  </m:r>
                  <m:r>
                    <m:rPr>
                      <m:sty m:val="p"/>
                    </m:rPr>
                    <w:rPr>
                      <w:rFonts w:ascii="Cambria Math" w:hAnsi="Cambria Math"/>
                      <w:noProof/>
                      <w:sz w:val="24"/>
                      <w:szCs w:val="24"/>
                    </w:rPr>
                    <m:t>=1</m:t>
                  </m:r>
                </m:sub>
                <m:sup>
                  <m:r>
                    <w:rPr>
                      <w:rFonts w:ascii="Cambria Math" w:hAnsi="Cambria Math"/>
                      <w:noProof/>
                      <w:sz w:val="24"/>
                      <w:szCs w:val="24"/>
                    </w:rPr>
                    <m:t>n</m:t>
                  </m:r>
                </m:sup>
                <m:e>
                  <m:r>
                    <m:rPr>
                      <m:sty m:val="p"/>
                    </m:rPr>
                    <w:rPr>
                      <w:rFonts w:ascii="Cambria Math" w:hAnsi="Cambria Math"/>
                      <w:noProof/>
                      <w:sz w:val="24"/>
                      <w:szCs w:val="24"/>
                    </w:rPr>
                    <m:t>exp⁡(i</m:t>
                  </m:r>
                  <m:sSub>
                    <m:sSubPr>
                      <m:ctrlPr>
                        <w:rPr>
                          <w:rFonts w:ascii="Cambria Math" w:hAnsi="Cambria Math"/>
                          <w:noProof/>
                          <w:sz w:val="24"/>
                          <w:szCs w:val="24"/>
                        </w:rPr>
                      </m:ctrlPr>
                    </m:sSubPr>
                    <m:e>
                      <m:r>
                        <w:rPr>
                          <w:rFonts w:ascii="Cambria Math" w:hAnsi="Cambria Math"/>
                          <w:noProof/>
                          <w:sz w:val="24"/>
                          <w:szCs w:val="24"/>
                        </w:rPr>
                        <m:t>θ</m:t>
                      </m:r>
                    </m:e>
                    <m:sub>
                      <m:r>
                        <w:rPr>
                          <w:rFonts w:ascii="Cambria Math" w:hAnsi="Cambria Math"/>
                          <w:noProof/>
                          <w:sz w:val="24"/>
                          <w:szCs w:val="24"/>
                        </w:rPr>
                        <m:t>j</m:t>
                      </m:r>
                    </m:sub>
                  </m:sSub>
                  <m:r>
                    <m:rPr>
                      <m:sty m:val="p"/>
                    </m:rPr>
                    <w:rPr>
                      <w:rFonts w:ascii="Cambria Math" w:hAnsi="Cambria Math"/>
                      <w:noProof/>
                      <w:sz w:val="24"/>
                      <w:szCs w:val="24"/>
                    </w:rPr>
                    <m:t>)</m:t>
                  </m:r>
                </m:e>
              </m:nary>
            </m:e>
          </m:d>
          <m:r>
            <m:rPr>
              <m:sty m:val="p"/>
            </m:rPr>
            <w:rPr>
              <w:rFonts w:ascii="Cambria Math" w:hAnsi="Cambria Math"/>
              <w:noProof/>
              <w:sz w:val="24"/>
              <w:szCs w:val="24"/>
            </w:rPr>
            <m:t>,</m:t>
          </m:r>
        </m:oMath>
      </m:oMathPara>
    </w:p>
    <w:p w14:paraId="333BCA39" w14:textId="29B5A9D4" w:rsidR="006675AE" w:rsidRPr="00097CA5" w:rsidRDefault="006675AE" w:rsidP="005660AA">
      <w:pPr>
        <w:spacing w:line="480" w:lineRule="auto"/>
        <w:jc w:val="center"/>
        <w:rPr>
          <w:noProof/>
          <w:sz w:val="24"/>
          <w:szCs w:val="24"/>
        </w:rPr>
      </w:pPr>
      <w:bookmarkStart w:id="18" w:name="_Ref6058114"/>
      <w:bookmarkStart w:id="19" w:name="_Toc7299827"/>
      <w:r w:rsidRPr="00097CA5">
        <w:rPr>
          <w:b/>
          <w:sz w:val="24"/>
          <w:szCs w:val="24"/>
        </w:rPr>
        <w:t xml:space="preserve">Equation </w:t>
      </w:r>
      <w:r w:rsidRPr="00097CA5">
        <w:rPr>
          <w:b/>
          <w:sz w:val="24"/>
          <w:szCs w:val="24"/>
        </w:rPr>
        <w:fldChar w:fldCharType="begin"/>
      </w:r>
      <w:r w:rsidRPr="00097CA5">
        <w:rPr>
          <w:b/>
          <w:sz w:val="24"/>
          <w:szCs w:val="24"/>
        </w:rPr>
        <w:instrText xml:space="preserve"> SEQ Equation \* ARABIC </w:instrText>
      </w:r>
      <w:r w:rsidRPr="00097CA5">
        <w:rPr>
          <w:b/>
          <w:sz w:val="24"/>
          <w:szCs w:val="24"/>
        </w:rPr>
        <w:fldChar w:fldCharType="separate"/>
      </w:r>
      <w:r w:rsidR="00762F63">
        <w:rPr>
          <w:b/>
          <w:noProof/>
          <w:sz w:val="24"/>
          <w:szCs w:val="24"/>
        </w:rPr>
        <w:t>1</w:t>
      </w:r>
      <w:r w:rsidRPr="00097CA5">
        <w:rPr>
          <w:b/>
          <w:sz w:val="24"/>
          <w:szCs w:val="24"/>
        </w:rPr>
        <w:fldChar w:fldCharType="end"/>
      </w:r>
      <w:bookmarkEnd w:id="18"/>
      <w:r w:rsidRPr="00097CA5">
        <w:rPr>
          <w:sz w:val="24"/>
          <w:szCs w:val="24"/>
        </w:rPr>
        <w:t>. Circular mean calculation.</w:t>
      </w:r>
      <w:bookmarkEnd w:id="19"/>
    </w:p>
    <w:p w14:paraId="17C9AC53" w14:textId="29C6BCC8" w:rsidR="006675AE" w:rsidRPr="00097CA5" w:rsidRDefault="00586376" w:rsidP="005660AA">
      <w:pPr>
        <w:spacing w:line="480" w:lineRule="auto"/>
        <w:jc w:val="both"/>
        <w:rPr>
          <w:noProof/>
          <w:sz w:val="24"/>
          <w:szCs w:val="24"/>
        </w:rPr>
      </w:pPr>
      <w:r>
        <w:rPr>
          <w:sz w:val="24"/>
          <w:szCs w:val="24"/>
        </w:rPr>
        <w:t xml:space="preserve">In </w:t>
      </w:r>
      <w:r w:rsidR="006675AE" w:rsidRPr="00097CA5">
        <w:rPr>
          <w:sz w:val="24"/>
          <w:szCs w:val="24"/>
        </w:rPr>
        <w:t xml:space="preserve"> </w:t>
      </w:r>
      <w:r w:rsidRPr="00097CA5">
        <w:rPr>
          <w:noProof/>
          <w:sz w:val="24"/>
          <w:szCs w:val="24"/>
        </w:rPr>
        <w:fldChar w:fldCharType="begin"/>
      </w:r>
      <w:r w:rsidRPr="00097CA5">
        <w:rPr>
          <w:noProof/>
          <w:sz w:val="24"/>
          <w:szCs w:val="24"/>
        </w:rPr>
        <w:instrText xml:space="preserve"> REF _Ref6058114 \h </w:instrText>
      </w:r>
      <w:r>
        <w:rPr>
          <w:noProof/>
          <w:sz w:val="24"/>
          <w:szCs w:val="24"/>
        </w:rPr>
        <w:instrText xml:space="preserve"> \* MERGEFORMAT </w:instrText>
      </w:r>
      <w:r w:rsidRPr="00097CA5">
        <w:rPr>
          <w:noProof/>
          <w:sz w:val="24"/>
          <w:szCs w:val="24"/>
        </w:rPr>
      </w:r>
      <w:r w:rsidRPr="00097CA5">
        <w:rPr>
          <w:noProof/>
          <w:sz w:val="24"/>
          <w:szCs w:val="24"/>
        </w:rPr>
        <w:fldChar w:fldCharType="separate"/>
      </w:r>
      <w:r w:rsidR="00762F63" w:rsidRPr="00097CA5">
        <w:rPr>
          <w:b/>
          <w:sz w:val="24"/>
          <w:szCs w:val="24"/>
        </w:rPr>
        <w:t xml:space="preserve">Equation </w:t>
      </w:r>
      <w:r w:rsidR="00762F63">
        <w:rPr>
          <w:b/>
          <w:noProof/>
          <w:sz w:val="24"/>
          <w:szCs w:val="24"/>
        </w:rPr>
        <w:t>1</w:t>
      </w:r>
      <w:r w:rsidRPr="00097CA5">
        <w:rPr>
          <w:noProof/>
          <w:sz w:val="24"/>
          <w:szCs w:val="24"/>
        </w:rPr>
        <w:fldChar w:fldCharType="end"/>
      </w:r>
      <w:r>
        <w:rPr>
          <w:noProof/>
          <w:sz w:val="24"/>
          <w:szCs w:val="24"/>
        </w:rPr>
        <w:t xml:space="preserve">, </w:t>
      </w:r>
      <m:oMath>
        <m:r>
          <w:rPr>
            <w:rFonts w:ascii="Cambria Math" w:hAnsi="Cambria Math"/>
            <w:noProof/>
            <w:sz w:val="24"/>
            <w:szCs w:val="24"/>
          </w:rPr>
          <m:t>arg</m:t>
        </m:r>
      </m:oMath>
      <w:r w:rsidR="006675AE" w:rsidRPr="00097CA5">
        <w:rPr>
          <w:sz w:val="24"/>
          <w:szCs w:val="24"/>
        </w:rPr>
        <w:t xml:space="preserve"> denotes the complex number argument and </w:t>
      </w:r>
      <m:oMath>
        <m:sSub>
          <m:sSubPr>
            <m:ctrlPr>
              <w:rPr>
                <w:rFonts w:ascii="Cambria Math" w:hAnsi="Cambria Math"/>
                <w:i/>
                <w:sz w:val="24"/>
                <w:szCs w:val="24"/>
              </w:rPr>
            </m:ctrlPr>
          </m:sSubPr>
          <m:e>
            <m:r>
              <w:rPr>
                <w:rFonts w:ascii="Cambria Math" w:hAnsi="Cambria Math"/>
                <w:sz w:val="24"/>
                <w:szCs w:val="24"/>
              </w:rPr>
              <m:t>θ</m:t>
            </m:r>
          </m:e>
          <m:sub>
            <m:r>
              <w:rPr>
                <w:rFonts w:ascii="Cambria Math" w:hAnsi="Cambria Math"/>
                <w:sz w:val="24"/>
                <w:szCs w:val="24"/>
              </w:rPr>
              <m:t>j</m:t>
            </m:r>
          </m:sub>
        </m:sSub>
      </m:oMath>
      <w:r w:rsidR="006675AE" w:rsidRPr="00097CA5">
        <w:rPr>
          <w:sz w:val="24"/>
          <w:szCs w:val="24"/>
        </w:rPr>
        <w:t xml:space="preserve"> denotes the month of death in angular form for a particular death </w:t>
      </w:r>
      <m:oMath>
        <m:r>
          <w:rPr>
            <w:rFonts w:ascii="Cambria Math" w:hAnsi="Cambria Math"/>
            <w:sz w:val="24"/>
            <w:szCs w:val="24"/>
          </w:rPr>
          <m:t>j</m:t>
        </m:r>
      </m:oMath>
      <w:r w:rsidR="006675AE" w:rsidRPr="00097CA5">
        <w:rPr>
          <w:sz w:val="24"/>
          <w:szCs w:val="24"/>
        </w:rPr>
        <w:t xml:space="preserve">. The outcome of this calculation is then converted back into a month value </w:t>
      </w:r>
      <w:r w:rsidR="006675AE" w:rsidRPr="00097CA5">
        <w:rPr>
          <w:sz w:val="24"/>
          <w:szCs w:val="24"/>
        </w:rPr>
        <w:fldChar w:fldCharType="begin" w:fldLock="1"/>
      </w:r>
      <w:r w:rsidR="006675AE" w:rsidRPr="00097CA5">
        <w:rPr>
          <w:sz w:val="24"/>
          <w:szCs w:val="24"/>
        </w:rPr>
        <w:instrText>ADDIN CSL_CITATION {"citationItems":[{"id":"ITEM-1","itemData":{"author":[{"dropping-particle":"","family":"Fisher","given":"Nicholas I","non-dropping-particle":"","parse-names":false,"suffix":""}],"id":"ITEM-1","issued":{"date-parts":[["1995"]]},"publisher":"Cambridge University Press","title":"Statistical analysis of circular data","type":"book"},"uris":["http://www.mendeley.com/documents/?uuid=e0e696d2-d3a7-48ae-8ad5-7bd596d8089d"]}],"mendeley":{"formattedCitation":"(Fisher, 1995)","plainTextFormattedCitation":"(Fisher, 1995)","previouslyFormattedCitation":"(Fisher, 1995)"},"properties":{"noteIndex":0},"schema":"https://github.com/citation-style-language/schema/raw/master/csl-citation.json"}</w:instrText>
      </w:r>
      <w:r w:rsidR="006675AE" w:rsidRPr="00097CA5">
        <w:rPr>
          <w:sz w:val="24"/>
          <w:szCs w:val="24"/>
        </w:rPr>
        <w:fldChar w:fldCharType="separate"/>
      </w:r>
      <w:r w:rsidR="006675AE" w:rsidRPr="00097CA5">
        <w:rPr>
          <w:noProof/>
          <w:sz w:val="24"/>
          <w:szCs w:val="24"/>
        </w:rPr>
        <w:t>(Fisher, 1995)</w:t>
      </w:r>
      <w:r w:rsidR="006675AE" w:rsidRPr="00097CA5">
        <w:rPr>
          <w:sz w:val="24"/>
          <w:szCs w:val="24"/>
        </w:rPr>
        <w:fldChar w:fldCharType="end"/>
      </w:r>
      <w:r w:rsidR="006675AE" w:rsidRPr="00097CA5">
        <w:rPr>
          <w:sz w:val="24"/>
          <w:szCs w:val="24"/>
        </w:rPr>
        <w:t>. Along with each circular mean, a 95% confidence interval (CI) was calculated by using 1000 bootstrap samples. The R package CircStats (version 0.2.4) was used for this analysis.</w:t>
      </w:r>
    </w:p>
    <w:p w14:paraId="10AE2CA7" w14:textId="32CFC88F" w:rsidR="007D3BCB" w:rsidRDefault="006675AE" w:rsidP="007D3BCB">
      <w:pPr>
        <w:spacing w:line="480" w:lineRule="auto"/>
        <w:ind w:firstLine="720"/>
        <w:jc w:val="both"/>
        <w:rPr>
          <w:sz w:val="24"/>
          <w:szCs w:val="24"/>
        </w:rPr>
      </w:pPr>
      <w:r w:rsidRPr="00097CA5">
        <w:rPr>
          <w:sz w:val="24"/>
          <w:szCs w:val="24"/>
        </w:rPr>
        <w:t xml:space="preserve">For each age-sex group and cause of death, and for each year, </w:t>
      </w:r>
      <w:r w:rsidR="002A45D1">
        <w:rPr>
          <w:sz w:val="24"/>
          <w:szCs w:val="24"/>
        </w:rPr>
        <w:t>I</w:t>
      </w:r>
      <w:r w:rsidRPr="00097CA5">
        <w:rPr>
          <w:sz w:val="24"/>
          <w:szCs w:val="24"/>
        </w:rPr>
        <w:t xml:space="preserve"> calculated the percent difference in death rates between the maximum and minimum mortality months. </w:t>
      </w:r>
      <w:r w:rsidR="002A45D1">
        <w:rPr>
          <w:sz w:val="24"/>
          <w:szCs w:val="24"/>
        </w:rPr>
        <w:t>I</w:t>
      </w:r>
      <w:r w:rsidRPr="00097CA5">
        <w:rPr>
          <w:sz w:val="24"/>
          <w:szCs w:val="24"/>
        </w:rPr>
        <w:t xml:space="preserve"> fitted a </w:t>
      </w:r>
      <w:r w:rsidRPr="00097CA5">
        <w:rPr>
          <w:sz w:val="24"/>
          <w:szCs w:val="24"/>
        </w:rPr>
        <w:lastRenderedPageBreak/>
        <w:t>linear regression to the time series of seasonal differences from 1980 to 2016</w:t>
      </w:r>
      <w:r w:rsidR="00E85491" w:rsidRPr="00097CA5">
        <w:rPr>
          <w:sz w:val="24"/>
          <w:szCs w:val="24"/>
        </w:rPr>
        <w:t xml:space="preserve"> </w:t>
      </w:r>
      <w:r w:rsidRPr="00097CA5">
        <w:rPr>
          <w:sz w:val="24"/>
          <w:szCs w:val="24"/>
        </w:rPr>
        <w:t xml:space="preserve">and used the fitted trend line to estimate how much the percentage difference in death rates between the maximum and minimum mortality months had changed from 1980 to 2016. </w:t>
      </w:r>
      <w:r w:rsidR="002A45D1">
        <w:rPr>
          <w:sz w:val="24"/>
          <w:szCs w:val="24"/>
        </w:rPr>
        <w:t>I</w:t>
      </w:r>
      <w:r w:rsidRPr="00097CA5">
        <w:rPr>
          <w:sz w:val="24"/>
          <w:szCs w:val="24"/>
        </w:rPr>
        <w:t xml:space="preserve"> weighted seasonal difference by the inverse of the square of its standard error, which was calculated using a Poisson model to take population size of each age-sex group through time into account. This method gives a p-value for the change in seasonal difference per year, which </w:t>
      </w:r>
      <w:r w:rsidR="002A45D1">
        <w:rPr>
          <w:sz w:val="24"/>
          <w:szCs w:val="24"/>
        </w:rPr>
        <w:t>I</w:t>
      </w:r>
      <w:r w:rsidRPr="00097CA5">
        <w:rPr>
          <w:sz w:val="24"/>
          <w:szCs w:val="24"/>
        </w:rPr>
        <w:t xml:space="preserve"> used to calculate the seasonal difference at the start (1980) and end (2016) of the period of study. Our method of analysing seasonal differences avoids assuming that any specific month or group of months represent highest and lowest number of deaths for a particular cause of death, which is the approach taken by the traditional measure of Excess Winter Deaths. It also allows the maximum and minimum mortality months to vary by age group, sex and cause of death.</w:t>
      </w:r>
      <w:r w:rsidR="007D3BCB">
        <w:rPr>
          <w:sz w:val="24"/>
          <w:szCs w:val="24"/>
        </w:rPr>
        <w:t xml:space="preserve"> </w:t>
      </w:r>
      <w:bookmarkStart w:id="20" w:name="_Toc6045010"/>
    </w:p>
    <w:p w14:paraId="37DFC21F" w14:textId="506D6AFC" w:rsidR="00FA761E" w:rsidRDefault="00FA761E" w:rsidP="007D3BCB">
      <w:pPr>
        <w:pStyle w:val="Heading2"/>
      </w:pPr>
      <w:bookmarkStart w:id="21" w:name="_Toc7299803"/>
      <w:r w:rsidRPr="00127064">
        <w:t>Results</w:t>
      </w:r>
      <w:bookmarkEnd w:id="20"/>
      <w:bookmarkEnd w:id="21"/>
    </w:p>
    <w:p w14:paraId="1E26EE04" w14:textId="77777777" w:rsidR="00FA761E" w:rsidRPr="009B7A89" w:rsidRDefault="00FA761E" w:rsidP="00FA761E">
      <w:pPr>
        <w:pStyle w:val="Heading3"/>
      </w:pPr>
      <w:bookmarkStart w:id="22" w:name="_Toc7299804"/>
      <w:r>
        <w:t>Wavelet analysis</w:t>
      </w:r>
      <w:bookmarkEnd w:id="22"/>
    </w:p>
    <w:p w14:paraId="5685BF42" w14:textId="68EDFB82" w:rsidR="00FA761E" w:rsidRDefault="00FA761E" w:rsidP="00FA761E">
      <w:pPr>
        <w:spacing w:line="480" w:lineRule="auto"/>
        <w:ind w:firstLine="720"/>
        <w:jc w:val="both"/>
        <w:rPr>
          <w:sz w:val="24"/>
          <w:szCs w:val="24"/>
        </w:rPr>
      </w:pPr>
      <w:r w:rsidRPr="00097CA5">
        <w:rPr>
          <w:sz w:val="24"/>
          <w:szCs w:val="24"/>
        </w:rPr>
        <w:t>All-cause mortality in males had a 12-month seasonality in all age groups, except ages 35-44 years, for whom there was periodicity at 6 months (</w:t>
      </w:r>
      <w:r>
        <w:rPr>
          <w:sz w:val="24"/>
          <w:szCs w:val="24"/>
        </w:rPr>
        <w:fldChar w:fldCharType="begin"/>
      </w:r>
      <w:r>
        <w:rPr>
          <w:sz w:val="24"/>
          <w:szCs w:val="24"/>
        </w:rPr>
        <w:instrText xml:space="preserve"> REF _Ref6062190 \h </w:instrText>
      </w:r>
      <w:r>
        <w:rPr>
          <w:sz w:val="24"/>
          <w:szCs w:val="24"/>
        </w:rPr>
      </w:r>
      <w:r>
        <w:rPr>
          <w:sz w:val="24"/>
          <w:szCs w:val="24"/>
        </w:rPr>
        <w:fldChar w:fldCharType="separate"/>
      </w:r>
      <w:r w:rsidR="00762F63" w:rsidRPr="00A716F5">
        <w:rPr>
          <w:b/>
        </w:rPr>
        <w:t xml:space="preserve">Figure </w:t>
      </w:r>
      <w:r w:rsidR="00762F63">
        <w:rPr>
          <w:b/>
          <w:noProof/>
        </w:rPr>
        <w:t>1</w:t>
      </w:r>
      <w:r>
        <w:rPr>
          <w:sz w:val="24"/>
          <w:szCs w:val="24"/>
        </w:rPr>
        <w:fldChar w:fldCharType="end"/>
      </w:r>
      <w:r w:rsidRPr="00097CA5">
        <w:rPr>
          <w:sz w:val="24"/>
          <w:szCs w:val="24"/>
        </w:rPr>
        <w:t>). In females, there was 12-month seasonality in all groups except 5-14 and 25-34 years (p-values=0.21 and 0.25, respectively) (</w:t>
      </w:r>
      <w:r>
        <w:rPr>
          <w:sz w:val="24"/>
          <w:szCs w:val="24"/>
        </w:rPr>
        <w:fldChar w:fldCharType="begin"/>
      </w:r>
      <w:r>
        <w:rPr>
          <w:sz w:val="24"/>
          <w:szCs w:val="24"/>
        </w:rPr>
        <w:instrText xml:space="preserve"> REF _Ref6062668 \h </w:instrText>
      </w:r>
      <w:r>
        <w:rPr>
          <w:sz w:val="24"/>
          <w:szCs w:val="24"/>
        </w:rPr>
      </w:r>
      <w:r>
        <w:rPr>
          <w:sz w:val="24"/>
          <w:szCs w:val="24"/>
        </w:rPr>
        <w:fldChar w:fldCharType="separate"/>
      </w:r>
      <w:r w:rsidR="00762F63" w:rsidRPr="00CF6791">
        <w:rPr>
          <w:b/>
        </w:rPr>
        <w:t xml:space="preserve">Figure </w:t>
      </w:r>
      <w:r w:rsidR="00762F63">
        <w:rPr>
          <w:b/>
          <w:noProof/>
        </w:rPr>
        <w:t>2</w:t>
      </w:r>
      <w:r>
        <w:rPr>
          <w:sz w:val="24"/>
          <w:szCs w:val="24"/>
        </w:rPr>
        <w:fldChar w:fldCharType="end"/>
      </w:r>
      <w:r w:rsidRPr="00097CA5">
        <w:rPr>
          <w:sz w:val="24"/>
          <w:szCs w:val="24"/>
        </w:rPr>
        <w:t xml:space="preserve">). While seasonality persisted throughout the entire analysis period in older ages, it largely disappeared after late 1990s in children aged 0-4 years in both sexes and in women aged 15-24 years. </w:t>
      </w:r>
    </w:p>
    <w:p w14:paraId="6262BAF8" w14:textId="66110415" w:rsidR="00BE6A98" w:rsidRDefault="00FA761E" w:rsidP="00FA761E">
      <w:pPr>
        <w:spacing w:line="480" w:lineRule="auto"/>
        <w:ind w:firstLine="720"/>
        <w:jc w:val="both"/>
        <w:rPr>
          <w:sz w:val="24"/>
          <w:szCs w:val="24"/>
        </w:rPr>
        <w:sectPr w:rsidR="00BE6A98" w:rsidSect="0083190B">
          <w:footerReference w:type="even" r:id="rId27"/>
          <w:footerReference w:type="default" r:id="rId28"/>
          <w:pgSz w:w="11900" w:h="16840"/>
          <w:pgMar w:top="1440" w:right="1440" w:bottom="1440" w:left="1440" w:header="720" w:footer="720" w:gutter="0"/>
          <w:lnNumType w:countBy="1" w:restart="continuous"/>
          <w:cols w:space="720"/>
          <w:docGrid w:linePitch="360"/>
        </w:sectPr>
      </w:pPr>
      <w:r w:rsidRPr="00097CA5">
        <w:rPr>
          <w:sz w:val="24"/>
          <w:szCs w:val="24"/>
        </w:rPr>
        <w:t>Deaths from all causes of death were seasonal in older adults (above 65 or 75 years depending on cause, p-values&lt;0.06) (</w:t>
      </w:r>
      <w:r w:rsidR="001A7F70">
        <w:rPr>
          <w:sz w:val="24"/>
          <w:szCs w:val="24"/>
        </w:rPr>
        <w:fldChar w:fldCharType="begin"/>
      </w:r>
      <w:r w:rsidR="001A7F70">
        <w:rPr>
          <w:sz w:val="24"/>
          <w:szCs w:val="24"/>
        </w:rPr>
        <w:instrText xml:space="preserve"> REF _Ref6066458 \h </w:instrText>
      </w:r>
      <w:r w:rsidR="001A7F70">
        <w:rPr>
          <w:sz w:val="24"/>
          <w:szCs w:val="24"/>
        </w:rPr>
      </w:r>
      <w:r w:rsidR="001A7F70">
        <w:rPr>
          <w:sz w:val="24"/>
          <w:szCs w:val="24"/>
        </w:rPr>
        <w:fldChar w:fldCharType="separate"/>
      </w:r>
      <w:r w:rsidR="00762F63" w:rsidRPr="00A716F5">
        <w:rPr>
          <w:b/>
        </w:rPr>
        <w:t xml:space="preserve">Figure </w:t>
      </w:r>
      <w:r w:rsidR="00762F63">
        <w:rPr>
          <w:b/>
          <w:noProof/>
        </w:rPr>
        <w:t>3</w:t>
      </w:r>
      <w:r w:rsidR="001A7F70">
        <w:rPr>
          <w:sz w:val="24"/>
          <w:szCs w:val="24"/>
        </w:rPr>
        <w:fldChar w:fldCharType="end"/>
      </w:r>
      <w:r w:rsidR="001A7F70">
        <w:rPr>
          <w:sz w:val="24"/>
          <w:szCs w:val="24"/>
        </w:rPr>
        <w:t xml:space="preserve"> </w:t>
      </w:r>
      <w:r w:rsidR="00D043C1">
        <w:rPr>
          <w:sz w:val="24"/>
          <w:szCs w:val="24"/>
        </w:rPr>
        <w:t>to</w:t>
      </w:r>
      <w:r w:rsidR="001A7F70">
        <w:rPr>
          <w:sz w:val="24"/>
          <w:szCs w:val="24"/>
        </w:rPr>
        <w:t xml:space="preserve"> </w:t>
      </w:r>
      <w:r w:rsidR="001A7F70">
        <w:rPr>
          <w:sz w:val="24"/>
          <w:szCs w:val="24"/>
        </w:rPr>
        <w:fldChar w:fldCharType="begin"/>
      </w:r>
      <w:r w:rsidR="001A7F70">
        <w:rPr>
          <w:sz w:val="24"/>
          <w:szCs w:val="24"/>
        </w:rPr>
        <w:instrText xml:space="preserve"> REF _Ref6066466 \h </w:instrText>
      </w:r>
      <w:r w:rsidR="001A7F70">
        <w:rPr>
          <w:sz w:val="24"/>
          <w:szCs w:val="24"/>
        </w:rPr>
      </w:r>
      <w:r w:rsidR="001A7F70">
        <w:rPr>
          <w:sz w:val="24"/>
          <w:szCs w:val="24"/>
        </w:rPr>
        <w:fldChar w:fldCharType="separate"/>
      </w:r>
      <w:r w:rsidR="00762F63" w:rsidRPr="00A716F5">
        <w:rPr>
          <w:b/>
        </w:rPr>
        <w:t xml:space="preserve">Figure </w:t>
      </w:r>
      <w:r w:rsidR="00762F63">
        <w:rPr>
          <w:b/>
          <w:noProof/>
        </w:rPr>
        <w:t>10</w:t>
      </w:r>
      <w:r w:rsidR="001A7F70">
        <w:rPr>
          <w:sz w:val="24"/>
          <w:szCs w:val="24"/>
        </w:rPr>
        <w:fldChar w:fldCharType="end"/>
      </w:r>
      <w:r w:rsidRPr="00097CA5">
        <w:rPr>
          <w:sz w:val="24"/>
          <w:szCs w:val="24"/>
        </w:rPr>
        <w:t>), except for intentional injuries and substance use disorders. Deaths from cardiorespiratory diseases</w:t>
      </w:r>
      <w:r w:rsidR="00BA5823" w:rsidRPr="00BA5823">
        <w:rPr>
          <w:sz w:val="24"/>
          <w:szCs w:val="24"/>
        </w:rPr>
        <w:t xml:space="preserve"> </w:t>
      </w:r>
      <w:r w:rsidRPr="00097CA5">
        <w:rPr>
          <w:sz w:val="24"/>
          <w:szCs w:val="24"/>
        </w:rPr>
        <w:t xml:space="preserve">exhibited seasonality </w:t>
      </w:r>
      <w:r w:rsidRPr="00097CA5">
        <w:rPr>
          <w:sz w:val="24"/>
          <w:szCs w:val="24"/>
        </w:rPr>
        <w:lastRenderedPageBreak/>
        <w:t>throughout the life-course (p-values&lt;</w:t>
      </w:r>
      <w:r w:rsidRPr="007D3BCB">
        <w:rPr>
          <w:sz w:val="24"/>
          <w:szCs w:val="24"/>
        </w:rPr>
        <w:t>0.06) except for males aged 5-24 years and females aged 15-24 years (p-values&gt;0.11). In addition to older ages, injury deaths were seasonal from childhood through 44 years in women and through 64 years in men (p-values&lt;0.09).</w:t>
      </w:r>
      <w:r w:rsidRPr="00097CA5">
        <w:rPr>
          <w:sz w:val="24"/>
          <w:szCs w:val="24"/>
        </w:rPr>
        <w:t xml:space="preserve"> Consistent seasonality in cancer deaths (</w:t>
      </w:r>
      <w:r w:rsidR="00A43F9E">
        <w:rPr>
          <w:sz w:val="24"/>
          <w:szCs w:val="24"/>
        </w:rPr>
        <w:fldChar w:fldCharType="begin"/>
      </w:r>
      <w:r w:rsidR="00A43F9E">
        <w:rPr>
          <w:sz w:val="24"/>
          <w:szCs w:val="24"/>
        </w:rPr>
        <w:instrText xml:space="preserve"> REF _Ref6066458 \h </w:instrText>
      </w:r>
      <w:r w:rsidR="00A43F9E">
        <w:rPr>
          <w:sz w:val="24"/>
          <w:szCs w:val="24"/>
        </w:rPr>
      </w:r>
      <w:r w:rsidR="00A43F9E">
        <w:rPr>
          <w:sz w:val="24"/>
          <w:szCs w:val="24"/>
        </w:rPr>
        <w:fldChar w:fldCharType="separate"/>
      </w:r>
      <w:r w:rsidR="00762F63" w:rsidRPr="00A716F5">
        <w:rPr>
          <w:b/>
        </w:rPr>
        <w:t xml:space="preserve">Figure </w:t>
      </w:r>
      <w:r w:rsidR="00762F63">
        <w:rPr>
          <w:b/>
          <w:noProof/>
        </w:rPr>
        <w:t>3</w:t>
      </w:r>
      <w:r w:rsidR="00A43F9E">
        <w:rPr>
          <w:sz w:val="24"/>
          <w:szCs w:val="24"/>
        </w:rPr>
        <w:fldChar w:fldCharType="end"/>
      </w:r>
      <w:r w:rsidR="00A43F9E">
        <w:rPr>
          <w:sz w:val="24"/>
          <w:szCs w:val="24"/>
        </w:rPr>
        <w:t xml:space="preserve"> and </w:t>
      </w:r>
      <w:r w:rsidR="00A43F9E">
        <w:rPr>
          <w:sz w:val="24"/>
          <w:szCs w:val="24"/>
        </w:rPr>
        <w:fldChar w:fldCharType="begin"/>
      </w:r>
      <w:r w:rsidR="00A43F9E">
        <w:rPr>
          <w:sz w:val="24"/>
          <w:szCs w:val="24"/>
        </w:rPr>
        <w:instrText xml:space="preserve"> REF _Ref6155648 \h </w:instrText>
      </w:r>
      <w:r w:rsidR="00A43F9E">
        <w:rPr>
          <w:sz w:val="24"/>
          <w:szCs w:val="24"/>
        </w:rPr>
      </w:r>
      <w:r w:rsidR="00A43F9E">
        <w:rPr>
          <w:sz w:val="24"/>
          <w:szCs w:val="24"/>
        </w:rPr>
        <w:fldChar w:fldCharType="separate"/>
      </w:r>
      <w:r w:rsidR="00762F63" w:rsidRPr="00A716F5">
        <w:rPr>
          <w:b/>
        </w:rPr>
        <w:t xml:space="preserve">Figure </w:t>
      </w:r>
      <w:r w:rsidR="00762F63">
        <w:rPr>
          <w:b/>
          <w:noProof/>
        </w:rPr>
        <w:t>4</w:t>
      </w:r>
      <w:r w:rsidR="00A43F9E">
        <w:rPr>
          <w:sz w:val="24"/>
          <w:szCs w:val="24"/>
        </w:rPr>
        <w:fldChar w:fldCharType="end"/>
      </w:r>
      <w:r w:rsidRPr="00097CA5">
        <w:rPr>
          <w:sz w:val="24"/>
          <w:szCs w:val="24"/>
        </w:rPr>
        <w:t>) only appeared after 55 years of age (p-values&lt;</w:t>
      </w:r>
      <w:r w:rsidRPr="00FE77F6">
        <w:rPr>
          <w:sz w:val="24"/>
          <w:szCs w:val="24"/>
        </w:rPr>
        <w:t>0.05</w:t>
      </w:r>
      <w:r w:rsidRPr="00097CA5">
        <w:rPr>
          <w:sz w:val="24"/>
          <w:szCs w:val="24"/>
        </w:rPr>
        <w:t>).</w:t>
      </w:r>
    </w:p>
    <w:p w14:paraId="18AC7C3F" w14:textId="5E43A511" w:rsidR="00BE6A98" w:rsidRDefault="00E84009" w:rsidP="006D1A83">
      <w:pPr>
        <w:sectPr w:rsidR="00BE6A98" w:rsidSect="004802FF">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43904" behindDoc="0" locked="0" layoutInCell="1" allowOverlap="1" wp14:anchorId="2FBDA8F3" wp14:editId="64207835">
                <wp:simplePos x="0" y="0"/>
                <wp:positionH relativeFrom="column">
                  <wp:posOffset>213833</wp:posOffset>
                </wp:positionH>
                <wp:positionV relativeFrom="paragraph">
                  <wp:posOffset>5781513</wp:posOffset>
                </wp:positionV>
                <wp:extent cx="9388475" cy="665018"/>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9388475" cy="665018"/>
                        </a:xfrm>
                        <a:prstGeom prst="rect">
                          <a:avLst/>
                        </a:prstGeom>
                        <a:solidFill>
                          <a:prstClr val="white"/>
                        </a:solidFill>
                        <a:ln>
                          <a:noFill/>
                        </a:ln>
                      </wps:spPr>
                      <wps:txbx>
                        <w:txbxContent>
                          <w:p w14:paraId="55892016" w14:textId="385D2029" w:rsidR="0002341C" w:rsidRPr="000D1D90" w:rsidRDefault="0002341C" w:rsidP="00AD2496">
                            <w:pPr>
                              <w:jc w:val="center"/>
                              <w:rPr>
                                <w:noProof/>
                              </w:rPr>
                            </w:pPr>
                            <w:bookmarkStart w:id="23" w:name="_Ref6062190"/>
                            <w:bookmarkStart w:id="24" w:name="_Toc7299810"/>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1</w:t>
                            </w:r>
                            <w:r w:rsidRPr="00A716F5">
                              <w:rPr>
                                <w:b/>
                              </w:rPr>
                              <w:fldChar w:fldCharType="end"/>
                            </w:r>
                            <w:bookmarkEnd w:id="23"/>
                            <w:r>
                              <w:t xml:space="preserve">. </w:t>
                            </w:r>
                            <w:r w:rsidRPr="00127064">
                              <w:t>Wavelet power spectra for national time series of all-cause death rates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24"/>
                          </w:p>
                          <w:p w14:paraId="3556A460" w14:textId="77777777" w:rsidR="0002341C" w:rsidRDefault="0002341C" w:rsidP="00AD2496">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FBDA8F3" id="_x0000_t202" coordsize="21600,21600" o:spt="202" path="m,l,21600r21600,l21600,xe">
                <v:stroke joinstyle="miter"/>
                <v:path gradientshapeok="t" o:connecttype="rect"/>
              </v:shapetype>
              <v:shape id="Text Box 4" o:spid="_x0000_s1026" type="#_x0000_t202" style="position:absolute;margin-left:16.85pt;margin-top:455.25pt;width:739.25pt;height:52.3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" stroked="f">
                <v:textbox inset="0,0,0,0">
                  <w:txbxContent>
                    <w:p w14:paraId="55892016" w14:textId="385D2029" w:rsidR="0002341C" w:rsidRPr="000D1D90" w:rsidRDefault="0002341C" w:rsidP="00AD2496">
                      <w:pPr>
                        <w:jc w:val="center"/>
                        <w:rPr>
                          <w:noProof/>
                        </w:rPr>
                      </w:pPr>
                      <w:bookmarkStart w:id="25" w:name="_Ref6062190"/>
                      <w:bookmarkStart w:id="26" w:name="_Toc7299810"/>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1</w:t>
                      </w:r>
                      <w:r w:rsidRPr="00A716F5">
                        <w:rPr>
                          <w:b/>
                        </w:rPr>
                        <w:fldChar w:fldCharType="end"/>
                      </w:r>
                      <w:bookmarkEnd w:id="25"/>
                      <w:r>
                        <w:t xml:space="preserve">. </w:t>
                      </w:r>
                      <w:r w:rsidRPr="00127064">
                        <w:t>Wavelet power spectra for national time series of all-cause death rates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26"/>
                    </w:p>
                    <w:p w14:paraId="3556A460" w14:textId="77777777" w:rsidR="0002341C" w:rsidRDefault="0002341C" w:rsidP="00AD2496">
                      <w:pPr>
                        <w:jc w:val="center"/>
                      </w:pPr>
                    </w:p>
                  </w:txbxContent>
                </v:textbox>
                <w10:wrap type="topAndBottom"/>
              </v:shape>
            </w:pict>
          </mc:Fallback>
        </mc:AlternateContent>
      </w:r>
    </w:p>
    <w:p w14:paraId="6DE03844" w14:textId="5580EB3B" w:rsidR="003E30A0" w:rsidRDefault="00EB3971" w:rsidP="006D1A83">
      <w:pPr>
        <w:sectPr w:rsidR="003E30A0" w:rsidSect="00EA1251">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48000" behindDoc="0" locked="0" layoutInCell="1" allowOverlap="1" wp14:anchorId="41D3A46C" wp14:editId="4DCD215B">
                <wp:simplePos x="0" y="0"/>
                <wp:positionH relativeFrom="column">
                  <wp:posOffset>215900</wp:posOffset>
                </wp:positionH>
                <wp:positionV relativeFrom="paragraph">
                  <wp:posOffset>5731683</wp:posOffset>
                </wp:positionV>
                <wp:extent cx="9388475" cy="635"/>
                <wp:effectExtent l="0" t="0" r="0" b="0"/>
                <wp:wrapTopAndBottom/>
                <wp:docPr id="25" name="Text Box 25"/>
                <wp:cNvGraphicFramePr/>
                <a:graphic xmlns:a="http://schemas.openxmlformats.org/drawingml/2006/main">
                  <a:graphicData uri="http://schemas.microsoft.com/office/word/2010/wordprocessingShape">
                    <wps:wsp>
                      <wps:cNvSpPr txBox="1"/>
                      <wps:spPr>
                        <a:xfrm>
                          <a:off x="0" y="0"/>
                          <a:ext cx="9388475" cy="635"/>
                        </a:xfrm>
                        <a:prstGeom prst="rect">
                          <a:avLst/>
                        </a:prstGeom>
                        <a:solidFill>
                          <a:prstClr val="white"/>
                        </a:solidFill>
                        <a:ln>
                          <a:noFill/>
                        </a:ln>
                      </wps:spPr>
                      <wps:txbx>
                        <w:txbxContent>
                          <w:p w14:paraId="758DEE91" w14:textId="09FF8710" w:rsidR="0002341C" w:rsidRPr="003B4CC9" w:rsidRDefault="0002341C" w:rsidP="00AD2496">
                            <w:pPr>
                              <w:jc w:val="center"/>
                              <w:rPr>
                                <w:noProof/>
                              </w:rPr>
                            </w:pPr>
                            <w:bookmarkStart w:id="25" w:name="_Ref6062668"/>
                            <w:bookmarkStart w:id="26" w:name="_Toc7299811"/>
                            <w:r w:rsidRPr="00CF6791">
                              <w:rPr>
                                <w:b/>
                              </w:rPr>
                              <w:t xml:space="preserve">Figure </w:t>
                            </w:r>
                            <w:r w:rsidRPr="00CF6791">
                              <w:rPr>
                                <w:b/>
                              </w:rPr>
                              <w:fldChar w:fldCharType="begin"/>
                            </w:r>
                            <w:r w:rsidRPr="00CF6791">
                              <w:rPr>
                                <w:b/>
                              </w:rPr>
                              <w:instrText xml:space="preserve"> SEQ Figure \* ARABIC </w:instrText>
                            </w:r>
                            <w:r w:rsidRPr="00CF6791">
                              <w:rPr>
                                <w:b/>
                              </w:rPr>
                              <w:fldChar w:fldCharType="separate"/>
                            </w:r>
                            <w:r>
                              <w:rPr>
                                <w:b/>
                                <w:noProof/>
                              </w:rPr>
                              <w:t>2</w:t>
                            </w:r>
                            <w:r w:rsidRPr="00CF6791">
                              <w:rPr>
                                <w:b/>
                              </w:rPr>
                              <w:fldChar w:fldCharType="end"/>
                            </w:r>
                            <w:bookmarkEnd w:id="25"/>
                            <w:r>
                              <w:t xml:space="preserve">. </w:t>
                            </w:r>
                            <w:r w:rsidRPr="00127064">
                              <w:t>Wavelet power spectra for national time series of all-cause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1D3A46C" id="Text Box 25" o:spid="_x0000_s1027" type="#_x0000_t202" style="position:absolute;margin-left:17pt;margin-top:451.3pt;width:739.25pt;height:.0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" stroked="f">
                <v:textbox style="mso-fit-shape-to-text:t" inset="0,0,0,0">
                  <w:txbxContent>
                    <w:p w14:paraId="758DEE91" w14:textId="09FF8710" w:rsidR="0002341C" w:rsidRPr="003B4CC9" w:rsidRDefault="0002341C" w:rsidP="00AD2496">
                      <w:pPr>
                        <w:jc w:val="center"/>
                        <w:rPr>
                          <w:noProof/>
                        </w:rPr>
                      </w:pPr>
                      <w:bookmarkStart w:id="29" w:name="_Ref6062668"/>
                      <w:bookmarkStart w:id="30" w:name="_Toc7299811"/>
                      <w:r w:rsidRPr="00CF6791">
                        <w:rPr>
                          <w:b/>
                        </w:rPr>
                        <w:t xml:space="preserve">Figure </w:t>
                      </w:r>
                      <w:r w:rsidRPr="00CF6791">
                        <w:rPr>
                          <w:b/>
                        </w:rPr>
                        <w:fldChar w:fldCharType="begin"/>
                      </w:r>
                      <w:r w:rsidRPr="00CF6791">
                        <w:rPr>
                          <w:b/>
                        </w:rPr>
                        <w:instrText xml:space="preserve"> SEQ Figure \* ARABIC </w:instrText>
                      </w:r>
                      <w:r w:rsidRPr="00CF6791">
                        <w:rPr>
                          <w:b/>
                        </w:rPr>
                        <w:fldChar w:fldCharType="separate"/>
                      </w:r>
                      <w:r>
                        <w:rPr>
                          <w:b/>
                          <w:noProof/>
                        </w:rPr>
                        <w:t>2</w:t>
                      </w:r>
                      <w:r w:rsidRPr="00CF6791">
                        <w:rPr>
                          <w:b/>
                        </w:rPr>
                        <w:fldChar w:fldCharType="end"/>
                      </w:r>
                      <w:bookmarkEnd w:id="29"/>
                      <w:r>
                        <w:t xml:space="preserve">. </w:t>
                      </w:r>
                      <w:r w:rsidRPr="00127064">
                        <w:t>Wavelet power spectra for national time series of all-cause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30"/>
                    </w:p>
                  </w:txbxContent>
                </v:textbox>
                <w10:wrap type="topAndBottom"/>
              </v:shape>
            </w:pict>
          </mc:Fallback>
        </mc:AlternateContent>
      </w:r>
    </w:p>
    <w:p w14:paraId="46E8C111" w14:textId="4F4DAB74" w:rsidR="00B13ADA" w:rsidRDefault="006A336D" w:rsidP="006D1A83">
      <w:pPr>
        <w:sectPr w:rsidR="00B13ADA" w:rsidSect="00AD32A1">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52096" behindDoc="0" locked="0" layoutInCell="1" allowOverlap="1" wp14:anchorId="18FB4808" wp14:editId="71B761CC">
                <wp:simplePos x="0" y="0"/>
                <wp:positionH relativeFrom="column">
                  <wp:posOffset>11814</wp:posOffset>
                </wp:positionH>
                <wp:positionV relativeFrom="paragraph">
                  <wp:posOffset>5802734</wp:posOffset>
                </wp:positionV>
                <wp:extent cx="9388475" cy="665480"/>
                <wp:effectExtent l="0" t="0" r="0" b="0"/>
                <wp:wrapTopAndBottom/>
                <wp:docPr id="32" name="Text Box 32"/>
                <wp:cNvGraphicFramePr/>
                <a:graphic xmlns:a="http://schemas.openxmlformats.org/drawingml/2006/main">
                  <a:graphicData uri="http://schemas.microsoft.com/office/word/2010/wordprocessingShape">
                    <wps:wsp>
                      <wps:cNvSpPr txBox="1"/>
                      <wps:spPr>
                        <a:xfrm>
                          <a:off x="0" y="0"/>
                          <a:ext cx="9388475" cy="665480"/>
                        </a:xfrm>
                        <a:prstGeom prst="rect">
                          <a:avLst/>
                        </a:prstGeom>
                        <a:solidFill>
                          <a:prstClr val="white"/>
                        </a:solidFill>
                        <a:ln>
                          <a:noFill/>
                        </a:ln>
                      </wps:spPr>
                      <wps:txbx>
                        <w:txbxContent>
                          <w:p w14:paraId="44E4B4AA" w14:textId="5E8C9149" w:rsidR="0002341C" w:rsidRPr="000D1D90" w:rsidRDefault="0002341C" w:rsidP="00AD2496">
                            <w:pPr>
                              <w:jc w:val="center"/>
                              <w:rPr>
                                <w:noProof/>
                              </w:rPr>
                            </w:pPr>
                            <w:bookmarkStart w:id="27" w:name="_Ref6066458"/>
                            <w:bookmarkStart w:id="28" w:name="_Toc7299812"/>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3</w:t>
                            </w:r>
                            <w:r w:rsidRPr="00A716F5">
                              <w:rPr>
                                <w:b/>
                              </w:rPr>
                              <w:fldChar w:fldCharType="end"/>
                            </w:r>
                            <w:bookmarkEnd w:id="27"/>
                            <w:r>
                              <w:t xml:space="preserve">. </w:t>
                            </w:r>
                            <w:r w:rsidRPr="00DF30F5">
                              <w:t>Wavelet power spectra for national time series of cancer death rates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28"/>
                          </w:p>
                          <w:p w14:paraId="14F3C0E4" w14:textId="77777777" w:rsidR="0002341C" w:rsidRDefault="0002341C" w:rsidP="00AD2496">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8FB4808" id="Text Box 32" o:spid="_x0000_s1028" type="#_x0000_t202" style="position:absolute;margin-left:.95pt;margin-top:456.9pt;width:739.25pt;height:52.4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" stroked="f">
                <v:textbox inset="0,0,0,0">
                  <w:txbxContent>
                    <w:p w14:paraId="44E4B4AA" w14:textId="5E8C9149" w:rsidR="0002341C" w:rsidRPr="000D1D90" w:rsidRDefault="0002341C" w:rsidP="00AD2496">
                      <w:pPr>
                        <w:jc w:val="center"/>
                        <w:rPr>
                          <w:noProof/>
                        </w:rPr>
                      </w:pPr>
                      <w:bookmarkStart w:id="33" w:name="_Ref6066458"/>
                      <w:bookmarkStart w:id="34" w:name="_Toc7299812"/>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3</w:t>
                      </w:r>
                      <w:r w:rsidRPr="00A716F5">
                        <w:rPr>
                          <w:b/>
                        </w:rPr>
                        <w:fldChar w:fldCharType="end"/>
                      </w:r>
                      <w:bookmarkEnd w:id="33"/>
                      <w:r>
                        <w:t xml:space="preserve">. </w:t>
                      </w:r>
                      <w:r w:rsidRPr="00DF30F5">
                        <w:t>Wavelet power spectra for national time series of cancer death rates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34"/>
                    </w:p>
                    <w:p w14:paraId="14F3C0E4" w14:textId="77777777" w:rsidR="0002341C" w:rsidRDefault="0002341C" w:rsidP="00AD2496">
                      <w:pPr>
                        <w:jc w:val="center"/>
                      </w:pPr>
                    </w:p>
                  </w:txbxContent>
                </v:textbox>
                <w10:wrap type="topAndBottom"/>
              </v:shape>
            </w:pict>
          </mc:Fallback>
        </mc:AlternateContent>
      </w:r>
    </w:p>
    <w:p w14:paraId="182B06A7" w14:textId="3BA2764C" w:rsidR="00B13ADA" w:rsidRDefault="00B54F44" w:rsidP="006D1A83">
      <w:pPr>
        <w:sectPr w:rsidR="00B13ADA" w:rsidSect="0008120B">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56192" behindDoc="0" locked="0" layoutInCell="1" allowOverlap="1" wp14:anchorId="0A55F4D0" wp14:editId="62A10D0F">
                <wp:simplePos x="0" y="0"/>
                <wp:positionH relativeFrom="column">
                  <wp:posOffset>213833</wp:posOffset>
                </wp:positionH>
                <wp:positionV relativeFrom="paragraph">
                  <wp:posOffset>5802778</wp:posOffset>
                </wp:positionV>
                <wp:extent cx="9388475" cy="665018"/>
                <wp:effectExtent l="0" t="0" r="0" b="0"/>
                <wp:wrapTopAndBottom/>
                <wp:docPr id="36" name="Text Box 36"/>
                <wp:cNvGraphicFramePr/>
                <a:graphic xmlns:a="http://schemas.openxmlformats.org/drawingml/2006/main">
                  <a:graphicData uri="http://schemas.microsoft.com/office/word/2010/wordprocessingShape">
                    <wps:wsp>
                      <wps:cNvSpPr txBox="1"/>
                      <wps:spPr>
                        <a:xfrm>
                          <a:off x="0" y="0"/>
                          <a:ext cx="9388475" cy="665018"/>
                        </a:xfrm>
                        <a:prstGeom prst="rect">
                          <a:avLst/>
                        </a:prstGeom>
                        <a:solidFill>
                          <a:prstClr val="white"/>
                        </a:solidFill>
                        <a:ln>
                          <a:noFill/>
                        </a:ln>
                      </wps:spPr>
                      <wps:txbx>
                        <w:txbxContent>
                          <w:p w14:paraId="5E2D56B3" w14:textId="2B536440" w:rsidR="0002341C" w:rsidRPr="000D1D90" w:rsidRDefault="0002341C" w:rsidP="00D97081">
                            <w:pPr>
                              <w:jc w:val="center"/>
                              <w:rPr>
                                <w:noProof/>
                              </w:rPr>
                            </w:pPr>
                            <w:bookmarkStart w:id="29" w:name="_Ref6155648"/>
                            <w:bookmarkStart w:id="30" w:name="_Toc7299813"/>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4</w:t>
                            </w:r>
                            <w:r w:rsidRPr="00A716F5">
                              <w:rPr>
                                <w:b/>
                              </w:rPr>
                              <w:fldChar w:fldCharType="end"/>
                            </w:r>
                            <w:bookmarkEnd w:id="29"/>
                            <w:r>
                              <w:t xml:space="preserve">. </w:t>
                            </w:r>
                            <w:r w:rsidRPr="00127064">
                              <w:t>Wavelet power spectra for national time series of cancer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30"/>
                          </w:p>
                          <w:p w14:paraId="0C63E6AD" w14:textId="77777777" w:rsidR="0002341C" w:rsidRDefault="0002341C" w:rsidP="00D97081">
                            <w:pPr>
                              <w:jc w:val="center"/>
                            </w:pPr>
                          </w:p>
                          <w:p w14:paraId="4F8EC9C8" w14:textId="77777777" w:rsidR="0002341C" w:rsidRDefault="0002341C" w:rsidP="00D97081">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A55F4D0" id="Text Box 36" o:spid="_x0000_s1029" type="#_x0000_t202" style="position:absolute;margin-left:16.85pt;margin-top:456.9pt;width:739.25pt;height:52.3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" stroked="f">
                <v:textbox inset="0,0,0,0">
                  <w:txbxContent>
                    <w:p w14:paraId="5E2D56B3" w14:textId="2B536440" w:rsidR="0002341C" w:rsidRPr="000D1D90" w:rsidRDefault="0002341C" w:rsidP="00D97081">
                      <w:pPr>
                        <w:jc w:val="center"/>
                        <w:rPr>
                          <w:noProof/>
                        </w:rPr>
                      </w:pPr>
                      <w:bookmarkStart w:id="37" w:name="_Ref6155648"/>
                      <w:bookmarkStart w:id="38" w:name="_Toc7299813"/>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4</w:t>
                      </w:r>
                      <w:r w:rsidRPr="00A716F5">
                        <w:rPr>
                          <w:b/>
                        </w:rPr>
                        <w:fldChar w:fldCharType="end"/>
                      </w:r>
                      <w:bookmarkEnd w:id="37"/>
                      <w:r>
                        <w:t xml:space="preserve">. </w:t>
                      </w:r>
                      <w:r w:rsidRPr="00127064">
                        <w:t>Wavelet power spectra for national time series of cancer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38"/>
                    </w:p>
                    <w:p w14:paraId="0C63E6AD" w14:textId="77777777" w:rsidR="0002341C" w:rsidRDefault="0002341C" w:rsidP="00D97081">
                      <w:pPr>
                        <w:jc w:val="center"/>
                      </w:pPr>
                    </w:p>
                    <w:p w14:paraId="4F8EC9C8" w14:textId="77777777" w:rsidR="0002341C" w:rsidRDefault="0002341C" w:rsidP="00D97081">
                      <w:pPr>
                        <w:jc w:val="center"/>
                      </w:pPr>
                    </w:p>
                  </w:txbxContent>
                </v:textbox>
                <w10:wrap type="topAndBottom"/>
              </v:shape>
            </w:pict>
          </mc:Fallback>
        </mc:AlternateContent>
      </w:r>
    </w:p>
    <w:p w14:paraId="357D6007" w14:textId="6FFBFE63" w:rsidR="00B13ADA" w:rsidRDefault="00B54F44" w:rsidP="006D1A83">
      <w:pPr>
        <w:sectPr w:rsidR="00B13ADA" w:rsidSect="0008120B">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60288" behindDoc="0" locked="0" layoutInCell="1" allowOverlap="1" wp14:anchorId="0313C48A" wp14:editId="315B1919">
                <wp:simplePos x="0" y="0"/>
                <wp:positionH relativeFrom="column">
                  <wp:posOffset>213833</wp:posOffset>
                </wp:positionH>
                <wp:positionV relativeFrom="paragraph">
                  <wp:posOffset>5802778</wp:posOffset>
                </wp:positionV>
                <wp:extent cx="9388475" cy="665018"/>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9388475" cy="665018"/>
                        </a:xfrm>
                        <a:prstGeom prst="rect">
                          <a:avLst/>
                        </a:prstGeom>
                        <a:solidFill>
                          <a:prstClr val="white"/>
                        </a:solidFill>
                        <a:ln>
                          <a:noFill/>
                        </a:ln>
                      </wps:spPr>
                      <wps:txbx>
                        <w:txbxContent>
                          <w:p w14:paraId="14819F7B" w14:textId="603F317D" w:rsidR="0002341C" w:rsidRPr="000D1D90" w:rsidRDefault="0002341C" w:rsidP="00D97081">
                            <w:pPr>
                              <w:jc w:val="center"/>
                              <w:rPr>
                                <w:noProof/>
                              </w:rPr>
                            </w:pPr>
                            <w:bookmarkStart w:id="31" w:name="_Toc7299814"/>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5</w:t>
                            </w:r>
                            <w:r w:rsidRPr="00A716F5">
                              <w:rPr>
                                <w:b/>
                              </w:rPr>
                              <w:fldChar w:fldCharType="end"/>
                            </w:r>
                            <w:r>
                              <w:t xml:space="preserve">. </w:t>
                            </w:r>
                            <w:r w:rsidRPr="00127064">
                              <w:t>Wavelet power spectra for national time series of cardiorespiratory disease death rates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31"/>
                          </w:p>
                          <w:p w14:paraId="4BCFF74B" w14:textId="77777777" w:rsidR="0002341C" w:rsidRDefault="0002341C" w:rsidP="00D97081">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313C48A" id="Text Box 39" o:spid="_x0000_s1030" type="#_x0000_t202" style="position:absolute;margin-left:16.85pt;margin-top:456.9pt;width:739.25pt;height:52.3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" stroked="f">
                <v:textbox inset="0,0,0,0">
                  <w:txbxContent>
                    <w:p w14:paraId="14819F7B" w14:textId="603F317D" w:rsidR="0002341C" w:rsidRPr="000D1D90" w:rsidRDefault="0002341C" w:rsidP="00D97081">
                      <w:pPr>
                        <w:jc w:val="center"/>
                        <w:rPr>
                          <w:noProof/>
                        </w:rPr>
                      </w:pPr>
                      <w:bookmarkStart w:id="40" w:name="_Toc7299814"/>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5</w:t>
                      </w:r>
                      <w:r w:rsidRPr="00A716F5">
                        <w:rPr>
                          <w:b/>
                        </w:rPr>
                        <w:fldChar w:fldCharType="end"/>
                      </w:r>
                      <w:r>
                        <w:t xml:space="preserve">. </w:t>
                      </w:r>
                      <w:r w:rsidRPr="00127064">
                        <w:t>Wavelet power spectra for national time series of cardiorespiratory disease death rates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40"/>
                    </w:p>
                    <w:p w14:paraId="4BCFF74B" w14:textId="77777777" w:rsidR="0002341C" w:rsidRDefault="0002341C" w:rsidP="00D97081">
                      <w:pPr>
                        <w:jc w:val="center"/>
                      </w:pPr>
                    </w:p>
                  </w:txbxContent>
                </v:textbox>
                <w10:wrap type="topAndBottom"/>
              </v:shape>
            </w:pict>
          </mc:Fallback>
        </mc:AlternateContent>
      </w:r>
    </w:p>
    <w:p w14:paraId="1F48A576" w14:textId="1B70B5F2" w:rsidR="00B13ADA" w:rsidRDefault="00B54F44" w:rsidP="006D1A83">
      <w:pPr>
        <w:sectPr w:rsidR="00B13ADA" w:rsidSect="0008120B">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64384" behindDoc="0" locked="0" layoutInCell="1" allowOverlap="1" wp14:anchorId="3BABE2FA" wp14:editId="4E00BE02">
                <wp:simplePos x="0" y="0"/>
                <wp:positionH relativeFrom="column">
                  <wp:posOffset>213833</wp:posOffset>
                </wp:positionH>
                <wp:positionV relativeFrom="paragraph">
                  <wp:posOffset>5802778</wp:posOffset>
                </wp:positionV>
                <wp:extent cx="9388475" cy="665018"/>
                <wp:effectExtent l="0" t="0" r="0" b="0"/>
                <wp:wrapTopAndBottom/>
                <wp:docPr id="42" name="Text Box 42"/>
                <wp:cNvGraphicFramePr/>
                <a:graphic xmlns:a="http://schemas.openxmlformats.org/drawingml/2006/main">
                  <a:graphicData uri="http://schemas.microsoft.com/office/word/2010/wordprocessingShape">
                    <wps:wsp>
                      <wps:cNvSpPr txBox="1"/>
                      <wps:spPr>
                        <a:xfrm>
                          <a:off x="0" y="0"/>
                          <a:ext cx="9388475" cy="665018"/>
                        </a:xfrm>
                        <a:prstGeom prst="rect">
                          <a:avLst/>
                        </a:prstGeom>
                        <a:solidFill>
                          <a:prstClr val="white"/>
                        </a:solidFill>
                        <a:ln>
                          <a:noFill/>
                        </a:ln>
                      </wps:spPr>
                      <wps:txbx>
                        <w:txbxContent>
                          <w:p w14:paraId="3C966853" w14:textId="6384D09F" w:rsidR="0002341C" w:rsidRPr="000D1D90" w:rsidRDefault="0002341C" w:rsidP="00AD2496">
                            <w:pPr>
                              <w:jc w:val="center"/>
                              <w:rPr>
                                <w:noProof/>
                              </w:rPr>
                            </w:pPr>
                            <w:bookmarkStart w:id="32" w:name="_Toc7299815"/>
                            <w:bookmarkStart w:id="33" w:name="_GoBack"/>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6</w:t>
                            </w:r>
                            <w:r w:rsidRPr="00A716F5">
                              <w:rPr>
                                <w:b/>
                              </w:rPr>
                              <w:fldChar w:fldCharType="end"/>
                            </w:r>
                            <w:r>
                              <w:t xml:space="preserve">. </w:t>
                            </w:r>
                            <w:r w:rsidRPr="00127064">
                              <w:t>Wavelet power spectra for national time series of cardiorespiratory disease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32"/>
                          </w:p>
                          <w:bookmarkEnd w:id="33"/>
                          <w:p w14:paraId="712D0E9E" w14:textId="77777777" w:rsidR="0002341C" w:rsidRDefault="0002341C" w:rsidP="00AD2496">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BABE2FA" id="_x0000_t202" coordsize="21600,21600" o:spt="202" path="m,l,21600r21600,l21600,xe">
                <v:stroke joinstyle="miter"/>
                <v:path gradientshapeok="t" o:connecttype="rect"/>
              </v:shapetype>
              <v:shape id="Text Box 42" o:spid="_x0000_s1031" type="#_x0000_t202" style="position:absolute;margin-left:16.85pt;margin-top:456.9pt;width:739.25pt;height:52.3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" stroked="f">
                <v:textbox inset="0,0,0,0">
                  <w:txbxContent>
                    <w:p w14:paraId="3C966853" w14:textId="6384D09F" w:rsidR="0002341C" w:rsidRPr="000D1D90" w:rsidRDefault="0002341C" w:rsidP="00AD2496">
                      <w:pPr>
                        <w:jc w:val="center"/>
                        <w:rPr>
                          <w:noProof/>
                        </w:rPr>
                      </w:pPr>
                      <w:bookmarkStart w:id="34" w:name="_Toc7299815"/>
                      <w:bookmarkStart w:id="35" w:name="_GoBack"/>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6</w:t>
                      </w:r>
                      <w:r w:rsidRPr="00A716F5">
                        <w:rPr>
                          <w:b/>
                        </w:rPr>
                        <w:fldChar w:fldCharType="end"/>
                      </w:r>
                      <w:r>
                        <w:t xml:space="preserve">. </w:t>
                      </w:r>
                      <w:r w:rsidRPr="00127064">
                        <w:t>Wavelet power spectra for national time series of cardiorespiratory disease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34"/>
                    </w:p>
                    <w:bookmarkEnd w:id="35"/>
                    <w:p w14:paraId="712D0E9E" w14:textId="77777777" w:rsidR="0002341C" w:rsidRDefault="0002341C" w:rsidP="00AD2496">
                      <w:pPr>
                        <w:jc w:val="center"/>
                      </w:pPr>
                    </w:p>
                  </w:txbxContent>
                </v:textbox>
                <w10:wrap type="topAndBottom"/>
              </v:shape>
            </w:pict>
          </mc:Fallback>
        </mc:AlternateContent>
      </w:r>
    </w:p>
    <w:p w14:paraId="4689D19F" w14:textId="38889CF9" w:rsidR="00B13ADA" w:rsidRDefault="00B54F44" w:rsidP="006D1A83">
      <w:pPr>
        <w:sectPr w:rsidR="00B13ADA" w:rsidSect="0008120B">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68480" behindDoc="0" locked="0" layoutInCell="1" allowOverlap="1" wp14:anchorId="75A94484" wp14:editId="6BFADB3D">
                <wp:simplePos x="0" y="0"/>
                <wp:positionH relativeFrom="column">
                  <wp:posOffset>213833</wp:posOffset>
                </wp:positionH>
                <wp:positionV relativeFrom="paragraph">
                  <wp:posOffset>5802778</wp:posOffset>
                </wp:positionV>
                <wp:extent cx="9388475" cy="665018"/>
                <wp:effectExtent l="0" t="0" r="0" b="0"/>
                <wp:wrapTopAndBottom/>
                <wp:docPr id="45" name="Text Box 45"/>
                <wp:cNvGraphicFramePr/>
                <a:graphic xmlns:a="http://schemas.openxmlformats.org/drawingml/2006/main">
                  <a:graphicData uri="http://schemas.microsoft.com/office/word/2010/wordprocessingShape">
                    <wps:wsp>
                      <wps:cNvSpPr txBox="1"/>
                      <wps:spPr>
                        <a:xfrm>
                          <a:off x="0" y="0"/>
                          <a:ext cx="9388475" cy="665018"/>
                        </a:xfrm>
                        <a:prstGeom prst="rect">
                          <a:avLst/>
                        </a:prstGeom>
                        <a:solidFill>
                          <a:prstClr val="white"/>
                        </a:solidFill>
                        <a:ln>
                          <a:noFill/>
                        </a:ln>
                      </wps:spPr>
                      <wps:txbx>
                        <w:txbxContent>
                          <w:p w14:paraId="7F99522A" w14:textId="47D633BD" w:rsidR="0002341C" w:rsidRPr="000D1D90" w:rsidRDefault="0002341C" w:rsidP="00AD2496">
                            <w:pPr>
                              <w:jc w:val="center"/>
                              <w:rPr>
                                <w:noProof/>
                              </w:rPr>
                            </w:pPr>
                            <w:bookmarkStart w:id="36" w:name="_Toc7299816"/>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7</w:t>
                            </w:r>
                            <w:r w:rsidRPr="00A716F5">
                              <w:rPr>
                                <w:b/>
                              </w:rPr>
                              <w:fldChar w:fldCharType="end"/>
                            </w:r>
                            <w:r>
                              <w:t xml:space="preserve">. </w:t>
                            </w:r>
                            <w:r w:rsidRPr="00127064">
                              <w:t>Wavelet power spectra for national time series of injury death rates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36"/>
                          </w:p>
                          <w:p w14:paraId="37F20799" w14:textId="77777777" w:rsidR="0002341C" w:rsidRDefault="0002341C" w:rsidP="00AD2496">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A94484" id="Text Box 45" o:spid="_x0000_s1032" type="#_x0000_t202" style="position:absolute;margin-left:16.85pt;margin-top:456.9pt;width:739.25pt;height:52.3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" stroked="f">
                <v:textbox inset="0,0,0,0">
                  <w:txbxContent>
                    <w:p w14:paraId="7F99522A" w14:textId="47D633BD" w:rsidR="0002341C" w:rsidRPr="000D1D90" w:rsidRDefault="0002341C" w:rsidP="00AD2496">
                      <w:pPr>
                        <w:jc w:val="center"/>
                        <w:rPr>
                          <w:noProof/>
                        </w:rPr>
                      </w:pPr>
                      <w:bookmarkStart w:id="44" w:name="_Toc7299816"/>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7</w:t>
                      </w:r>
                      <w:r w:rsidRPr="00A716F5">
                        <w:rPr>
                          <w:b/>
                        </w:rPr>
                        <w:fldChar w:fldCharType="end"/>
                      </w:r>
                      <w:r>
                        <w:t xml:space="preserve">. </w:t>
                      </w:r>
                      <w:r w:rsidRPr="00127064">
                        <w:t>Wavelet power spectra for national time series of injury death rates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44"/>
                    </w:p>
                    <w:p w14:paraId="37F20799" w14:textId="77777777" w:rsidR="0002341C" w:rsidRDefault="0002341C" w:rsidP="00AD2496">
                      <w:pPr>
                        <w:jc w:val="center"/>
                      </w:pPr>
                    </w:p>
                  </w:txbxContent>
                </v:textbox>
                <w10:wrap type="topAndBottom"/>
              </v:shape>
            </w:pict>
          </mc:Fallback>
        </mc:AlternateContent>
      </w:r>
    </w:p>
    <w:p w14:paraId="216D8B39" w14:textId="5255AAA3" w:rsidR="00B13ADA" w:rsidRDefault="00B54F44" w:rsidP="006D1A83">
      <w:pPr>
        <w:sectPr w:rsidR="00B13ADA" w:rsidSect="0008120B">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72576" behindDoc="0" locked="0" layoutInCell="1" allowOverlap="1" wp14:anchorId="7F5B8A2F" wp14:editId="3B8001DD">
                <wp:simplePos x="0" y="0"/>
                <wp:positionH relativeFrom="column">
                  <wp:posOffset>213833</wp:posOffset>
                </wp:positionH>
                <wp:positionV relativeFrom="paragraph">
                  <wp:posOffset>5802778</wp:posOffset>
                </wp:positionV>
                <wp:extent cx="9388475" cy="665018"/>
                <wp:effectExtent l="0" t="0" r="0" b="0"/>
                <wp:wrapTopAndBottom/>
                <wp:docPr id="48" name="Text Box 48"/>
                <wp:cNvGraphicFramePr/>
                <a:graphic xmlns:a="http://schemas.openxmlformats.org/drawingml/2006/main">
                  <a:graphicData uri="http://schemas.microsoft.com/office/word/2010/wordprocessingShape">
                    <wps:wsp>
                      <wps:cNvSpPr txBox="1"/>
                      <wps:spPr>
                        <a:xfrm>
                          <a:off x="0" y="0"/>
                          <a:ext cx="9388475" cy="665018"/>
                        </a:xfrm>
                        <a:prstGeom prst="rect">
                          <a:avLst/>
                        </a:prstGeom>
                        <a:solidFill>
                          <a:prstClr val="white"/>
                        </a:solidFill>
                        <a:ln>
                          <a:noFill/>
                        </a:ln>
                      </wps:spPr>
                      <wps:txbx>
                        <w:txbxContent>
                          <w:p w14:paraId="7E40E39E" w14:textId="49D9937A" w:rsidR="0002341C" w:rsidRPr="000D1D90" w:rsidRDefault="0002341C" w:rsidP="00042A68">
                            <w:pPr>
                              <w:jc w:val="center"/>
                              <w:rPr>
                                <w:noProof/>
                              </w:rPr>
                            </w:pPr>
                            <w:bookmarkStart w:id="37" w:name="_Toc7299817"/>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8</w:t>
                            </w:r>
                            <w:r w:rsidRPr="00A716F5">
                              <w:rPr>
                                <w:b/>
                              </w:rPr>
                              <w:fldChar w:fldCharType="end"/>
                            </w:r>
                            <w:r>
                              <w:t xml:space="preserve">. </w:t>
                            </w:r>
                            <w:r w:rsidRPr="00127064">
                              <w:t>Wavelet power spectra for national time series of injury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37"/>
                          </w:p>
                          <w:p w14:paraId="1A691CE3" w14:textId="77777777" w:rsidR="0002341C" w:rsidRDefault="0002341C" w:rsidP="00042A68">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F5B8A2F" id="Text Box 48" o:spid="_x0000_s1033" type="#_x0000_t202" style="position:absolute;margin-left:16.85pt;margin-top:456.9pt;width:739.25pt;height:52.3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" stroked="f">
                <v:textbox inset="0,0,0,0">
                  <w:txbxContent>
                    <w:p w14:paraId="7E40E39E" w14:textId="49D9937A" w:rsidR="0002341C" w:rsidRPr="000D1D90" w:rsidRDefault="0002341C" w:rsidP="00042A68">
                      <w:pPr>
                        <w:jc w:val="center"/>
                        <w:rPr>
                          <w:noProof/>
                        </w:rPr>
                      </w:pPr>
                      <w:bookmarkStart w:id="46" w:name="_Toc7299817"/>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8</w:t>
                      </w:r>
                      <w:r w:rsidRPr="00A716F5">
                        <w:rPr>
                          <w:b/>
                        </w:rPr>
                        <w:fldChar w:fldCharType="end"/>
                      </w:r>
                      <w:r>
                        <w:t xml:space="preserve">. </w:t>
                      </w:r>
                      <w:r w:rsidRPr="00127064">
                        <w:t>Wavelet power spectra for national time series of injury death rates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46"/>
                    </w:p>
                    <w:p w14:paraId="1A691CE3" w14:textId="77777777" w:rsidR="0002341C" w:rsidRDefault="0002341C" w:rsidP="00042A68">
                      <w:pPr>
                        <w:jc w:val="center"/>
                      </w:pPr>
                    </w:p>
                  </w:txbxContent>
                </v:textbox>
                <w10:wrap type="topAndBottom"/>
              </v:shape>
            </w:pict>
          </mc:Fallback>
        </mc:AlternateContent>
      </w:r>
    </w:p>
    <w:p w14:paraId="6D138092" w14:textId="69525F6E" w:rsidR="00B13ADA" w:rsidRDefault="00B54F44" w:rsidP="006D1A83">
      <w:pPr>
        <w:sectPr w:rsidR="00B13ADA" w:rsidSect="0008120B">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76672" behindDoc="0" locked="0" layoutInCell="1" allowOverlap="1" wp14:anchorId="19F80C44" wp14:editId="1823FB58">
                <wp:simplePos x="0" y="0"/>
                <wp:positionH relativeFrom="column">
                  <wp:posOffset>213833</wp:posOffset>
                </wp:positionH>
                <wp:positionV relativeFrom="paragraph">
                  <wp:posOffset>5802778</wp:posOffset>
                </wp:positionV>
                <wp:extent cx="9388475" cy="665018"/>
                <wp:effectExtent l="0" t="0" r="0" b="0"/>
                <wp:wrapTopAndBottom/>
                <wp:docPr id="51" name="Text Box 51"/>
                <wp:cNvGraphicFramePr/>
                <a:graphic xmlns:a="http://schemas.openxmlformats.org/drawingml/2006/main">
                  <a:graphicData uri="http://schemas.microsoft.com/office/word/2010/wordprocessingShape">
                    <wps:wsp>
                      <wps:cNvSpPr txBox="1"/>
                      <wps:spPr>
                        <a:xfrm>
                          <a:off x="0" y="0"/>
                          <a:ext cx="9388475" cy="665018"/>
                        </a:xfrm>
                        <a:prstGeom prst="rect">
                          <a:avLst/>
                        </a:prstGeom>
                        <a:solidFill>
                          <a:prstClr val="white"/>
                        </a:solidFill>
                        <a:ln>
                          <a:noFill/>
                        </a:ln>
                      </wps:spPr>
                      <wps:txbx>
                        <w:txbxContent>
                          <w:p w14:paraId="0A1D4ACB" w14:textId="6D192067" w:rsidR="0002341C" w:rsidRPr="000D1D90" w:rsidRDefault="0002341C" w:rsidP="00AD2496">
                            <w:pPr>
                              <w:jc w:val="center"/>
                              <w:rPr>
                                <w:noProof/>
                              </w:rPr>
                            </w:pPr>
                            <w:bookmarkStart w:id="38" w:name="_Toc7299818"/>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9</w:t>
                            </w:r>
                            <w:r w:rsidRPr="00A716F5">
                              <w:rPr>
                                <w:b/>
                              </w:rPr>
                              <w:fldChar w:fldCharType="end"/>
                            </w:r>
                            <w:r>
                              <w:t xml:space="preserve">. </w:t>
                            </w:r>
                            <w:r w:rsidRPr="00127064">
                              <w:t>Wavelet power spectra for national time series of death rates from causes other than cancers, cardiorespiratory diseases and injuries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38"/>
                          </w:p>
                          <w:p w14:paraId="20CB1096" w14:textId="77777777" w:rsidR="0002341C" w:rsidRDefault="0002341C" w:rsidP="00AD2496">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9F80C44" id="Text Box 51" o:spid="_x0000_s1034" type="#_x0000_t202" style="position:absolute;margin-left:16.85pt;margin-top:456.9pt;width:739.25pt;height:52.3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" stroked="f">
                <v:textbox inset="0,0,0,0">
                  <w:txbxContent>
                    <w:p w14:paraId="0A1D4ACB" w14:textId="6D192067" w:rsidR="0002341C" w:rsidRPr="000D1D90" w:rsidRDefault="0002341C" w:rsidP="00AD2496">
                      <w:pPr>
                        <w:jc w:val="center"/>
                        <w:rPr>
                          <w:noProof/>
                        </w:rPr>
                      </w:pPr>
                      <w:bookmarkStart w:id="48" w:name="_Toc7299818"/>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9</w:t>
                      </w:r>
                      <w:r w:rsidRPr="00A716F5">
                        <w:rPr>
                          <w:b/>
                        </w:rPr>
                        <w:fldChar w:fldCharType="end"/>
                      </w:r>
                      <w:r>
                        <w:t xml:space="preserve">. </w:t>
                      </w:r>
                      <w:r w:rsidRPr="00127064">
                        <w:t>Wavelet power spectra for national time series of death rates from causes other than cancers, cardiorespiratory diseases and injuries for 1980-2016, by age group for 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48"/>
                    </w:p>
                    <w:p w14:paraId="20CB1096" w14:textId="77777777" w:rsidR="0002341C" w:rsidRDefault="0002341C" w:rsidP="00AD2496">
                      <w:pPr>
                        <w:jc w:val="center"/>
                      </w:pPr>
                    </w:p>
                  </w:txbxContent>
                </v:textbox>
                <w10:wrap type="topAndBottom"/>
              </v:shape>
            </w:pict>
          </mc:Fallback>
        </mc:AlternateContent>
      </w:r>
    </w:p>
    <w:p w14:paraId="47594C2A" w14:textId="001BE851" w:rsidR="00B13ADA" w:rsidRDefault="00B54F44" w:rsidP="006D1A83">
      <w:pPr>
        <w:sectPr w:rsidR="00B13ADA" w:rsidSect="0008120B">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80768" behindDoc="0" locked="0" layoutInCell="1" allowOverlap="1" wp14:anchorId="505D671A" wp14:editId="49AC1A1B">
                <wp:simplePos x="0" y="0"/>
                <wp:positionH relativeFrom="column">
                  <wp:posOffset>213833</wp:posOffset>
                </wp:positionH>
                <wp:positionV relativeFrom="paragraph">
                  <wp:posOffset>5802778</wp:posOffset>
                </wp:positionV>
                <wp:extent cx="9388475" cy="665018"/>
                <wp:effectExtent l="0" t="0" r="0" b="0"/>
                <wp:wrapTopAndBottom/>
                <wp:docPr id="54" name="Text Box 54"/>
                <wp:cNvGraphicFramePr/>
                <a:graphic xmlns:a="http://schemas.openxmlformats.org/drawingml/2006/main">
                  <a:graphicData uri="http://schemas.microsoft.com/office/word/2010/wordprocessingShape">
                    <wps:wsp>
                      <wps:cNvSpPr txBox="1"/>
                      <wps:spPr>
                        <a:xfrm>
                          <a:off x="0" y="0"/>
                          <a:ext cx="9388475" cy="665018"/>
                        </a:xfrm>
                        <a:prstGeom prst="rect">
                          <a:avLst/>
                        </a:prstGeom>
                        <a:solidFill>
                          <a:prstClr val="white"/>
                        </a:solidFill>
                        <a:ln>
                          <a:noFill/>
                        </a:ln>
                      </wps:spPr>
                      <wps:txbx>
                        <w:txbxContent>
                          <w:p w14:paraId="09083731" w14:textId="16375AD8" w:rsidR="0002341C" w:rsidRPr="000D1D90" w:rsidRDefault="0002341C" w:rsidP="00042A68">
                            <w:pPr>
                              <w:jc w:val="center"/>
                              <w:rPr>
                                <w:noProof/>
                              </w:rPr>
                            </w:pPr>
                            <w:bookmarkStart w:id="39" w:name="_Ref6066466"/>
                            <w:bookmarkStart w:id="40" w:name="_Toc7299819"/>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10</w:t>
                            </w:r>
                            <w:r w:rsidRPr="00A716F5">
                              <w:rPr>
                                <w:b/>
                              </w:rPr>
                              <w:fldChar w:fldCharType="end"/>
                            </w:r>
                            <w:bookmarkEnd w:id="39"/>
                            <w:r>
                              <w:t xml:space="preserve">. </w:t>
                            </w:r>
                            <w:r w:rsidRPr="00127064">
                              <w:t>Wavelet power spectra for national time series of death rates from causes other than cancers, cardiorespiratory diseases and injuries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40"/>
                          </w:p>
                          <w:p w14:paraId="1B3A0FDF" w14:textId="77777777" w:rsidR="0002341C" w:rsidRDefault="0002341C" w:rsidP="00042A68">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05D671A" id="Text Box 54" o:spid="_x0000_s1035" type="#_x0000_t202" style="position:absolute;margin-left:16.85pt;margin-top:456.9pt;width:739.25pt;height:52.3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" stroked="f">
                <v:textbox inset="0,0,0,0">
                  <w:txbxContent>
                    <w:p w14:paraId="09083731" w14:textId="16375AD8" w:rsidR="0002341C" w:rsidRPr="000D1D90" w:rsidRDefault="0002341C" w:rsidP="00042A68">
                      <w:pPr>
                        <w:jc w:val="center"/>
                        <w:rPr>
                          <w:noProof/>
                        </w:rPr>
                      </w:pPr>
                      <w:bookmarkStart w:id="51" w:name="_Ref6066466"/>
                      <w:bookmarkStart w:id="52" w:name="_Toc7299819"/>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10</w:t>
                      </w:r>
                      <w:r w:rsidRPr="00A716F5">
                        <w:rPr>
                          <w:b/>
                        </w:rPr>
                        <w:fldChar w:fldCharType="end"/>
                      </w:r>
                      <w:bookmarkEnd w:id="51"/>
                      <w:r>
                        <w:t xml:space="preserve">. </w:t>
                      </w:r>
                      <w:r w:rsidRPr="00127064">
                        <w:t>Wavelet power spectra for national time series of death rates from causes other than cancers, cardiorespiratory diseases and injuries for 1980-2016, by age group for females. Wavelet power values increase from blue to red. The shaded regions at the left and right edge of each box indicate the cone of influence, where spectral analysis is less robust. P-values for the presence of 12-month seasonality are to the right of each figure at the 12-month line.</w:t>
                      </w:r>
                      <w:bookmarkEnd w:id="52"/>
                    </w:p>
                    <w:p w14:paraId="1B3A0FDF" w14:textId="77777777" w:rsidR="0002341C" w:rsidRDefault="0002341C" w:rsidP="00042A68">
                      <w:pPr>
                        <w:jc w:val="center"/>
                      </w:pPr>
                    </w:p>
                  </w:txbxContent>
                </v:textbox>
                <w10:wrap type="topAndBottom"/>
              </v:shape>
            </w:pict>
          </mc:Fallback>
        </mc:AlternateContent>
      </w:r>
    </w:p>
    <w:p w14:paraId="1E564967" w14:textId="10EF4C93" w:rsidR="009B7A89" w:rsidRDefault="009B7A89" w:rsidP="006D1A83">
      <w:pPr>
        <w:pStyle w:val="Heading3"/>
      </w:pPr>
      <w:bookmarkStart w:id="41" w:name="_Toc7299805"/>
      <w:r>
        <w:lastRenderedPageBreak/>
        <w:t>Centre of gravity analysis</w:t>
      </w:r>
      <w:bookmarkEnd w:id="41"/>
    </w:p>
    <w:p w14:paraId="04E74A8D" w14:textId="5341ECA5" w:rsidR="00373281" w:rsidRDefault="009B7A89" w:rsidP="00261309">
      <w:pPr>
        <w:spacing w:line="480" w:lineRule="auto"/>
        <w:ind w:firstLine="720"/>
        <w:jc w:val="both"/>
        <w:rPr>
          <w:sz w:val="24"/>
          <w:szCs w:val="24"/>
        </w:rPr>
      </w:pPr>
      <w:r>
        <w:rPr>
          <w:sz w:val="24"/>
          <w:szCs w:val="24"/>
        </w:rPr>
        <w:t>D</w:t>
      </w:r>
      <w:r w:rsidR="006675AE" w:rsidRPr="00097CA5">
        <w:rPr>
          <w:sz w:val="24"/>
          <w:szCs w:val="24"/>
        </w:rPr>
        <w:t>eath rates in men aged ≥45 years and women aged ≥35 years peaked in December, January or February and were lowest in June to August, for all-cause mortality as well as for all non-injury and non-maternal causes of death (</w:t>
      </w:r>
      <w:r w:rsidR="00C7358A">
        <w:rPr>
          <w:sz w:val="24"/>
          <w:szCs w:val="24"/>
        </w:rPr>
        <w:fldChar w:fldCharType="begin"/>
      </w:r>
      <w:r w:rsidR="00C7358A">
        <w:rPr>
          <w:sz w:val="24"/>
          <w:szCs w:val="24"/>
        </w:rPr>
        <w:instrText xml:space="preserve"> REF _Ref6066984 \h </w:instrText>
      </w:r>
      <w:r w:rsidR="006D1A83">
        <w:rPr>
          <w:sz w:val="24"/>
          <w:szCs w:val="24"/>
        </w:rPr>
        <w:instrText xml:space="preserve"> \* MERGEFORMAT </w:instrText>
      </w:r>
      <w:r w:rsidR="00C7358A">
        <w:rPr>
          <w:sz w:val="24"/>
          <w:szCs w:val="24"/>
        </w:rPr>
      </w:r>
      <w:r w:rsidR="00C7358A">
        <w:rPr>
          <w:sz w:val="24"/>
          <w:szCs w:val="24"/>
        </w:rPr>
        <w:fldChar w:fldCharType="separate"/>
      </w:r>
      <w:r w:rsidR="00762F63" w:rsidRPr="00A716F5">
        <w:rPr>
          <w:b/>
        </w:rPr>
        <w:t xml:space="preserve">Figure </w:t>
      </w:r>
      <w:r w:rsidR="00762F63">
        <w:rPr>
          <w:b/>
          <w:noProof/>
        </w:rPr>
        <w:t>11</w:t>
      </w:r>
      <w:r w:rsidR="00C7358A">
        <w:rPr>
          <w:sz w:val="24"/>
          <w:szCs w:val="24"/>
        </w:rPr>
        <w:fldChar w:fldCharType="end"/>
      </w:r>
      <w:r w:rsidR="006675AE" w:rsidRPr="00097CA5">
        <w:rPr>
          <w:sz w:val="24"/>
          <w:szCs w:val="24"/>
        </w:rPr>
        <w:t>). Deaths from cardiorespiratory diseases were also consistently highest in January and February and lowest in July and August across all ages</w:t>
      </w:r>
      <w:r w:rsidR="007A03A6" w:rsidRPr="007A03A6">
        <w:rPr>
          <w:sz w:val="24"/>
          <w:szCs w:val="24"/>
        </w:rPr>
        <w:t xml:space="preserve">. </w:t>
      </w:r>
      <w:r w:rsidR="006675AE" w:rsidRPr="00097CA5">
        <w:rPr>
          <w:sz w:val="24"/>
          <w:szCs w:val="24"/>
        </w:rPr>
        <w:t>A similar temporal pattern was seen for all-cause and non-injury mortality in children younger than five years of age, whose all-cause death rate was highest in February and lowest in August. In contrast, among males aged 5-34 years, all-cause mortality peaked in June or July, as did deaths from injuries, which generally had a summer peak in males and females below 45 years of age.</w:t>
      </w:r>
    </w:p>
    <w:p w14:paraId="35B9D5CA" w14:textId="194E338F" w:rsidR="00F10812" w:rsidRPr="00097CA5" w:rsidRDefault="00F10812" w:rsidP="00F10812">
      <w:pPr>
        <w:spacing w:line="480" w:lineRule="auto"/>
        <w:ind w:firstLine="720"/>
        <w:jc w:val="both"/>
        <w:rPr>
          <w:sz w:val="24"/>
          <w:szCs w:val="24"/>
        </w:rPr>
      </w:pPr>
      <w:r w:rsidRPr="00097CA5">
        <w:rPr>
          <w:sz w:val="24"/>
          <w:szCs w:val="24"/>
        </w:rPr>
        <w:t>The subnational centre of gravity analysis showed that all-cause mortality peaks and minima in different climate regions are consistent with the national ones (</w:t>
      </w:r>
      <w:r w:rsidR="0069060B">
        <w:rPr>
          <w:sz w:val="24"/>
          <w:szCs w:val="24"/>
        </w:rPr>
        <w:fldChar w:fldCharType="begin"/>
      </w:r>
      <w:r w:rsidR="0069060B">
        <w:rPr>
          <w:sz w:val="24"/>
          <w:szCs w:val="24"/>
        </w:rPr>
        <w:instrText xml:space="preserve"> REF _Ref6145619 \h </w:instrText>
      </w:r>
      <w:r w:rsidR="0069060B">
        <w:rPr>
          <w:sz w:val="24"/>
          <w:szCs w:val="24"/>
        </w:rPr>
      </w:r>
      <w:r w:rsidR="0069060B">
        <w:rPr>
          <w:sz w:val="24"/>
          <w:szCs w:val="24"/>
        </w:rPr>
        <w:fldChar w:fldCharType="separate"/>
      </w:r>
      <w:r w:rsidR="00762F63" w:rsidRPr="005B7E5A">
        <w:rPr>
          <w:b/>
        </w:rPr>
        <w:t xml:space="preserve">Figure </w:t>
      </w:r>
      <w:r w:rsidR="00762F63">
        <w:rPr>
          <w:b/>
          <w:noProof/>
        </w:rPr>
        <w:t>12</w:t>
      </w:r>
      <w:r w:rsidR="0069060B">
        <w:rPr>
          <w:sz w:val="24"/>
          <w:szCs w:val="24"/>
        </w:rPr>
        <w:fldChar w:fldCharType="end"/>
      </w:r>
      <w:r w:rsidR="0069060B">
        <w:rPr>
          <w:sz w:val="24"/>
          <w:szCs w:val="24"/>
        </w:rPr>
        <w:t xml:space="preserve"> </w:t>
      </w:r>
      <w:r w:rsidR="00003E1A">
        <w:rPr>
          <w:sz w:val="24"/>
          <w:szCs w:val="24"/>
        </w:rPr>
        <w:t xml:space="preserve">to </w:t>
      </w:r>
      <w:r w:rsidR="0069060B">
        <w:rPr>
          <w:sz w:val="24"/>
          <w:szCs w:val="24"/>
        </w:rPr>
        <w:fldChar w:fldCharType="begin"/>
      </w:r>
      <w:r w:rsidR="0069060B">
        <w:rPr>
          <w:sz w:val="24"/>
          <w:szCs w:val="24"/>
        </w:rPr>
        <w:instrText xml:space="preserve"> REF _Ref6145631 \h </w:instrText>
      </w:r>
      <w:r w:rsidR="0069060B">
        <w:rPr>
          <w:sz w:val="24"/>
          <w:szCs w:val="24"/>
        </w:rPr>
      </w:r>
      <w:r w:rsidR="0069060B">
        <w:rPr>
          <w:sz w:val="24"/>
          <w:szCs w:val="24"/>
        </w:rPr>
        <w:fldChar w:fldCharType="separate"/>
      </w:r>
      <w:r w:rsidR="00762F63" w:rsidRPr="00285724">
        <w:rPr>
          <w:b/>
        </w:rPr>
        <w:t xml:space="preserve">Figure </w:t>
      </w:r>
      <w:r w:rsidR="00762F63" w:rsidRPr="00285724">
        <w:rPr>
          <w:b/>
          <w:noProof/>
        </w:rPr>
        <w:t>15</w:t>
      </w:r>
      <w:r w:rsidR="0069060B">
        <w:rPr>
          <w:sz w:val="24"/>
          <w:szCs w:val="24"/>
        </w:rPr>
        <w:fldChar w:fldCharType="end"/>
      </w:r>
      <w:r w:rsidRPr="00097CA5">
        <w:rPr>
          <w:sz w:val="24"/>
          <w:szCs w:val="24"/>
        </w:rPr>
        <w:t>), indicating the seasonality is largely independent of geography. The relative homogeneity of the timing of maximum and minimum mortality contrasts with the large variation in seasonal temperatures among climate regions. For example, in men and women aged 65-74 years, all-cause mortality peaked in February in the Northeast and Southeast, even though the average temperatures for those regions were different by over 13 degrees Celsius (9.3 in the Southeast compared with -3.8 in the Northeast). Furthermore, above 45 years of age, there was little inter-region variation in the percent seasonal difference in all-cause mortality, despite the large variation in temperature difference between the peak and minimum months (</w:t>
      </w:r>
      <w:r w:rsidR="0069060B">
        <w:rPr>
          <w:sz w:val="24"/>
          <w:szCs w:val="24"/>
        </w:rPr>
        <w:fldChar w:fldCharType="begin"/>
      </w:r>
      <w:r w:rsidR="0069060B">
        <w:rPr>
          <w:sz w:val="24"/>
          <w:szCs w:val="24"/>
        </w:rPr>
        <w:instrText xml:space="preserve"> REF _Ref6145665 \h </w:instrText>
      </w:r>
      <w:r w:rsidR="0069060B">
        <w:rPr>
          <w:sz w:val="24"/>
          <w:szCs w:val="24"/>
        </w:rPr>
      </w:r>
      <w:r w:rsidR="0069060B">
        <w:rPr>
          <w:sz w:val="24"/>
          <w:szCs w:val="24"/>
        </w:rPr>
        <w:fldChar w:fldCharType="separate"/>
      </w:r>
      <w:r w:rsidR="00762F63" w:rsidRPr="00F858A9">
        <w:rPr>
          <w:b/>
        </w:rPr>
        <w:t xml:space="preserve">Figure </w:t>
      </w:r>
      <w:r w:rsidR="00762F63">
        <w:rPr>
          <w:b/>
          <w:noProof/>
        </w:rPr>
        <w:t>16</w:t>
      </w:r>
      <w:r w:rsidR="0069060B">
        <w:rPr>
          <w:sz w:val="24"/>
          <w:szCs w:val="24"/>
        </w:rPr>
        <w:fldChar w:fldCharType="end"/>
      </w:r>
      <w:r w:rsidRPr="00097CA5">
        <w:rPr>
          <w:sz w:val="24"/>
          <w:szCs w:val="24"/>
        </w:rPr>
        <w:t xml:space="preserve">). </w:t>
      </w:r>
    </w:p>
    <w:p w14:paraId="1CD560FA" w14:textId="60284B8D" w:rsidR="00F10812" w:rsidRDefault="00F10812" w:rsidP="00D4171C">
      <w:pPr>
        <w:sectPr w:rsidR="00F10812" w:rsidSect="0083190B">
          <w:pgSz w:w="11900" w:h="16840"/>
          <w:pgMar w:top="1440" w:right="1440" w:bottom="1440" w:left="1440" w:header="720" w:footer="720" w:gutter="0"/>
          <w:lnNumType w:countBy="1" w:restart="continuous"/>
          <w:cols w:space="720"/>
          <w:docGrid w:linePitch="360"/>
        </w:sectPr>
      </w:pPr>
    </w:p>
    <w:p w14:paraId="603675DB" w14:textId="2ED89AC6" w:rsidR="006675AE" w:rsidRDefault="001913FC" w:rsidP="00BC041E">
      <w:pPr>
        <w:suppressLineNumbers/>
      </w:pPr>
      <w:r>
        <w:rPr>
          <w:noProof/>
          <w:lang w:eastAsia="en-GB"/>
        </w:rPr>
        <w:lastRenderedPageBreak/>
        <mc:AlternateContent>
          <mc:Choice Requires="wps">
            <w:drawing>
              <wp:anchor distT="0" distB="0" distL="114300" distR="114300" simplePos="0" relativeHeight="251683840" behindDoc="0" locked="0" layoutInCell="1" allowOverlap="1" wp14:anchorId="029FAEA6" wp14:editId="679A6B76">
                <wp:simplePos x="0" y="0"/>
                <wp:positionH relativeFrom="column">
                  <wp:posOffset>299545</wp:posOffset>
                </wp:positionH>
                <wp:positionV relativeFrom="paragraph">
                  <wp:posOffset>5803397</wp:posOffset>
                </wp:positionV>
                <wp:extent cx="9388475" cy="665018"/>
                <wp:effectExtent l="0" t="0" r="0" b="0"/>
                <wp:wrapTopAndBottom/>
                <wp:docPr id="58" name="Text Box 58"/>
                <wp:cNvGraphicFramePr/>
                <a:graphic xmlns:a="http://schemas.openxmlformats.org/drawingml/2006/main">
                  <a:graphicData uri="http://schemas.microsoft.com/office/word/2010/wordprocessingShape">
                    <wps:wsp>
                      <wps:cNvSpPr txBox="1"/>
                      <wps:spPr>
                        <a:xfrm>
                          <a:off x="0" y="0"/>
                          <a:ext cx="9388475" cy="665018"/>
                        </a:xfrm>
                        <a:prstGeom prst="rect">
                          <a:avLst/>
                        </a:prstGeom>
                        <a:solidFill>
                          <a:prstClr val="white"/>
                        </a:solidFill>
                        <a:ln>
                          <a:noFill/>
                        </a:ln>
                      </wps:spPr>
                      <wps:txbx>
                        <w:txbxContent>
                          <w:p w14:paraId="31426DD0" w14:textId="0F3EE4AB" w:rsidR="0002341C" w:rsidRDefault="0002341C" w:rsidP="00810AF1">
                            <w:pPr>
                              <w:jc w:val="center"/>
                              <w:rPr>
                                <w:noProof/>
                              </w:rPr>
                            </w:pPr>
                            <w:bookmarkStart w:id="42" w:name="_Ref6066984"/>
                            <w:bookmarkStart w:id="43" w:name="_Toc7299820"/>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11</w:t>
                            </w:r>
                            <w:r w:rsidRPr="00A716F5">
                              <w:rPr>
                                <w:b/>
                              </w:rPr>
                              <w:fldChar w:fldCharType="end"/>
                            </w:r>
                            <w:bookmarkEnd w:id="42"/>
                            <w:r>
                              <w:t xml:space="preserve">. </w:t>
                            </w:r>
                            <w:r w:rsidRPr="00127064">
                              <w:t>Mean timing of maximum and minimum all-cause and cause-specific mortality at the national level, by sex and age group for 1980-2016. Red arrows indicate the month of maximum mortality, and green arrows that of minimum mortality. The size of the arrow is inversely proportional to its respective variance.</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29FAEA6" id="Text Box 58" o:spid="_x0000_s1036" type="#_x0000_t202" style="position:absolute;margin-left:23.6pt;margin-top:456.95pt;width:739.25pt;height:52.3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" stroked="f">
                <v:textbox inset="0,0,0,0">
                  <w:txbxContent>
                    <w:p w14:paraId="31426DD0" w14:textId="0F3EE4AB" w:rsidR="0002341C" w:rsidRDefault="0002341C" w:rsidP="00810AF1">
                      <w:pPr>
                        <w:jc w:val="center"/>
                        <w:rPr>
                          <w:noProof/>
                        </w:rPr>
                      </w:pPr>
                      <w:bookmarkStart w:id="56" w:name="_Ref6066984"/>
                      <w:bookmarkStart w:id="57" w:name="_Toc7299820"/>
                      <w:r w:rsidRPr="00A716F5">
                        <w:rPr>
                          <w:b/>
                        </w:rPr>
                        <w:t xml:space="preserve">Figure </w:t>
                      </w:r>
                      <w:r w:rsidRPr="00A716F5">
                        <w:rPr>
                          <w:b/>
                        </w:rPr>
                        <w:fldChar w:fldCharType="begin"/>
                      </w:r>
                      <w:r w:rsidRPr="00A716F5">
                        <w:rPr>
                          <w:b/>
                        </w:rPr>
                        <w:instrText xml:space="preserve"> SEQ Figure \* ARABIC </w:instrText>
                      </w:r>
                      <w:r w:rsidRPr="00A716F5">
                        <w:rPr>
                          <w:b/>
                        </w:rPr>
                        <w:fldChar w:fldCharType="separate"/>
                      </w:r>
                      <w:r>
                        <w:rPr>
                          <w:b/>
                          <w:noProof/>
                        </w:rPr>
                        <w:t>11</w:t>
                      </w:r>
                      <w:r w:rsidRPr="00A716F5">
                        <w:rPr>
                          <w:b/>
                        </w:rPr>
                        <w:fldChar w:fldCharType="end"/>
                      </w:r>
                      <w:bookmarkEnd w:id="56"/>
                      <w:r>
                        <w:t xml:space="preserve">. </w:t>
                      </w:r>
                      <w:r w:rsidRPr="00127064">
                        <w:t>Mean timing of maximum and minimum all-cause and cause-specific mortality at the national level, by sex and age group for 1980-2016. Red arrows indicate the month of maximum mortality, and green arrows that of minimum mortality. The size of the arrow is inversely proportional to its respective variance.</w:t>
                      </w:r>
                      <w:bookmarkEnd w:id="57"/>
                    </w:p>
                  </w:txbxContent>
                </v:textbox>
                <w10:wrap type="topAndBottom"/>
              </v:shape>
            </w:pict>
          </mc:Fallback>
        </mc:AlternateContent>
      </w:r>
    </w:p>
    <w:p w14:paraId="00A66D6D" w14:textId="2E5E1DF1" w:rsidR="00373281" w:rsidRDefault="00373281" w:rsidP="00BC041E">
      <w:pPr>
        <w:suppressLineNumbers/>
        <w:sectPr w:rsidR="00373281" w:rsidSect="00373281">
          <w:pgSz w:w="16840" w:h="11900" w:orient="landscape"/>
          <w:pgMar w:top="720" w:right="720" w:bottom="720" w:left="720" w:header="720" w:footer="720" w:gutter="0"/>
          <w:lnNumType w:countBy="1" w:restart="continuous"/>
          <w:cols w:space="720"/>
          <w:docGrid w:linePitch="360"/>
        </w:sectPr>
      </w:pPr>
    </w:p>
    <w:p w14:paraId="55846676" w14:textId="7D4F3545" w:rsidR="003D6843" w:rsidRDefault="005B7E5A" w:rsidP="00047AEF">
      <w:pPr>
        <w:suppressLineNumbers/>
        <w:sectPr w:rsidR="003D6843" w:rsidSect="003D6843">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91008" behindDoc="0" locked="0" layoutInCell="1" allowOverlap="1" wp14:anchorId="70EFBBC6" wp14:editId="4737D77D">
                <wp:simplePos x="0" y="0"/>
                <wp:positionH relativeFrom="column">
                  <wp:posOffset>0</wp:posOffset>
                </wp:positionH>
                <wp:positionV relativeFrom="paragraph">
                  <wp:posOffset>6132830</wp:posOffset>
                </wp:positionV>
                <wp:extent cx="9388475" cy="635"/>
                <wp:effectExtent l="0" t="0" r="0" b="12065"/>
                <wp:wrapTopAndBottom/>
                <wp:docPr id="3" name="Text Box 3"/>
                <wp:cNvGraphicFramePr/>
                <a:graphic xmlns:a="http://schemas.openxmlformats.org/drawingml/2006/main">
                  <a:graphicData uri="http://schemas.microsoft.com/office/word/2010/wordprocessingShape">
                    <wps:wsp>
                      <wps:cNvSpPr txBox="1"/>
                      <wps:spPr>
                        <a:xfrm>
                          <a:off x="0" y="0"/>
                          <a:ext cx="9388475" cy="635"/>
                        </a:xfrm>
                        <a:prstGeom prst="rect">
                          <a:avLst/>
                        </a:prstGeom>
                        <a:solidFill>
                          <a:prstClr val="white"/>
                        </a:solidFill>
                        <a:ln>
                          <a:noFill/>
                        </a:ln>
                      </wps:spPr>
                      <wps:txbx>
                        <w:txbxContent>
                          <w:p w14:paraId="794D3C33" w14:textId="10E18BCD" w:rsidR="0002341C" w:rsidRPr="00274752" w:rsidRDefault="0002341C" w:rsidP="00720A8C">
                            <w:pPr>
                              <w:jc w:val="center"/>
                              <w:rPr>
                                <w:noProof/>
                              </w:rPr>
                            </w:pPr>
                            <w:bookmarkStart w:id="44" w:name="_Ref6145619"/>
                            <w:bookmarkStart w:id="45" w:name="_Toc7299821"/>
                            <w:r w:rsidRPr="005B7E5A">
                              <w:rPr>
                                <w:b/>
                              </w:rPr>
                              <w:t xml:space="preserve">Figure </w:t>
                            </w:r>
                            <w:r w:rsidRPr="005B7E5A">
                              <w:rPr>
                                <w:b/>
                              </w:rPr>
                              <w:fldChar w:fldCharType="begin"/>
                            </w:r>
                            <w:r w:rsidRPr="005B7E5A">
                              <w:rPr>
                                <w:b/>
                              </w:rPr>
                              <w:instrText xml:space="preserve"> SEQ Figure \* ARABIC </w:instrText>
                            </w:r>
                            <w:r w:rsidRPr="005B7E5A">
                              <w:rPr>
                                <w:b/>
                              </w:rPr>
                              <w:fldChar w:fldCharType="separate"/>
                            </w:r>
                            <w:r>
                              <w:rPr>
                                <w:b/>
                                <w:noProof/>
                              </w:rPr>
                              <w:t>12</w:t>
                            </w:r>
                            <w:r w:rsidRPr="005B7E5A">
                              <w:rPr>
                                <w:b/>
                              </w:rPr>
                              <w:fldChar w:fldCharType="end"/>
                            </w:r>
                            <w:bookmarkEnd w:id="44"/>
                            <w:r>
                              <w:t xml:space="preserve">. </w:t>
                            </w:r>
                            <w:r w:rsidRPr="0093080D">
                              <w:t>Mean timing of maximum all-cause mortality for 1980-2016, by climate region and age group for males. Average temperatures (in degrees Celsius) are included in white for the corresponding month of maximum and minimum mortality for each climate region.</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FBBC6" id="Text Box 3" o:spid="_x0000_s1037" type="#_x0000_t202" style="position:absolute;margin-left:0;margin-top:482.9pt;width:739.2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" stroked="f">
                <v:textbox style="mso-fit-shape-to-text:t" inset="0,0,0,0">
                  <w:txbxContent>
                    <w:p w14:paraId="794D3C33" w14:textId="10E18BCD" w:rsidR="0002341C" w:rsidRPr="00274752" w:rsidRDefault="0002341C" w:rsidP="00720A8C">
                      <w:pPr>
                        <w:jc w:val="center"/>
                        <w:rPr>
                          <w:noProof/>
                        </w:rPr>
                      </w:pPr>
                      <w:bookmarkStart w:id="60" w:name="_Ref6145619"/>
                      <w:bookmarkStart w:id="61" w:name="_Toc7299821"/>
                      <w:r w:rsidRPr="005B7E5A">
                        <w:rPr>
                          <w:b/>
                        </w:rPr>
                        <w:t xml:space="preserve">Figure </w:t>
                      </w:r>
                      <w:r w:rsidRPr="005B7E5A">
                        <w:rPr>
                          <w:b/>
                        </w:rPr>
                        <w:fldChar w:fldCharType="begin"/>
                      </w:r>
                      <w:r w:rsidRPr="005B7E5A">
                        <w:rPr>
                          <w:b/>
                        </w:rPr>
                        <w:instrText xml:space="preserve"> SEQ Figure \* ARABIC </w:instrText>
                      </w:r>
                      <w:r w:rsidRPr="005B7E5A">
                        <w:rPr>
                          <w:b/>
                        </w:rPr>
                        <w:fldChar w:fldCharType="separate"/>
                      </w:r>
                      <w:r>
                        <w:rPr>
                          <w:b/>
                          <w:noProof/>
                        </w:rPr>
                        <w:t>12</w:t>
                      </w:r>
                      <w:r w:rsidRPr="005B7E5A">
                        <w:rPr>
                          <w:b/>
                        </w:rPr>
                        <w:fldChar w:fldCharType="end"/>
                      </w:r>
                      <w:bookmarkEnd w:id="60"/>
                      <w:r>
                        <w:t xml:space="preserve">. </w:t>
                      </w:r>
                      <w:r w:rsidRPr="0093080D">
                        <w:t>Mean timing of maximum all-cause mortality for 1980-2016, by climate region and age group for males. Average temperatures (in degrees Celsius) are included in white for the corresponding month of maximum and minimum mortality for each climate region.</w:t>
                      </w:r>
                      <w:bookmarkEnd w:id="61"/>
                    </w:p>
                  </w:txbxContent>
                </v:textbox>
                <w10:wrap type="topAndBottom"/>
              </v:shape>
            </w:pict>
          </mc:Fallback>
        </mc:AlternateContent>
      </w:r>
    </w:p>
    <w:p w14:paraId="342B8F25" w14:textId="233220D7" w:rsidR="003D6843" w:rsidRDefault="00720A8C" w:rsidP="00047AEF">
      <w:pPr>
        <w:suppressLineNumbers/>
        <w:sectPr w:rsidR="003D6843" w:rsidSect="003D6843">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93056" behindDoc="0" locked="0" layoutInCell="1" allowOverlap="1" wp14:anchorId="488C7731" wp14:editId="15ADC440">
                <wp:simplePos x="0" y="0"/>
                <wp:positionH relativeFrom="column">
                  <wp:posOffset>0</wp:posOffset>
                </wp:positionH>
                <wp:positionV relativeFrom="paragraph">
                  <wp:posOffset>6132830</wp:posOffset>
                </wp:positionV>
                <wp:extent cx="9388475" cy="635"/>
                <wp:effectExtent l="0" t="0" r="0" b="12065"/>
                <wp:wrapTopAndBottom/>
                <wp:docPr id="5" name="Text Box 5"/>
                <wp:cNvGraphicFramePr/>
                <a:graphic xmlns:a="http://schemas.openxmlformats.org/drawingml/2006/main">
                  <a:graphicData uri="http://schemas.microsoft.com/office/word/2010/wordprocessingShape">
                    <wps:wsp>
                      <wps:cNvSpPr txBox="1"/>
                      <wps:spPr>
                        <a:xfrm>
                          <a:off x="0" y="0"/>
                          <a:ext cx="9388475" cy="635"/>
                        </a:xfrm>
                        <a:prstGeom prst="rect">
                          <a:avLst/>
                        </a:prstGeom>
                        <a:solidFill>
                          <a:prstClr val="white"/>
                        </a:solidFill>
                        <a:ln>
                          <a:noFill/>
                        </a:ln>
                      </wps:spPr>
                      <wps:txbx>
                        <w:txbxContent>
                          <w:p w14:paraId="3E5375FE" w14:textId="3F8D257B" w:rsidR="0002341C" w:rsidRPr="00967C0E" w:rsidRDefault="0002341C" w:rsidP="00720A8C">
                            <w:pPr>
                              <w:jc w:val="center"/>
                              <w:rPr>
                                <w:noProof/>
                              </w:rPr>
                            </w:pPr>
                            <w:bookmarkStart w:id="46" w:name="_Toc7299822"/>
                            <w:r w:rsidRPr="00720A8C">
                              <w:rPr>
                                <w:b/>
                              </w:rPr>
                              <w:t xml:space="preserve">Figure </w:t>
                            </w:r>
                            <w:r w:rsidRPr="00720A8C">
                              <w:rPr>
                                <w:b/>
                              </w:rPr>
                              <w:fldChar w:fldCharType="begin"/>
                            </w:r>
                            <w:r w:rsidRPr="00720A8C">
                              <w:rPr>
                                <w:b/>
                              </w:rPr>
                              <w:instrText xml:space="preserve"> SEQ Figure \* ARABIC </w:instrText>
                            </w:r>
                            <w:r w:rsidRPr="00720A8C">
                              <w:rPr>
                                <w:b/>
                              </w:rPr>
                              <w:fldChar w:fldCharType="separate"/>
                            </w:r>
                            <w:r>
                              <w:rPr>
                                <w:b/>
                                <w:noProof/>
                              </w:rPr>
                              <w:t>13</w:t>
                            </w:r>
                            <w:r w:rsidRPr="00720A8C">
                              <w:rPr>
                                <w:b/>
                              </w:rPr>
                              <w:fldChar w:fldCharType="end"/>
                            </w:r>
                            <w:r>
                              <w:t xml:space="preserve">. </w:t>
                            </w:r>
                            <w:r w:rsidRPr="00C077CA">
                              <w:t>Mean timing of minimum all-cause mortality for 1980-2016, by climate region and age group for males. Average temperatures (in degrees Celsius) are included in white for the corresponding month of maximum and minimum mortality for each climate region.</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8C7731" id="Text Box 5" o:spid="_x0000_s1038" type="#_x0000_t202" style="position:absolute;margin-left:0;margin-top:482.9pt;width:739.2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" stroked="f">
                <v:textbox style="mso-fit-shape-to-text:t" inset="0,0,0,0">
                  <w:txbxContent>
                    <w:p w14:paraId="3E5375FE" w14:textId="3F8D257B" w:rsidR="0002341C" w:rsidRPr="00967C0E" w:rsidRDefault="0002341C" w:rsidP="00720A8C">
                      <w:pPr>
                        <w:jc w:val="center"/>
                        <w:rPr>
                          <w:noProof/>
                        </w:rPr>
                      </w:pPr>
                      <w:bookmarkStart w:id="63" w:name="_Toc7299822"/>
                      <w:r w:rsidRPr="00720A8C">
                        <w:rPr>
                          <w:b/>
                        </w:rPr>
                        <w:t xml:space="preserve">Figure </w:t>
                      </w:r>
                      <w:r w:rsidRPr="00720A8C">
                        <w:rPr>
                          <w:b/>
                        </w:rPr>
                        <w:fldChar w:fldCharType="begin"/>
                      </w:r>
                      <w:r w:rsidRPr="00720A8C">
                        <w:rPr>
                          <w:b/>
                        </w:rPr>
                        <w:instrText xml:space="preserve"> SEQ Figure \* ARABIC </w:instrText>
                      </w:r>
                      <w:r w:rsidRPr="00720A8C">
                        <w:rPr>
                          <w:b/>
                        </w:rPr>
                        <w:fldChar w:fldCharType="separate"/>
                      </w:r>
                      <w:r>
                        <w:rPr>
                          <w:b/>
                          <w:noProof/>
                        </w:rPr>
                        <w:t>13</w:t>
                      </w:r>
                      <w:r w:rsidRPr="00720A8C">
                        <w:rPr>
                          <w:b/>
                        </w:rPr>
                        <w:fldChar w:fldCharType="end"/>
                      </w:r>
                      <w:r>
                        <w:t xml:space="preserve">. </w:t>
                      </w:r>
                      <w:r w:rsidRPr="00C077CA">
                        <w:t>Mean timing of minimum all-cause mortality for 1980-2016, by climate region and age group for males. Average temperatures (in degrees Celsius) are included in white for the corresponding month of maximum and minimum mortality for each climate region.</w:t>
                      </w:r>
                      <w:bookmarkEnd w:id="63"/>
                    </w:p>
                  </w:txbxContent>
                </v:textbox>
                <w10:wrap type="topAndBottom"/>
              </v:shape>
            </w:pict>
          </mc:Fallback>
        </mc:AlternateContent>
      </w:r>
    </w:p>
    <w:p w14:paraId="6223B5AC" w14:textId="102F858C" w:rsidR="003D6843" w:rsidRDefault="00720A8C" w:rsidP="00047AEF">
      <w:pPr>
        <w:suppressLineNumbers/>
        <w:sectPr w:rsidR="003D6843" w:rsidSect="003D6843">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96128" behindDoc="0" locked="0" layoutInCell="1" allowOverlap="1" wp14:anchorId="15E04A92" wp14:editId="361EDF31">
                <wp:simplePos x="0" y="0"/>
                <wp:positionH relativeFrom="column">
                  <wp:posOffset>0</wp:posOffset>
                </wp:positionH>
                <wp:positionV relativeFrom="paragraph">
                  <wp:posOffset>6132830</wp:posOffset>
                </wp:positionV>
                <wp:extent cx="9387840" cy="635"/>
                <wp:effectExtent l="0" t="0" r="0" b="12065"/>
                <wp:wrapTopAndBottom/>
                <wp:docPr id="6" name="Text Box 6"/>
                <wp:cNvGraphicFramePr/>
                <a:graphic xmlns:a="http://schemas.openxmlformats.org/drawingml/2006/main">
                  <a:graphicData uri="http://schemas.microsoft.com/office/word/2010/wordprocessingShape">
                    <wps:wsp>
                      <wps:cNvSpPr txBox="1"/>
                      <wps:spPr>
                        <a:xfrm>
                          <a:off x="0" y="0"/>
                          <a:ext cx="9387840" cy="635"/>
                        </a:xfrm>
                        <a:prstGeom prst="rect">
                          <a:avLst/>
                        </a:prstGeom>
                        <a:solidFill>
                          <a:prstClr val="white"/>
                        </a:solidFill>
                        <a:ln>
                          <a:noFill/>
                        </a:ln>
                      </wps:spPr>
                      <wps:txbx>
                        <w:txbxContent>
                          <w:p w14:paraId="303B818F" w14:textId="13F83A30" w:rsidR="0002341C" w:rsidRPr="00EA4AE1" w:rsidRDefault="0002341C" w:rsidP="00720A8C">
                            <w:pPr>
                              <w:jc w:val="center"/>
                              <w:rPr>
                                <w:noProof/>
                              </w:rPr>
                            </w:pPr>
                            <w:bookmarkStart w:id="47" w:name="_Toc7299823"/>
                            <w:r w:rsidRPr="00720A8C">
                              <w:rPr>
                                <w:b/>
                              </w:rPr>
                              <w:t xml:space="preserve">Figure </w:t>
                            </w:r>
                            <w:r w:rsidRPr="00720A8C">
                              <w:rPr>
                                <w:b/>
                              </w:rPr>
                              <w:fldChar w:fldCharType="begin"/>
                            </w:r>
                            <w:r w:rsidRPr="00720A8C">
                              <w:rPr>
                                <w:b/>
                              </w:rPr>
                              <w:instrText xml:space="preserve"> SEQ Figure \* ARABIC </w:instrText>
                            </w:r>
                            <w:r w:rsidRPr="00720A8C">
                              <w:rPr>
                                <w:b/>
                              </w:rPr>
                              <w:fldChar w:fldCharType="separate"/>
                            </w:r>
                            <w:r>
                              <w:rPr>
                                <w:b/>
                                <w:noProof/>
                              </w:rPr>
                              <w:t>14</w:t>
                            </w:r>
                            <w:r w:rsidRPr="00720A8C">
                              <w:rPr>
                                <w:b/>
                              </w:rPr>
                              <w:fldChar w:fldCharType="end"/>
                            </w:r>
                            <w:r>
                              <w:t xml:space="preserve">. </w:t>
                            </w:r>
                            <w:r w:rsidRPr="005265A9">
                              <w:t>Mean timing of maximum all-cause mortality for 1980-2016, by climate region and age group for females. Average temperatures (in degrees Celsius) are included in white for the corresponding month of maximum and minimum mortality for each climate region.</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E04A92" id="Text Box 6" o:spid="_x0000_s1039" type="#_x0000_t202" style="position:absolute;margin-left:0;margin-top:482.9pt;width:739.2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" stroked="f">
                <v:textbox style="mso-fit-shape-to-text:t" inset="0,0,0,0">
                  <w:txbxContent>
                    <w:p w14:paraId="303B818F" w14:textId="13F83A30" w:rsidR="0002341C" w:rsidRPr="00EA4AE1" w:rsidRDefault="0002341C" w:rsidP="00720A8C">
                      <w:pPr>
                        <w:jc w:val="center"/>
                        <w:rPr>
                          <w:noProof/>
                        </w:rPr>
                      </w:pPr>
                      <w:bookmarkStart w:id="65" w:name="_Toc7299823"/>
                      <w:r w:rsidRPr="00720A8C">
                        <w:rPr>
                          <w:b/>
                        </w:rPr>
                        <w:t xml:space="preserve">Figure </w:t>
                      </w:r>
                      <w:r w:rsidRPr="00720A8C">
                        <w:rPr>
                          <w:b/>
                        </w:rPr>
                        <w:fldChar w:fldCharType="begin"/>
                      </w:r>
                      <w:r w:rsidRPr="00720A8C">
                        <w:rPr>
                          <w:b/>
                        </w:rPr>
                        <w:instrText xml:space="preserve"> SEQ Figure \* ARABIC </w:instrText>
                      </w:r>
                      <w:r w:rsidRPr="00720A8C">
                        <w:rPr>
                          <w:b/>
                        </w:rPr>
                        <w:fldChar w:fldCharType="separate"/>
                      </w:r>
                      <w:r>
                        <w:rPr>
                          <w:b/>
                          <w:noProof/>
                        </w:rPr>
                        <w:t>14</w:t>
                      </w:r>
                      <w:r w:rsidRPr="00720A8C">
                        <w:rPr>
                          <w:b/>
                        </w:rPr>
                        <w:fldChar w:fldCharType="end"/>
                      </w:r>
                      <w:r>
                        <w:t xml:space="preserve">. </w:t>
                      </w:r>
                      <w:r w:rsidRPr="005265A9">
                        <w:t>Mean timing of maximum all-cause mortality for 1980-2016, by climate region and age group for females. Average temperatures (in degrees Celsius) are included in white for the corresponding month of maximum and minimum mortality for each climate region.</w:t>
                      </w:r>
                      <w:bookmarkEnd w:id="65"/>
                    </w:p>
                  </w:txbxContent>
                </v:textbox>
                <w10:wrap type="topAndBottom"/>
              </v:shape>
            </w:pict>
          </mc:Fallback>
        </mc:AlternateContent>
      </w:r>
    </w:p>
    <w:p w14:paraId="4D7F0CC0" w14:textId="1BB583E5" w:rsidR="00EE74D8" w:rsidRDefault="00285724" w:rsidP="00047AEF">
      <w:pPr>
        <w:suppressLineNumbers/>
        <w:sectPr w:rsidR="00EE74D8" w:rsidSect="003D6843">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99200" behindDoc="0" locked="0" layoutInCell="1" allowOverlap="1" wp14:anchorId="20FDA04F" wp14:editId="3DE714DE">
                <wp:simplePos x="0" y="0"/>
                <wp:positionH relativeFrom="column">
                  <wp:posOffset>0</wp:posOffset>
                </wp:positionH>
                <wp:positionV relativeFrom="paragraph">
                  <wp:posOffset>6132830</wp:posOffset>
                </wp:positionV>
                <wp:extent cx="9388475" cy="635"/>
                <wp:effectExtent l="0" t="0" r="0" b="12065"/>
                <wp:wrapTopAndBottom/>
                <wp:docPr id="7" name="Text Box 7"/>
                <wp:cNvGraphicFramePr/>
                <a:graphic xmlns:a="http://schemas.openxmlformats.org/drawingml/2006/main">
                  <a:graphicData uri="http://schemas.microsoft.com/office/word/2010/wordprocessingShape">
                    <wps:wsp>
                      <wps:cNvSpPr txBox="1"/>
                      <wps:spPr>
                        <a:xfrm>
                          <a:off x="0" y="0"/>
                          <a:ext cx="9388475" cy="635"/>
                        </a:xfrm>
                        <a:prstGeom prst="rect">
                          <a:avLst/>
                        </a:prstGeom>
                        <a:solidFill>
                          <a:prstClr val="white"/>
                        </a:solidFill>
                        <a:ln>
                          <a:noFill/>
                        </a:ln>
                      </wps:spPr>
                      <wps:txbx>
                        <w:txbxContent>
                          <w:p w14:paraId="139C2FC6" w14:textId="3EBA01DC" w:rsidR="0002341C" w:rsidRPr="002779F4" w:rsidRDefault="0002341C" w:rsidP="00285724">
                            <w:pPr>
                              <w:jc w:val="center"/>
                              <w:rPr>
                                <w:noProof/>
                              </w:rPr>
                            </w:pPr>
                            <w:bookmarkStart w:id="48" w:name="_Ref6145631"/>
                            <w:bookmarkStart w:id="49" w:name="_Toc7299824"/>
                            <w:r w:rsidRPr="00285724">
                              <w:rPr>
                                <w:b/>
                              </w:rPr>
                              <w:t xml:space="preserve">Figure </w:t>
                            </w:r>
                            <w:r w:rsidRPr="00285724">
                              <w:rPr>
                                <w:b/>
                              </w:rPr>
                              <w:fldChar w:fldCharType="begin"/>
                            </w:r>
                            <w:r w:rsidRPr="00285724">
                              <w:rPr>
                                <w:b/>
                              </w:rPr>
                              <w:instrText xml:space="preserve"> SEQ Figure \* ARABIC </w:instrText>
                            </w:r>
                            <w:r w:rsidRPr="00285724">
                              <w:rPr>
                                <w:b/>
                              </w:rPr>
                              <w:fldChar w:fldCharType="separate"/>
                            </w:r>
                            <w:r w:rsidRPr="00285724">
                              <w:rPr>
                                <w:b/>
                                <w:noProof/>
                              </w:rPr>
                              <w:t>15</w:t>
                            </w:r>
                            <w:r w:rsidRPr="00285724">
                              <w:rPr>
                                <w:b/>
                              </w:rPr>
                              <w:fldChar w:fldCharType="end"/>
                            </w:r>
                            <w:bookmarkEnd w:id="48"/>
                            <w:r>
                              <w:t xml:space="preserve">. </w:t>
                            </w:r>
                            <w:r w:rsidRPr="002E1D6D">
                              <w:t>Mean timing of minimum all-cause mortality for 1980-2016, by climate region and age group for females. Average temperatures (in degrees Celsius) are included in white for the corresponding month of maximum and minimum mortality for each climate region.</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DA04F" id="Text Box 7" o:spid="_x0000_s1040" type="#_x0000_t202" style="position:absolute;margin-left:0;margin-top:482.9pt;width:739.2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" stroked="f">
                <v:textbox style="mso-fit-shape-to-text:t" inset="0,0,0,0">
                  <w:txbxContent>
                    <w:p w14:paraId="139C2FC6" w14:textId="3EBA01DC" w:rsidR="0002341C" w:rsidRPr="002779F4" w:rsidRDefault="0002341C" w:rsidP="00285724">
                      <w:pPr>
                        <w:jc w:val="center"/>
                        <w:rPr>
                          <w:noProof/>
                        </w:rPr>
                      </w:pPr>
                      <w:bookmarkStart w:id="68" w:name="_Ref6145631"/>
                      <w:bookmarkStart w:id="69" w:name="_Toc7299824"/>
                      <w:r w:rsidRPr="00285724">
                        <w:rPr>
                          <w:b/>
                        </w:rPr>
                        <w:t xml:space="preserve">Figure </w:t>
                      </w:r>
                      <w:r w:rsidRPr="00285724">
                        <w:rPr>
                          <w:b/>
                        </w:rPr>
                        <w:fldChar w:fldCharType="begin"/>
                      </w:r>
                      <w:r w:rsidRPr="00285724">
                        <w:rPr>
                          <w:b/>
                        </w:rPr>
                        <w:instrText xml:space="preserve"> SEQ Figure \* ARABIC </w:instrText>
                      </w:r>
                      <w:r w:rsidRPr="00285724">
                        <w:rPr>
                          <w:b/>
                        </w:rPr>
                        <w:fldChar w:fldCharType="separate"/>
                      </w:r>
                      <w:r w:rsidRPr="00285724">
                        <w:rPr>
                          <w:b/>
                          <w:noProof/>
                        </w:rPr>
                        <w:t>15</w:t>
                      </w:r>
                      <w:r w:rsidRPr="00285724">
                        <w:rPr>
                          <w:b/>
                        </w:rPr>
                        <w:fldChar w:fldCharType="end"/>
                      </w:r>
                      <w:bookmarkEnd w:id="68"/>
                      <w:r>
                        <w:t xml:space="preserve">. </w:t>
                      </w:r>
                      <w:r w:rsidRPr="002E1D6D">
                        <w:t>Mean timing of minimum all-cause mortality for 1980-2016, by climate region and age group for females. Average temperatures (in degrees Celsius) are included in white for the corresponding month of maximum and minimum mortality for each climate region.</w:t>
                      </w:r>
                      <w:bookmarkEnd w:id="69"/>
                    </w:p>
                  </w:txbxContent>
                </v:textbox>
                <w10:wrap type="topAndBottom"/>
              </v:shape>
            </w:pict>
          </mc:Fallback>
        </mc:AlternateContent>
      </w:r>
    </w:p>
    <w:p w14:paraId="4328CBC0" w14:textId="0B824A15" w:rsidR="003D6843" w:rsidRDefault="00F858A9" w:rsidP="00047AEF">
      <w:pPr>
        <w:suppressLineNumbers/>
        <w:sectPr w:rsidR="003D6843" w:rsidSect="003D6843">
          <w:pgSz w:w="16840" w:h="11900" w:orient="landscape"/>
          <w:pgMar w:top="720" w:right="720" w:bottom="720" w:left="720" w:header="720" w:footer="720" w:gutter="0"/>
          <w:lnNumType w:countBy="1" w:restart="continuous"/>
          <w:cols w:space="720"/>
          <w:docGrid w:linePitch="360"/>
        </w:sectPr>
      </w:pPr>
      <w:r>
        <w:rPr>
          <w:noProof/>
          <w:lang w:eastAsia="en-GB"/>
        </w:rPr>
        <w:lastRenderedPageBreak/>
        <mc:AlternateContent>
          <mc:Choice Requires="wps">
            <w:drawing>
              <wp:anchor distT="0" distB="0" distL="114300" distR="114300" simplePos="0" relativeHeight="251688960" behindDoc="0" locked="0" layoutInCell="1" allowOverlap="1" wp14:anchorId="13959F88" wp14:editId="068B8515">
                <wp:simplePos x="0" y="0"/>
                <wp:positionH relativeFrom="column">
                  <wp:posOffset>0</wp:posOffset>
                </wp:positionH>
                <wp:positionV relativeFrom="paragraph">
                  <wp:posOffset>6132830</wp:posOffset>
                </wp:positionV>
                <wp:extent cx="9388475" cy="635"/>
                <wp:effectExtent l="0" t="0" r="0" b="12065"/>
                <wp:wrapTopAndBottom/>
                <wp:docPr id="2" name="Text Box 2"/>
                <wp:cNvGraphicFramePr/>
                <a:graphic xmlns:a="http://schemas.openxmlformats.org/drawingml/2006/main">
                  <a:graphicData uri="http://schemas.microsoft.com/office/word/2010/wordprocessingShape">
                    <wps:wsp>
                      <wps:cNvSpPr txBox="1"/>
                      <wps:spPr>
                        <a:xfrm>
                          <a:off x="0" y="0"/>
                          <a:ext cx="9388475" cy="635"/>
                        </a:xfrm>
                        <a:prstGeom prst="rect">
                          <a:avLst/>
                        </a:prstGeom>
                        <a:solidFill>
                          <a:prstClr val="white"/>
                        </a:solidFill>
                        <a:ln>
                          <a:noFill/>
                        </a:ln>
                      </wps:spPr>
                      <wps:txbx>
                        <w:txbxContent>
                          <w:p w14:paraId="12675B30" w14:textId="6A099291" w:rsidR="0002341C" w:rsidRPr="007D0E4D" w:rsidRDefault="0002341C" w:rsidP="00F858A9">
                            <w:pPr>
                              <w:jc w:val="center"/>
                              <w:rPr>
                                <w:noProof/>
                              </w:rPr>
                            </w:pPr>
                            <w:bookmarkStart w:id="50" w:name="_Ref6145665"/>
                            <w:bookmarkStart w:id="51" w:name="_Toc7299825"/>
                            <w:r w:rsidRPr="00F858A9">
                              <w:rPr>
                                <w:b/>
                              </w:rPr>
                              <w:t xml:space="preserve">Figure </w:t>
                            </w:r>
                            <w:r w:rsidRPr="00F858A9">
                              <w:rPr>
                                <w:b/>
                              </w:rPr>
                              <w:fldChar w:fldCharType="begin"/>
                            </w:r>
                            <w:r w:rsidRPr="00F858A9">
                              <w:rPr>
                                <w:b/>
                              </w:rPr>
                              <w:instrText xml:space="preserve"> SEQ Figure \* ARABIC </w:instrText>
                            </w:r>
                            <w:r w:rsidRPr="00F858A9">
                              <w:rPr>
                                <w:b/>
                              </w:rPr>
                              <w:fldChar w:fldCharType="separate"/>
                            </w:r>
                            <w:r>
                              <w:rPr>
                                <w:b/>
                                <w:noProof/>
                              </w:rPr>
                              <w:t>16</w:t>
                            </w:r>
                            <w:r w:rsidRPr="00F858A9">
                              <w:rPr>
                                <w:b/>
                              </w:rPr>
                              <w:fldChar w:fldCharType="end"/>
                            </w:r>
                            <w:bookmarkEnd w:id="50"/>
                            <w:r>
                              <w:t>.</w:t>
                            </w:r>
                            <w:r w:rsidRPr="00F858A9">
                              <w:t xml:space="preserve"> </w:t>
                            </w:r>
                            <w:r w:rsidRPr="00127064">
                              <w:t>The relationship between percent difference in all-cause death rates and temperature difference between months with maximum and minimum mortality across climate regions, by sex and age group in 2016.</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959F88" id="Text Box 2" o:spid="_x0000_s1041" type="#_x0000_t202" style="position:absolute;margin-left:0;margin-top:482.9pt;width:739.2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" stroked="f">
                <v:textbox style="mso-fit-shape-to-text:t" inset="0,0,0,0">
                  <w:txbxContent>
                    <w:p w14:paraId="12675B30" w14:textId="6A099291" w:rsidR="0002341C" w:rsidRPr="007D0E4D" w:rsidRDefault="0002341C" w:rsidP="00F858A9">
                      <w:pPr>
                        <w:jc w:val="center"/>
                        <w:rPr>
                          <w:noProof/>
                        </w:rPr>
                      </w:pPr>
                      <w:bookmarkStart w:id="72" w:name="_Ref6145665"/>
                      <w:bookmarkStart w:id="73" w:name="_Toc7299825"/>
                      <w:r w:rsidRPr="00F858A9">
                        <w:rPr>
                          <w:b/>
                        </w:rPr>
                        <w:t xml:space="preserve">Figure </w:t>
                      </w:r>
                      <w:r w:rsidRPr="00F858A9">
                        <w:rPr>
                          <w:b/>
                        </w:rPr>
                        <w:fldChar w:fldCharType="begin"/>
                      </w:r>
                      <w:r w:rsidRPr="00F858A9">
                        <w:rPr>
                          <w:b/>
                        </w:rPr>
                        <w:instrText xml:space="preserve"> SEQ Figure \* ARABIC </w:instrText>
                      </w:r>
                      <w:r w:rsidRPr="00F858A9">
                        <w:rPr>
                          <w:b/>
                        </w:rPr>
                        <w:fldChar w:fldCharType="separate"/>
                      </w:r>
                      <w:r>
                        <w:rPr>
                          <w:b/>
                          <w:noProof/>
                        </w:rPr>
                        <w:t>16</w:t>
                      </w:r>
                      <w:r w:rsidRPr="00F858A9">
                        <w:rPr>
                          <w:b/>
                        </w:rPr>
                        <w:fldChar w:fldCharType="end"/>
                      </w:r>
                      <w:bookmarkEnd w:id="72"/>
                      <w:r>
                        <w:t>.</w:t>
                      </w:r>
                      <w:r w:rsidRPr="00F858A9">
                        <w:t xml:space="preserve"> </w:t>
                      </w:r>
                      <w:r w:rsidRPr="00127064">
                        <w:t>The relationship between percent difference in all-cause death rates and temperature difference between months with maximum and minimum mortality across climate regions, by sex and age group in 2016.</w:t>
                      </w:r>
                      <w:bookmarkEnd w:id="73"/>
                    </w:p>
                  </w:txbxContent>
                </v:textbox>
                <w10:wrap type="topAndBottom"/>
              </v:shape>
            </w:pict>
          </mc:Fallback>
        </mc:AlternateContent>
      </w:r>
    </w:p>
    <w:p w14:paraId="26A52962" w14:textId="50114FA2" w:rsidR="00476919" w:rsidRPr="00097CA5" w:rsidRDefault="00476919" w:rsidP="00D4171C">
      <w:pPr>
        <w:pStyle w:val="Heading3"/>
      </w:pPr>
      <w:bookmarkStart w:id="52" w:name="_Toc7299806"/>
      <w:r>
        <w:lastRenderedPageBreak/>
        <w:t xml:space="preserve">Change in </w:t>
      </w:r>
      <w:r w:rsidR="00D72027">
        <w:t>percent difference in death rates</w:t>
      </w:r>
      <w:bookmarkEnd w:id="52"/>
    </w:p>
    <w:p w14:paraId="064D6443" w14:textId="323C1CDE" w:rsidR="00EE74D8" w:rsidRPr="00736834" w:rsidRDefault="006675AE" w:rsidP="001B46BA">
      <w:pPr>
        <w:spacing w:line="480" w:lineRule="auto"/>
        <w:ind w:firstLine="720"/>
        <w:jc w:val="both"/>
        <w:rPr>
          <w:sz w:val="24"/>
          <w:szCs w:val="24"/>
        </w:rPr>
        <w:sectPr w:rsidR="00EE74D8" w:rsidRPr="00736834" w:rsidSect="0083190B">
          <w:pgSz w:w="11900" w:h="16840"/>
          <w:pgMar w:top="1440" w:right="1440" w:bottom="1440" w:left="1440" w:header="720" w:footer="720" w:gutter="0"/>
          <w:lnNumType w:countBy="1" w:restart="continuous"/>
          <w:cols w:space="720"/>
          <w:docGrid w:linePitch="360"/>
        </w:sectPr>
      </w:pPr>
      <w:r w:rsidRPr="00736834">
        <w:rPr>
          <w:sz w:val="24"/>
          <w:szCs w:val="24"/>
        </w:rPr>
        <w:t>From 1980 to 2016, the proportional (percent) difference in all-cause death rates between peak and minimum months declined little for people older than 45 years of age (by less than eight percentage points with p-values for declining trend&gt;0.1) (</w:t>
      </w:r>
      <w:r w:rsidR="003E0F20" w:rsidRPr="00736834">
        <w:rPr>
          <w:sz w:val="24"/>
          <w:szCs w:val="24"/>
        </w:rPr>
        <w:fldChar w:fldCharType="begin"/>
      </w:r>
      <w:r w:rsidR="003E0F20" w:rsidRPr="00736834">
        <w:rPr>
          <w:sz w:val="24"/>
          <w:szCs w:val="24"/>
        </w:rPr>
        <w:instrText xml:space="preserve"> REF _Ref6145703 \h </w:instrText>
      </w:r>
      <w:r w:rsidR="00736834">
        <w:rPr>
          <w:sz w:val="24"/>
          <w:szCs w:val="24"/>
        </w:rPr>
        <w:instrText xml:space="preserve"> \* MERGEFORMAT </w:instrText>
      </w:r>
      <w:r w:rsidR="003E0F20" w:rsidRPr="00736834">
        <w:rPr>
          <w:sz w:val="24"/>
          <w:szCs w:val="24"/>
        </w:rPr>
      </w:r>
      <w:r w:rsidR="003E0F20" w:rsidRPr="00736834">
        <w:rPr>
          <w:sz w:val="24"/>
          <w:szCs w:val="24"/>
        </w:rPr>
        <w:fldChar w:fldCharType="separate"/>
      </w:r>
      <w:r w:rsidR="00762F63" w:rsidRPr="00762F63">
        <w:rPr>
          <w:b/>
          <w:sz w:val="24"/>
          <w:szCs w:val="24"/>
        </w:rPr>
        <w:t xml:space="preserve">Figure </w:t>
      </w:r>
      <w:r w:rsidR="00762F63" w:rsidRPr="00762F63">
        <w:rPr>
          <w:b/>
          <w:noProof/>
          <w:sz w:val="24"/>
          <w:szCs w:val="24"/>
        </w:rPr>
        <w:t>17</w:t>
      </w:r>
      <w:r w:rsidR="003E0F20" w:rsidRPr="00736834">
        <w:rPr>
          <w:sz w:val="24"/>
          <w:szCs w:val="24"/>
        </w:rPr>
        <w:fldChar w:fldCharType="end"/>
      </w:r>
      <w:r w:rsidRPr="00736834">
        <w:rPr>
          <w:sz w:val="24"/>
          <w:szCs w:val="24"/>
        </w:rPr>
        <w:t>). In contrast, the difference between peak (summer) and minimum (winter) death rates declined in younger ages, by over 25 percentage points in males aged 5-14 years and 15-24 years (p-values&lt;0.01), largely driven in the declining difference between summer and winter injury deaths. Under five years of age, percent seasonal difference in all-cause death rates declined by 13 percentage points (p-value&lt;0.01) for boys but only 5 percentage points (p-value=0.12) for girls. These declines in seasonality of child deaths were a net effect of declining winter-summer difference in cardiorespiratory diseases deaths and increasing summer-winter difference in injury deaths, itself driven by increasing difference in non-intentional injuries</w:t>
      </w:r>
      <w:r w:rsidR="007A03A6" w:rsidRPr="007A03A6">
        <w:rPr>
          <w:sz w:val="24"/>
          <w:szCs w:val="24"/>
        </w:rPr>
        <w:t>.</w:t>
      </w:r>
    </w:p>
    <w:p w14:paraId="5345F25D" w14:textId="4A79912B" w:rsidR="008F1591" w:rsidRDefault="008F1591" w:rsidP="008F1591">
      <w:pPr>
        <w:keepNext/>
        <w:suppressLineNumbers/>
        <w:jc w:val="center"/>
      </w:pPr>
      <w:bookmarkStart w:id="53" w:name="_Toc6045011"/>
    </w:p>
    <w:p w14:paraId="69E6AAB7" w14:textId="717EB9E0" w:rsidR="00EE74D8" w:rsidRDefault="008F1591" w:rsidP="00F858A9">
      <w:pPr>
        <w:suppressLineNumbers/>
        <w:jc w:val="center"/>
        <w:sectPr w:rsidR="00EE74D8" w:rsidSect="00EE74D8">
          <w:pgSz w:w="16840" w:h="11900" w:orient="landscape"/>
          <w:pgMar w:top="720" w:right="720" w:bottom="720" w:left="720" w:header="720" w:footer="720" w:gutter="0"/>
          <w:lnNumType w:countBy="1" w:restart="continuous"/>
          <w:cols w:space="720"/>
          <w:docGrid w:linePitch="360"/>
        </w:sectPr>
      </w:pPr>
      <w:bookmarkStart w:id="54" w:name="_Ref6145703"/>
      <w:bookmarkStart w:id="55" w:name="_Toc7299826"/>
      <w:r w:rsidRPr="008F1591">
        <w:rPr>
          <w:b/>
        </w:rPr>
        <w:t xml:space="preserve">Figure </w:t>
      </w:r>
      <w:r w:rsidRPr="008F1591">
        <w:rPr>
          <w:b/>
        </w:rPr>
        <w:fldChar w:fldCharType="begin"/>
      </w:r>
      <w:r w:rsidRPr="008F1591">
        <w:rPr>
          <w:b/>
        </w:rPr>
        <w:instrText xml:space="preserve"> SEQ Figure \* ARABIC </w:instrText>
      </w:r>
      <w:r w:rsidRPr="008F1591">
        <w:rPr>
          <w:b/>
        </w:rPr>
        <w:fldChar w:fldCharType="separate"/>
      </w:r>
      <w:r w:rsidR="00762F63">
        <w:rPr>
          <w:b/>
          <w:noProof/>
        </w:rPr>
        <w:t>17</w:t>
      </w:r>
      <w:r w:rsidRPr="008F1591">
        <w:rPr>
          <w:b/>
        </w:rPr>
        <w:fldChar w:fldCharType="end"/>
      </w:r>
      <w:bookmarkEnd w:id="54"/>
      <w:r>
        <w:t xml:space="preserve">. </w:t>
      </w:r>
      <w:r w:rsidRPr="00127064">
        <w:t>National percent difference in death rates between the maximum and minimum mortality months for all-cause and cause-specific mortality</w:t>
      </w:r>
      <w:r w:rsidRPr="00127064" w:rsidDel="00F84E39">
        <w:t xml:space="preserve"> </w:t>
      </w:r>
      <w:r w:rsidRPr="00127064">
        <w:t>in 2016 versus 1980, by sex and age group.</w:t>
      </w:r>
      <w:bookmarkEnd w:id="55"/>
    </w:p>
    <w:p w14:paraId="3009D8A5" w14:textId="4F22175A" w:rsidR="006675AE" w:rsidRPr="00127064" w:rsidRDefault="006675AE" w:rsidP="006675AE">
      <w:pPr>
        <w:pStyle w:val="Heading2"/>
      </w:pPr>
      <w:bookmarkStart w:id="56" w:name="_Toc7299807"/>
      <w:r w:rsidRPr="00127064">
        <w:lastRenderedPageBreak/>
        <w:t>Strengths and limitations</w:t>
      </w:r>
      <w:bookmarkEnd w:id="53"/>
      <w:bookmarkEnd w:id="56"/>
    </w:p>
    <w:p w14:paraId="04C8EE1D" w14:textId="6270A3DB" w:rsidR="006675AE" w:rsidRPr="00097CA5" w:rsidRDefault="006675AE" w:rsidP="00130B5C">
      <w:pPr>
        <w:spacing w:line="480" w:lineRule="auto"/>
        <w:ind w:firstLine="720"/>
        <w:jc w:val="both"/>
        <w:rPr>
          <w:sz w:val="24"/>
          <w:szCs w:val="24"/>
        </w:rPr>
      </w:pPr>
      <w:r w:rsidRPr="00097CA5">
        <w:rPr>
          <w:sz w:val="24"/>
          <w:szCs w:val="24"/>
        </w:rPr>
        <w:t xml:space="preserve">The strengths of our study are its innovative methods of characterizing seasonality of mortality dynamically over space and time, by age group and cause of death; using wavelet and centre of gravity analyses; using ERA-Interim data output to compare the association between seasonality of death rates and regional temperature. A limitation of our study is that </w:t>
      </w:r>
      <w:r w:rsidR="002A45D1">
        <w:rPr>
          <w:sz w:val="24"/>
          <w:szCs w:val="24"/>
        </w:rPr>
        <w:t>I</w:t>
      </w:r>
      <w:r w:rsidRPr="00097CA5">
        <w:rPr>
          <w:sz w:val="24"/>
          <w:szCs w:val="24"/>
        </w:rPr>
        <w:t xml:space="preserve"> did not investigate seasonality of mortality by socioeconomic characteristics which may help with understanding its determinants and planning responses. </w:t>
      </w:r>
    </w:p>
    <w:p w14:paraId="2B637C8B" w14:textId="5FECE443" w:rsidR="006675AE" w:rsidRPr="00127064" w:rsidRDefault="006675AE" w:rsidP="006675AE">
      <w:pPr>
        <w:pStyle w:val="Heading2"/>
      </w:pPr>
      <w:bookmarkStart w:id="57" w:name="_Toc6045012"/>
      <w:bookmarkStart w:id="58" w:name="_Toc7299808"/>
      <w:r w:rsidRPr="00127064">
        <w:t>Discussion</w:t>
      </w:r>
      <w:bookmarkEnd w:id="57"/>
      <w:bookmarkEnd w:id="58"/>
    </w:p>
    <w:p w14:paraId="22ADA834" w14:textId="000D5B9B" w:rsidR="006675AE" w:rsidRPr="00097CA5" w:rsidRDefault="002A45D1" w:rsidP="00130B5C">
      <w:pPr>
        <w:spacing w:line="480" w:lineRule="auto"/>
        <w:ind w:firstLine="720"/>
        <w:jc w:val="both"/>
        <w:rPr>
          <w:sz w:val="24"/>
          <w:szCs w:val="24"/>
        </w:rPr>
      </w:pPr>
      <w:r>
        <w:rPr>
          <w:sz w:val="24"/>
          <w:szCs w:val="24"/>
        </w:rPr>
        <w:t>I</w:t>
      </w:r>
      <w:r w:rsidR="006675AE" w:rsidRPr="00097CA5">
        <w:rPr>
          <w:sz w:val="24"/>
          <w:szCs w:val="24"/>
        </w:rPr>
        <w:t xml:space="preserve"> used wavelet and centre of gravity analyses, which allowed systematically identifying and characterizing seasonality of total and cause-specific mortality in the </w:t>
      </w:r>
      <w:r w:rsidR="00084038">
        <w:rPr>
          <w:sz w:val="24"/>
          <w:szCs w:val="24"/>
        </w:rPr>
        <w:t>United States</w:t>
      </w:r>
      <w:r w:rsidR="006675AE" w:rsidRPr="00097CA5">
        <w:rPr>
          <w:sz w:val="24"/>
          <w:szCs w:val="24"/>
        </w:rPr>
        <w:t xml:space="preserve"> and examining how seasonality has changed over time. </w:t>
      </w:r>
      <w:r>
        <w:rPr>
          <w:sz w:val="24"/>
          <w:szCs w:val="24"/>
        </w:rPr>
        <w:t>I</w:t>
      </w:r>
      <w:r w:rsidR="006675AE" w:rsidRPr="00097CA5">
        <w:rPr>
          <w:sz w:val="24"/>
          <w:szCs w:val="24"/>
        </w:rPr>
        <w:t xml:space="preserve"> identified distinct seasonal patterns in relation to age and sex, including higher all-cause summer mortality in young men </w:t>
      </w:r>
      <w:r w:rsidR="006675AE" w:rsidRPr="00097CA5">
        <w:rPr>
          <w:sz w:val="24"/>
          <w:szCs w:val="24"/>
        </w:rPr>
        <w:fldChar w:fldCharType="begin" w:fldLock="1"/>
      </w:r>
      <w:r w:rsidR="006675AE" w:rsidRPr="00097CA5">
        <w:rPr>
          <w:sz w:val="24"/>
          <w:szCs w:val="24"/>
        </w:rPr>
        <w:instrText>ADDIN CSL_CITATION {"citationItems":[{"id":"ITEM-1","itemData":{"DOI":"10.4054/DemRes.2002.6.17","ISSN":"14359871","author":[{"dropping-particle":"","family":"Feinstein","given":"Craig A.","non-dropping-particle":"","parse-names":false,"suffix":""}],"container-title":"Demographic Research","id":"ITEM-1","issued":{"date-parts":[["2002"]]},"page":"469-486","title":"Seasonality of deaths in the U.S. by age and cause","type":"article-journal","volume":"6"},"uris":["http://www.mendeley.com/documents/?uuid=e0a30cb0-f37e-4639-b84c-def2337e8c99"]},{"id":"ITEM-2","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W","non-dropping-particle":"","parse-names":false,"suffix":""}],"id":"ITEM-2","issued":{"date-parts":[["2018"]]},"title":"Visualizing Mortality Dynamics in the Lexis Diagram","type":"book"},"uris":["http://www.mendeley.com/documents/?uuid=e0c81d53-6ad6-40c1-935d-e122c89bb8f6"]}],"mendeley":{"formattedCitation":"(Feinstein, 2002; Rau et al., 2018)","plainTextFormattedCitation":"(Feinstein, 2002; Rau et al., 2018)","previouslyFormattedCitation":"(Feinstein, 2002; Rau et al., 2018)"},"properties":{"noteIndex":0},"schema":"https://github.com/citation-style-language/schema/raw/master/csl-citation.json"}</w:instrText>
      </w:r>
      <w:r w:rsidR="006675AE" w:rsidRPr="00097CA5">
        <w:rPr>
          <w:sz w:val="24"/>
          <w:szCs w:val="24"/>
        </w:rPr>
        <w:fldChar w:fldCharType="separate"/>
      </w:r>
      <w:r w:rsidR="006675AE" w:rsidRPr="00097CA5">
        <w:rPr>
          <w:noProof/>
          <w:sz w:val="24"/>
          <w:szCs w:val="24"/>
        </w:rPr>
        <w:t>(Feinstein, 2002; Rau et al., 2018)</w:t>
      </w:r>
      <w:r w:rsidR="006675AE" w:rsidRPr="00097CA5">
        <w:rPr>
          <w:sz w:val="24"/>
          <w:szCs w:val="24"/>
        </w:rPr>
        <w:fldChar w:fldCharType="end"/>
      </w:r>
      <w:r w:rsidR="006675AE" w:rsidRPr="00097CA5">
        <w:rPr>
          <w:sz w:val="24"/>
          <w:szCs w:val="24"/>
        </w:rPr>
        <w:t xml:space="preserve">. Importantly, </w:t>
      </w:r>
      <w:r>
        <w:rPr>
          <w:sz w:val="24"/>
          <w:szCs w:val="24"/>
        </w:rPr>
        <w:t>I</w:t>
      </w:r>
      <w:r w:rsidR="006675AE" w:rsidRPr="00097CA5">
        <w:rPr>
          <w:sz w:val="24"/>
          <w:szCs w:val="24"/>
        </w:rPr>
        <w:t xml:space="preserve"> also showed that all-cause and cause-specific mortality seasonality is largely similar in terms of both timing and magnitude across diverse climatic regions with substantially different summer and winter temperatures. Insights of this kind would not have been possible analysing data averaged over time or nationally or fixed to pre-specified frequencies. </w:t>
      </w:r>
    </w:p>
    <w:p w14:paraId="7B1AA635" w14:textId="3C7DFBC3" w:rsidR="006675AE" w:rsidRPr="00097CA5" w:rsidRDefault="006675AE" w:rsidP="00130B5C">
      <w:pPr>
        <w:spacing w:line="480" w:lineRule="auto"/>
        <w:ind w:firstLine="720"/>
        <w:jc w:val="both"/>
        <w:rPr>
          <w:sz w:val="24"/>
          <w:szCs w:val="24"/>
        </w:rPr>
      </w:pPr>
      <w:r w:rsidRPr="00097CA5">
        <w:rPr>
          <w:sz w:val="24"/>
          <w:szCs w:val="24"/>
        </w:rPr>
        <w:t xml:space="preserve">Prior studies have noted seasonality of mortality for all-cause mortality and for specific causes of death in the </w:t>
      </w:r>
      <w:r w:rsidR="00084038">
        <w:rPr>
          <w:sz w:val="24"/>
          <w:szCs w:val="24"/>
        </w:rPr>
        <w:t>United States</w:t>
      </w:r>
      <w:r w:rsidRPr="00097CA5">
        <w:rPr>
          <w:sz w:val="24"/>
          <w:szCs w:val="24"/>
        </w:rPr>
        <w:t xml:space="preserve"> </w:t>
      </w:r>
      <w:r w:rsidRPr="00097CA5">
        <w:rPr>
          <w:sz w:val="24"/>
          <w:szCs w:val="24"/>
        </w:rPr>
        <w:fldChar w:fldCharType="begin" w:fldLock="1"/>
      </w:r>
      <w:r w:rsidR="00DB423F">
        <w:rPr>
          <w:sz w:val="24"/>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approach","type":"article-journal","volume":"PhD"},"uris":["http://www.mendeley.com/documents/?uuid=735ffa52-a2fc-4bed-ab59-d84289752b70"]},{"id":"ITEM-3","itemData":{"DOI":"10.1080/01621459.1966.10480899","ISSN":"1537274X","abstract":"Abstract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Association","id":"ITEM-3","issue":"315","issued":{"date-parts":[["1966"]]},"page":"706-719","title":"Seasonal Variation of Deaths in the United States, 1951–1960","type":"article-journal","volume":"61"},"uris":["http://www.mendeley.com/documents/?uuid=ada7c7c6-41f2-42e4-8d0b-e2068c79bab5"]},{"id":"ITEM-4","itemData":{"DOI":"10.4054/DemRes.2002.6.17","ISSN":"14359871","author":[{"dropping-particle":"","family":"Feinstein","given":"Craig A.","non-dropping-particle":"","parse-names":false,"suffix":""}],"container-title":"Demographic Research","id":"ITEM-4","issued":{"date-parts":[["2002"]]},"page":"469-486","title":"Seasonality of deaths in the U.S. by age and cause","type":"article-journal","volume":"6"},"uris":["http://www.mendeley.com/documents/?uuid=e0a30cb0-f37e-4639-b84c-def2337e8c99"]},{"id":"ITEM-5","itemData":{"DOI":"10.1001/jama.1997.03550120072036","ISSN":"0098-7484","author":[{"dropping-particle":"","family":"Seretakis","given":"Dimitrios","non-dropping-particle":"","parse-names":false,"suffix":""}],"container-title":"JAMA: The Journal of the American Medical Association","id":"ITEM-5","issue":"12","issued":{"date-parts":[["1997"]]},"page":"1012","title":"Changing Seasonality of Mortality From Coronary Heart Disease","type":"article-journal","volume":"278"},"uris":["http://www.mendeley.com/documents/?uuid=f8f1d39a-cba5-4b07-8183-8e346932439a"]},{"id":"ITEM-6","itemData":{"DOI":"10.1371/journal.pone.0063971","ISBN":"1932-6203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ONE","id":"ITEM-6","issue":"5","issued":{"date-parts":[["2013"]]},"title":"Regional Similarities in Seasonal Mortality across the United States: An Examination of 28 Metropolitan Statistical Areas","type":"article-journal","volume":"8"},"uris":["http://www.mendeley.com/documents/?uuid=50b74cb8-33dd-4519-ac6d-9a36289002e0"]}],"mendeley":{"formattedCitation":"(Feinstein, 2002; Kalkstein, 2013; Rau, 2004; Rau et al., 2018; Rosenwaike, 1966; Seretakis, 1997)","plainTextFormattedCitation":"(Feinstein, 2002; Kalkstein, 2013; Rau, 2004; Rau et al., 2018; Rosenwaike, 1966; Seretakis, 1997)","previouslyFormattedCitation":"(Feinstein, 2002; Kalkstein, 2013; Rau, 2004; Rau et al., 2018; Rosenwaike, 1966; Seretakis, 1997)"},"properties":{"noteIndex":0},"schema":"https://github.com/citation-style-language/schema/raw/master/csl-citation.json"}</w:instrText>
      </w:r>
      <w:r w:rsidRPr="00097CA5">
        <w:rPr>
          <w:sz w:val="24"/>
          <w:szCs w:val="24"/>
        </w:rPr>
        <w:fldChar w:fldCharType="separate"/>
      </w:r>
      <w:r w:rsidRPr="00097CA5">
        <w:rPr>
          <w:noProof/>
          <w:sz w:val="24"/>
          <w:szCs w:val="24"/>
        </w:rPr>
        <w:t>(Feinstein, 2002; Kalkstein, 2013; Rau, 2004; Rau et al., 2018; Rosenwaike, 1966; Seretakis, 1997)</w:t>
      </w:r>
      <w:r w:rsidRPr="00097CA5">
        <w:rPr>
          <w:sz w:val="24"/>
          <w:szCs w:val="24"/>
        </w:rPr>
        <w:fldChar w:fldCharType="end"/>
      </w:r>
      <w:r w:rsidRPr="00097CA5">
        <w:rPr>
          <w:sz w:val="24"/>
          <w:szCs w:val="24"/>
        </w:rPr>
        <w:t xml:space="preserve">. Few of these studies have done consistent national and subnational analyses, and none has done so over time, for a comprehensive set of age groups and causes of death, and in relation to regional temperature differences. Our results on strong seasonality of cardiorespiratory diseases deaths and weak seasonality of cancer deaths, restricted to older ages, are broadly consistent with these studies </w:t>
      </w:r>
      <w:r w:rsidRPr="00097CA5">
        <w:rPr>
          <w:sz w:val="24"/>
          <w:szCs w:val="24"/>
        </w:rPr>
        <w:fldChar w:fldCharType="begin" w:fldLock="1"/>
      </w:r>
      <w:r w:rsidRPr="00097CA5">
        <w:rPr>
          <w:sz w:val="24"/>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W","non-dropping-particle":"","parse-names":false,"suffix":""}],"id":"ITEM-2","issued":{"date-parts":[["2018"]]},"title":"Visualizing Mortality Dynamics in the Lexis Diagram","type":"book"},"uris":["http://www.mendeley.com/documents/?uuid=e0c81d53-6ad6-40c1-935d-e122c89bb8f6"]},{"id":"ITEM-3","itemData":{"DOI":"10.4054/DemRes.2002.6.17","ISSN":"14359871","author":[{"dropping-particle":"","family":"Feinstein","given":"Craig A.","non-dropping-particle":"","parse-names":false,"suffix":""}],"container-title":"Demographic Research","id":"ITEM-3","issued":{"date-parts":[["2002"]]},"page":"469-486","title":"Seasonality of deaths in the U.S. by age and cause","type":"article-journal","volume":"6"},"uris":["http://www.mendeley.com/documents/?uuid=e0a30cb0-f37e-4639-b84c-def2337e8c99"]},{"id":"ITEM-4","itemData":{"DOI":"10.1001/jama.1997.03550120072036","ISSN":"0098-7484","author":[{"dropping-particle":"","family":"Seretakis","given":"Dimitrios","non-dropping-particle":"","parse-names":false,"suffix":""}],"container-title":"JAMA: The Journal of the American Medical Association","id":"ITEM-4","issue":"12","issued":{"date-parts":[["1997"]]},"page":"1012","title":"Changing Seasonality of Mortality From Coronary Heart Disease","type":"article-journal","volume":"278"},"uris":["http://www.mendeley.com/documents/?uuid=f8f1d39a-cba5-4b07-8183-8e346932439a"]}],"mendeley":{"formattedCitation":"(Feinstein, 2002; Rau et al., 2018; Rosenwaike, 1966; Seretakis, 1997)","plainTextFormattedCitation":"(Feinstein, 2002; Rau et al., 2018; Rosenwaike, 1966; Seretakis, 1997)","previouslyFormattedCitation":"(Feinstein, 2002; Rau et al., 2018; Rosenwaike, 1966; Seretakis, 1997)"},"properties":{"noteIndex":0},"schema":"https://github.com/citation-style-language/schema/raw/master/csl-citation.json"}</w:instrText>
      </w:r>
      <w:r w:rsidRPr="00097CA5">
        <w:rPr>
          <w:sz w:val="24"/>
          <w:szCs w:val="24"/>
        </w:rPr>
        <w:fldChar w:fldCharType="separate"/>
      </w:r>
      <w:r w:rsidRPr="00097CA5">
        <w:rPr>
          <w:noProof/>
          <w:sz w:val="24"/>
          <w:szCs w:val="24"/>
        </w:rPr>
        <w:t xml:space="preserve">(Feinstein, 2002; </w:t>
      </w:r>
      <w:r w:rsidRPr="00097CA5">
        <w:rPr>
          <w:noProof/>
          <w:sz w:val="24"/>
          <w:szCs w:val="24"/>
        </w:rPr>
        <w:lastRenderedPageBreak/>
        <w:t>Rau et al., 2018; Rosenwaike, 1966; Seretakis, 1997)</w:t>
      </w:r>
      <w:r w:rsidRPr="00097CA5">
        <w:rPr>
          <w:sz w:val="24"/>
          <w:szCs w:val="24"/>
        </w:rPr>
        <w:fldChar w:fldCharType="end"/>
      </w:r>
      <w:r w:rsidRPr="00097CA5">
        <w:rPr>
          <w:sz w:val="24"/>
          <w:szCs w:val="24"/>
        </w:rPr>
        <w:t xml:space="preserve">, which had limited analysis on how seasonality changes over time and geography </w:t>
      </w:r>
      <w:r w:rsidRPr="00097CA5">
        <w:rPr>
          <w:sz w:val="24"/>
          <w:szCs w:val="24"/>
        </w:rPr>
        <w:fldChar w:fldCharType="begin" w:fldLock="1"/>
      </w:r>
      <w:r w:rsidRPr="00097CA5">
        <w:rPr>
          <w:sz w:val="24"/>
          <w:szCs w:val="24"/>
        </w:rPr>
        <w:instrText>ADDIN CSL_CITATION {"citationItems":[{"id":"ITEM-1","itemData":{"DOI":"10.4054/DemRes.2002.6.17","ISSN":"14359871","author":[{"dropping-particle":"","family":"Feinstein","given":"Craig A.","non-dropping-particle":"","parse-names":false,"suffix":""}],"container-title":"Demographic Research","id":"ITEM-1","issued":{"date-parts":[["2002"]]},"page":"469-486","title":"Seasonality of deaths in the U.S. by age and cause","type":"article-journal","volume":"6"},"uris":["http://www.mendeley.com/documents/?uuid=e0a30cb0-f37e-4639-b84c-def2337e8c99"]},{"id":"ITEM-2","itemData":{"DOI":"10.1080/01621459.1966.10480899","ISSN":"1537274X","abstract":"Abstract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Association","id":"ITEM-2","issue":"315","issued":{"date-parts":[["1966"]]},"page":"706-719","title":"Seasonal Variation of Deaths in the United States, 1951–1960","type":"article-journal","volume":"61"},"uris":["http://www.mendeley.com/documents/?uuid=ada7c7c6-41f2-42e4-8d0b-e2068c79bab5"]},{"id":"ITEM-3","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W","non-dropping-particle":"","parse-names":false,"suffix":""}],"id":"ITEM-3","issued":{"date-parts":[["2018"]]},"title":"Visualizing Mortality Dynamics in the Lexis Diagram","type":"book"},"uris":["http://www.mendeley.com/documents/?uuid=e0c81d53-6ad6-40c1-935d-e122c89bb8f6"]}],"mendeley":{"formattedCitation":"(Feinstein, 2002; Rau et al., 2018; Rosenwaike, 1966)","plainTextFormattedCitation":"(Feinstein, 2002; Rau et al., 2018; Rosenwaike, 1966)","previouslyFormattedCitation":"(Feinstein, 2002; Rau et al., 2018; Rosenwaike, 1966)"},"properties":{"noteIndex":0},"schema":"https://github.com/citation-style-language/schema/raw/master/csl-citation.json"}</w:instrText>
      </w:r>
      <w:r w:rsidRPr="00097CA5">
        <w:rPr>
          <w:sz w:val="24"/>
          <w:szCs w:val="24"/>
        </w:rPr>
        <w:fldChar w:fldCharType="separate"/>
      </w:r>
      <w:r w:rsidRPr="00097CA5">
        <w:rPr>
          <w:noProof/>
          <w:sz w:val="24"/>
          <w:szCs w:val="24"/>
        </w:rPr>
        <w:t>(Feinstein, 2002; Rau et al., 2018; Rosenwaike, 1966)</w:t>
      </w:r>
      <w:r w:rsidRPr="00097CA5">
        <w:rPr>
          <w:sz w:val="24"/>
          <w:szCs w:val="24"/>
        </w:rPr>
        <w:fldChar w:fldCharType="end"/>
      </w:r>
      <w:r w:rsidRPr="00097CA5">
        <w:rPr>
          <w:sz w:val="24"/>
          <w:szCs w:val="24"/>
        </w:rPr>
        <w:t xml:space="preserve">. Similarly, our results on seasonality of injury deaths are supported by a few prior studies </w:t>
      </w:r>
      <w:r w:rsidRPr="00097CA5">
        <w:rPr>
          <w:sz w:val="24"/>
          <w:szCs w:val="24"/>
        </w:rPr>
        <w:fldChar w:fldCharType="begin" w:fldLock="1"/>
      </w:r>
      <w:r w:rsidRPr="00097CA5">
        <w:rPr>
          <w:sz w:val="24"/>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Association","id":"ITEM-3","issue":"315","issued":{"date-parts":[["1966"]]},"page":"706-719","title":"Seasonal Variation of Deaths in the United States, 1951–1960","type":"article-journal","volume":"61"},"uris":["http://www.mendeley.com/documents/?uuid=ada7c7c6-41f2-42e4-8d0b-e2068c79bab5"]}],"mendeley":{"formattedCitation":"(Feinstein, 2002; Rau et al., 2018; Rosenwaike, 1966)","plainTextFormattedCitation":"(Feinstein, 2002; Rau et al., 2018; Rosenwaike, 1966)","previouslyFormattedCitation":"(Feinstein, 2002; Rau et al., 2018; Rosenwaike, 1966)"},"properties":{"noteIndex":0},"schema":"https://github.com/citation-style-language/schema/raw/master/csl-citation.json"}</w:instrText>
      </w:r>
      <w:r w:rsidRPr="00097CA5">
        <w:rPr>
          <w:sz w:val="24"/>
          <w:szCs w:val="24"/>
        </w:rPr>
        <w:fldChar w:fldCharType="separate"/>
      </w:r>
      <w:r w:rsidRPr="00097CA5">
        <w:rPr>
          <w:noProof/>
          <w:sz w:val="24"/>
          <w:szCs w:val="24"/>
        </w:rPr>
        <w:t>(Feinstein, 2002; Rau et al., 2018; Rosenwaike, 1966)</w:t>
      </w:r>
      <w:r w:rsidRPr="00097CA5">
        <w:rPr>
          <w:sz w:val="24"/>
          <w:szCs w:val="24"/>
        </w:rPr>
        <w:fldChar w:fldCharType="end"/>
      </w:r>
      <w:r w:rsidRPr="00097CA5">
        <w:rPr>
          <w:sz w:val="24"/>
          <w:szCs w:val="24"/>
        </w:rPr>
        <w:t>, but our subnational analysis over three decades revealed variations in when injury deaths peaked and in how seasonal differences in these deaths have changed over time in relation to age group which had not been reported before.</w:t>
      </w:r>
    </w:p>
    <w:p w14:paraId="48673EDB" w14:textId="193405D7" w:rsidR="006675AE" w:rsidRPr="00097CA5" w:rsidRDefault="006675AE" w:rsidP="00130B5C">
      <w:pPr>
        <w:spacing w:line="480" w:lineRule="auto"/>
        <w:ind w:firstLine="720"/>
        <w:jc w:val="both"/>
        <w:rPr>
          <w:rFonts w:eastAsia="Times New Roman"/>
          <w:sz w:val="24"/>
          <w:szCs w:val="24"/>
        </w:rPr>
      </w:pPr>
      <w:r w:rsidRPr="00097CA5">
        <w:rPr>
          <w:sz w:val="24"/>
          <w:szCs w:val="24"/>
        </w:rPr>
        <w:t xml:space="preserve">A study of 36 cities in the </w:t>
      </w:r>
      <w:r w:rsidR="00084038">
        <w:rPr>
          <w:sz w:val="24"/>
          <w:szCs w:val="24"/>
        </w:rPr>
        <w:t>United States</w:t>
      </w:r>
      <w:r w:rsidRPr="00097CA5">
        <w:rPr>
          <w:sz w:val="24"/>
          <w:szCs w:val="24"/>
        </w:rPr>
        <w:t xml:space="preserve">, aggregated across age groups and over time, also found that </w:t>
      </w:r>
      <w:r w:rsidRPr="00097CA5">
        <w:rPr>
          <w:rFonts w:eastAsia="Times New Roman"/>
          <w:sz w:val="24"/>
          <w:szCs w:val="24"/>
        </w:rPr>
        <w:t>excess mortality was not associated with seasonal temperature range</w:t>
      </w:r>
      <w:r w:rsidRPr="00097CA5">
        <w:rPr>
          <w:sz w:val="24"/>
          <w:szCs w:val="24"/>
        </w:rPr>
        <w:t xml:space="preserve"> </w:t>
      </w:r>
      <w:r w:rsidRPr="00097CA5">
        <w:rPr>
          <w:sz w:val="24"/>
          <w:szCs w:val="24"/>
        </w:rPr>
        <w:fldChar w:fldCharType="begin" w:fldLock="1"/>
      </w:r>
      <w:r w:rsidRPr="00097CA5">
        <w:rPr>
          <w:sz w:val="24"/>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Pr="00097CA5">
        <w:rPr>
          <w:sz w:val="24"/>
          <w:szCs w:val="24"/>
        </w:rPr>
        <w:fldChar w:fldCharType="separate"/>
      </w:r>
      <w:r w:rsidRPr="00097CA5">
        <w:rPr>
          <w:noProof/>
          <w:sz w:val="24"/>
          <w:szCs w:val="24"/>
        </w:rPr>
        <w:t>(Kinney et al., 2015)</w:t>
      </w:r>
      <w:r w:rsidRPr="00097CA5">
        <w:rPr>
          <w:sz w:val="24"/>
          <w:szCs w:val="24"/>
        </w:rPr>
        <w:fldChar w:fldCharType="end"/>
      </w:r>
      <w:r w:rsidRPr="00097CA5">
        <w:rPr>
          <w:sz w:val="24"/>
          <w:szCs w:val="24"/>
        </w:rPr>
        <w:t xml:space="preserve">. In contrast, a European study found that the difference between winter and summer mortality was lower in the colder Nordic countries than in warmer southern European nations </w:t>
      </w:r>
      <w:r w:rsidRPr="00097CA5">
        <w:rPr>
          <w:sz w:val="24"/>
          <w:szCs w:val="24"/>
        </w:rPr>
        <w:fldChar w:fldCharType="begin" w:fldLock="1"/>
      </w:r>
      <w:r w:rsidRPr="00097CA5">
        <w:rPr>
          <w:sz w:val="24"/>
          <w:szCs w:val="24"/>
        </w:rPr>
        <w:instrText>ADDIN CSL_CITATION {"citationItems":[{"id":"ITEM-1","itemData":{"DOI":"10.1007/BF00156826","ISSN":"03922990","abstract":"There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Epidemiology","id":"ITEM-1","issue":"2","issued":{"date-parts":[["1989"]]},"page":"178-182","title":"Deaths in winter: Can Britain learn from Europe?","type":"article-journal","volume":"5"},"uris":["http://www.mendeley.com/documents/?uuid=3cd840a5-addb-4d68-9dcf-039d2f2f1220"]},{"id":"ITEM-2","itemData":{"DOI":"10.1136/jech.57.10.784","ISBN":"0143-005X","ISSN":"0143005X","PMID":"14573581","abstract":"OBJECTIVE: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factors","type":"article-journal","volume":"57"},"uris":["http://www.mendeley.com/documents/?uuid=f7ab7783-971a-4e21-9158-84e008745163"]}],"mendeley":{"formattedCitation":"(Healy, 2003; McKee, 1989)","plainTextFormattedCitation":"(Healy, 2003; McKee, 1989)","previouslyFormattedCitation":"(Healy, 2003; McKee, 1989)"},"properties":{"noteIndex":0},"schema":"https://github.com/citation-style-language/schema/raw/master/csl-citation.json"}</w:instrText>
      </w:r>
      <w:r w:rsidRPr="00097CA5">
        <w:rPr>
          <w:sz w:val="24"/>
          <w:szCs w:val="24"/>
        </w:rPr>
        <w:fldChar w:fldCharType="separate"/>
      </w:r>
      <w:r w:rsidRPr="00097CA5">
        <w:rPr>
          <w:noProof/>
          <w:sz w:val="24"/>
          <w:szCs w:val="24"/>
        </w:rPr>
        <w:t>(Healy, 2003; McKee, 1989)</w:t>
      </w:r>
      <w:r w:rsidRPr="00097CA5">
        <w:rPr>
          <w:sz w:val="24"/>
          <w:szCs w:val="24"/>
        </w:rPr>
        <w:fldChar w:fldCharType="end"/>
      </w:r>
      <w:r w:rsidR="002A4346">
        <w:rPr>
          <w:sz w:val="24"/>
          <w:szCs w:val="24"/>
        </w:rPr>
        <w:t xml:space="preserve"> </w:t>
      </w:r>
      <w:r w:rsidRPr="00097CA5">
        <w:rPr>
          <w:sz w:val="24"/>
          <w:szCs w:val="24"/>
        </w:rPr>
        <w:t xml:space="preserve">(the study’s measure of temperature was mean annual temperature which differed from the temperature difference between maximum and minimum mortality used in our analysis although the two measures are correlated). The absence of variation in the magnitude of mortality seasonality indicates that different regions in the </w:t>
      </w:r>
      <w:r w:rsidR="00084038">
        <w:rPr>
          <w:sz w:val="24"/>
          <w:szCs w:val="24"/>
        </w:rPr>
        <w:t>United States</w:t>
      </w:r>
      <w:r w:rsidRPr="00097CA5">
        <w:rPr>
          <w:sz w:val="24"/>
          <w:szCs w:val="24"/>
        </w:rPr>
        <w:t xml:space="preserve"> are similarly adapted to temperature seasonality, whereas Nordic countries may have better environmental (e.g., housing insulation and heating) and health system measures to counter the effects of cold winters than those in southern Europe. </w:t>
      </w:r>
    </w:p>
    <w:p w14:paraId="3BE33E49" w14:textId="10199B98" w:rsidR="006675AE" w:rsidRPr="00097CA5" w:rsidRDefault="006675AE" w:rsidP="007D3BCB">
      <w:pPr>
        <w:spacing w:line="480" w:lineRule="auto"/>
        <w:ind w:firstLine="720"/>
        <w:jc w:val="both"/>
        <w:rPr>
          <w:sz w:val="24"/>
          <w:szCs w:val="24"/>
        </w:rPr>
      </w:pPr>
      <w:r w:rsidRPr="00097CA5">
        <w:rPr>
          <w:sz w:val="24"/>
          <w:szCs w:val="24"/>
        </w:rPr>
        <w:t xml:space="preserve">The cause-specific analysis showed that the substantial decline in seasonal mortality differences in adolescents and young adults was related to the diminishing seasonality of (unintentional) injuries, especially from road traffic crashes, which are more likely to occur in the summer months </w:t>
      </w:r>
      <w:r w:rsidRPr="00097CA5">
        <w:rPr>
          <w:sz w:val="24"/>
          <w:szCs w:val="24"/>
        </w:rPr>
        <w:fldChar w:fldCharType="begin" w:fldLock="1"/>
      </w:r>
      <w:r w:rsidRPr="00097CA5">
        <w:rPr>
          <w:sz w:val="24"/>
          <w:szCs w:val="24"/>
        </w:rPr>
        <w:instrText>ADDIN CSL_CITATION {"citationItems":[{"id":"ITEM-1","itemData":{"author":[{"dropping-particle":"","family":"National Highway Traffic Safety Administration","given":"","non-dropping-particle":"","parse-names":false,"suffix":""}],"container-title":"National Center for Statistics and Analysis (NCHS)","id":"ITEM-1","issue":"March","issued":{"date-parts":[["2005"]]},"title":"Trend and Pattern Analysis of Highway Crash Fatality By Month and Day","type":"article-journal"},"uris":["http://www.mendeley.com/documents/?uuid=e660a00d-5039-4361-97dc-e5563df2412f"]}],"mendeley":{"formattedCitation":"(National Highway Traffic Safety Administration, 2005)","plainTextFormattedCitation":"(National Highway Traffic Safety Administration, 2005)","previouslyFormattedCitation":"(National Highway Traffic Safety Administration, 2005)"},"properties":{"noteIndex":0},"schema":"https://github.com/citation-style-language/schema/raw/master/csl-citation.json"}</w:instrText>
      </w:r>
      <w:r w:rsidRPr="00097CA5">
        <w:rPr>
          <w:sz w:val="24"/>
          <w:szCs w:val="24"/>
        </w:rPr>
        <w:fldChar w:fldCharType="separate"/>
      </w:r>
      <w:r w:rsidRPr="00097CA5">
        <w:rPr>
          <w:noProof/>
          <w:sz w:val="24"/>
          <w:szCs w:val="24"/>
        </w:rPr>
        <w:t>(National Highway Traffic Safety Administration, 2005)</w:t>
      </w:r>
      <w:r w:rsidRPr="00097CA5">
        <w:rPr>
          <w:sz w:val="24"/>
          <w:szCs w:val="24"/>
        </w:rPr>
        <w:fldChar w:fldCharType="end"/>
      </w:r>
      <w:r w:rsidRPr="00097CA5">
        <w:rPr>
          <w:sz w:val="24"/>
          <w:szCs w:val="24"/>
        </w:rPr>
        <w:t xml:space="preserve"> and are more common in men. The weakening of seasonality in boys under five years of age was related to </w:t>
      </w:r>
      <w:r w:rsidRPr="00097CA5">
        <w:rPr>
          <w:sz w:val="24"/>
          <w:szCs w:val="24"/>
        </w:rPr>
        <w:lastRenderedPageBreak/>
        <w:t>two phenomena: first, the seasonality of death from cardiorespiratory diseases declined, and second, the proportion of deaths from perinatal conditions, which exhibit limited seasonality</w:t>
      </w:r>
      <w:r w:rsidRPr="007D3BCB">
        <w:rPr>
          <w:sz w:val="24"/>
          <w:szCs w:val="24"/>
        </w:rPr>
        <w:t>,</w:t>
      </w:r>
      <w:r w:rsidRPr="00097CA5">
        <w:rPr>
          <w:sz w:val="24"/>
          <w:szCs w:val="24"/>
        </w:rPr>
        <w:t xml:space="preserve"> increased </w:t>
      </w:r>
      <w:r w:rsidRPr="00097CA5">
        <w:rPr>
          <w:sz w:val="24"/>
          <w:szCs w:val="24"/>
        </w:rPr>
        <w:fldChar w:fldCharType="begin" w:fldLock="1"/>
      </w:r>
      <w:r w:rsidRPr="00097CA5">
        <w:rPr>
          <w:sz w:val="24"/>
          <w:szCs w:val="24"/>
        </w:rPr>
        <w:instrText>ADDIN CSL_CITATION {"citationItems":[{"id":"ITEM-1","itemData":{"ISBN":"53(10)","abstract":"Objective—This report presents final 2009 data on U.S. deaths, death rates, life expectancy, infant mortality, and trends by selected characteristics such as age, sex, Hispanic origin, race, state of residence, and cause of death. Methods—Information reported on death certificates, which is completed by funeral directors, attending physicians, medical exam- iners, and coroners, is presented in descriptive tabulations. The original records are filed in state registration offices. Statistical infor- mation is compiled in a national database through the Vital Statistics Cooperative Program of the Centers for Disease Control and Pre- vention’s National Center for Health Statistics. Causes of death are processed in accordance with the International Classification of Dis- eases, Tenth Revision. Results—In 2009, a total of 2,437,163 deaths were reported in the United States. The age-adjusted death rate was 741.1 deaths per 100,000 standard population, a decrease of 2.3% from the 2008 rate and a record low figure. Life expectancy at birth rose 0.4 years, from 78.1 years in 2008 to a record-high 78.5 years in 2009. Age-specific death rates decreased for age groups: under 1 year, 1–4, 15–24, 55–64, 65–74, and 75–84. The age-specific death rates remained unchanged for age groups 5–14, 25–34, 35–44, 45–54, and 85 years and over. The 15 leading causes of death in 2009 remained the same as in 2008. The infant mortality rate decreased 3.3% to a historically low value of 6.39 deaths per 1,000 live births in 2009. Conclusion—The decline of the age-adjusted death rate to a record low value for the United States and the increase in life expec- tancy to a record high value of 78.5 years are consistent with long-term trends in mortality.","author":[{"dropping-particle":"","family":"MacDorman","given":"Marian F","non-dropping-particle":"","parse-names":false,"suffix":""},{"dropping-particle":"","family":"Gregory","given":"Elizabeth","non-dropping-particle":"","parse-names":false,"suffix":""}],"container-title":"National Vital Statistics Reports","id":"ITEM-1","issue":"8","issued":{"date-parts":[["2015"]]},"page":"1-24","title":"Fetal and Perinatal Mortality: United States, 2013","type":"article-journal","volume":"64"},"uris":["http://www.mendeley.com/documents/?uuid=770202a4-b99b-4c26-bb9d-5d8ca886f4bd"]}],"mendeley":{"formattedCitation":"(MacDorman &amp; Gregory, 2015)","plainTextFormattedCitation":"(MacDorman &amp; Gregory, 2015)","previouslyFormattedCitation":"(MacDorman &amp; Gregory, 2015)"},"properties":{"noteIndex":0},"schema":"https://github.com/citation-style-language/schema/raw/master/csl-citation.json"}</w:instrText>
      </w:r>
      <w:r w:rsidRPr="00097CA5">
        <w:rPr>
          <w:sz w:val="24"/>
          <w:szCs w:val="24"/>
        </w:rPr>
        <w:fldChar w:fldCharType="separate"/>
      </w:r>
      <w:r w:rsidRPr="00097CA5">
        <w:rPr>
          <w:noProof/>
          <w:sz w:val="24"/>
          <w:szCs w:val="24"/>
        </w:rPr>
        <w:t>(MacDorman &amp; Gregory, 2015)</w:t>
      </w:r>
      <w:r w:rsidRPr="00097CA5">
        <w:rPr>
          <w:sz w:val="24"/>
          <w:szCs w:val="24"/>
        </w:rPr>
        <w:fldChar w:fldCharType="end"/>
      </w:r>
      <w:r w:rsidRPr="00097CA5">
        <w:rPr>
          <w:sz w:val="24"/>
          <w:szCs w:val="24"/>
        </w:rPr>
        <w:t>.</w:t>
      </w:r>
    </w:p>
    <w:p w14:paraId="17D9517C" w14:textId="77777777" w:rsidR="006675AE" w:rsidRPr="00097CA5" w:rsidRDefault="006675AE" w:rsidP="00130B5C">
      <w:pPr>
        <w:spacing w:line="480" w:lineRule="auto"/>
        <w:ind w:firstLine="720"/>
        <w:jc w:val="both"/>
        <w:rPr>
          <w:sz w:val="24"/>
          <w:szCs w:val="24"/>
        </w:rPr>
      </w:pPr>
      <w:r w:rsidRPr="00097CA5">
        <w:rPr>
          <w:sz w:val="24"/>
          <w:szCs w:val="24"/>
        </w:rPr>
        <w:t>In contrast to young and middle ages, mortality in older ages, where death rates are highest, maintained persistent seasonality over a period of three decades (</w:t>
      </w:r>
      <w:r w:rsidR="002A45D1">
        <w:rPr>
          <w:sz w:val="24"/>
          <w:szCs w:val="24"/>
        </w:rPr>
        <w:t>I</w:t>
      </w:r>
      <w:r w:rsidRPr="00097CA5">
        <w:rPr>
          <w:sz w:val="24"/>
          <w:szCs w:val="24"/>
        </w:rPr>
        <w:t xml:space="preserve"> note that although the percent seasonal difference in mortality has remained largely unchanged in these ages, the absolute difference in death rates between the peak and minimum months has declined because total mortality has a declining long-term trend). This finding demonstrates the need for environmental and health service interventions targeted towards this group irrespective of geography and local climate. Examples of such interventions include enhancing the availability of both environmental and medical protective factors, such as better insulation of homes, winter heating provision and flu vaccinations, for the vulnerable older population </w:t>
      </w:r>
      <w:r w:rsidRPr="00097CA5">
        <w:rPr>
          <w:sz w:val="24"/>
          <w:szCs w:val="24"/>
        </w:rPr>
        <w:fldChar w:fldCharType="begin" w:fldLock="1"/>
      </w:r>
      <w:r w:rsidRPr="00097CA5">
        <w:rPr>
          <w:sz w:val="24"/>
          <w:szCs w:val="24"/>
        </w:rPr>
        <w:instrText>ADDIN CSL_CITATION {"citationItems":[{"id":"ITEM-1","itemData":{"author":[{"dropping-particle":"","family":"Public Health England","given":"","non-dropping-particle":"","parse-names":false,"suffix":""}],"container-title":"Public Health England","id":"ITEM-1","issue":"October","issued":{"date-parts":[["2017"]]},"title":"The Cold Weather Plan for England","type":"article-journal"},"uris":["http://www.mendeley.com/documents/?uuid=2962c795-bb5a-4e69-824c-54260bfff8d5"]}],"mendeley":{"formattedCitation":"(Public Health England, 2017)","plainTextFormattedCitation":"(Public Health England, 2017)","previouslyFormattedCitation":"(Public Health England, 2017)"},"properties":{"noteIndex":0},"schema":"https://github.com/citation-style-language/schema/raw/master/csl-citation.json"}</w:instrText>
      </w:r>
      <w:r w:rsidRPr="00097CA5">
        <w:rPr>
          <w:sz w:val="24"/>
          <w:szCs w:val="24"/>
        </w:rPr>
        <w:fldChar w:fldCharType="separate"/>
      </w:r>
      <w:r w:rsidRPr="00097CA5">
        <w:rPr>
          <w:noProof/>
          <w:sz w:val="24"/>
          <w:szCs w:val="24"/>
        </w:rPr>
        <w:t>(Public Health England, 2017)</w:t>
      </w:r>
      <w:r w:rsidRPr="00097CA5">
        <w:rPr>
          <w:sz w:val="24"/>
          <w:szCs w:val="24"/>
        </w:rPr>
        <w:fldChar w:fldCharType="end"/>
      </w:r>
      <w:r w:rsidRPr="00097CA5">
        <w:rPr>
          <w:sz w:val="24"/>
          <w:szCs w:val="24"/>
        </w:rPr>
        <w:t xml:space="preserve">. Social interventions, including regular visits to the isolated elderly during peak mortality periods to ensure that they are optimally prepared for adverse conditions, and responsive and high-quality emergency care, are also important to protect this vulnerable group </w:t>
      </w:r>
      <w:r w:rsidRPr="00097CA5">
        <w:rPr>
          <w:sz w:val="24"/>
          <w:szCs w:val="24"/>
        </w:rPr>
        <w:fldChar w:fldCharType="begin" w:fldLock="1"/>
      </w:r>
      <w:r w:rsidRPr="00097CA5">
        <w:rPr>
          <w:sz w:val="24"/>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factors","type":"article-journal","volume":"57"},"uris":["http://www.mendeley.com/documents/?uuid=f7ab7783-971a-4e21-9158-84e008745163"]},{"id":"ITEM-2","itemData":{"author":[{"dropping-particle":"","family":"Public Health England","given":"","non-dropping-particle":"","parse-names":false,"suffix":""}],"container-title":"Public Health England","id":"ITEM-2","issue":"October","issued":{"date-parts":[["2017"]]},"title":"The Cold Weather Plan for England","type":"article-journal"},"uris":["http://www.mendeley.com/documents/?uuid=2962c795-bb5a-4e69-824c-54260bfff8d5"]},{"id":"ITEM-3","itemData":{"DOI":"10.1007/s004840050089","ISBN":"0020-7128","ISSN":"0020-7128","PMID":"9923200","abstract":"Based on records from the Federal Bureau for Statistics of Germany, the seasonality of mortality was investigated for the period 1946-1995. Lowest mortality rates were found during summer (August or September) while highest values were found in winter (January through March). Non-linear regression of all monthly mortality data with the average monthly temperatures in Germany revealed a significant negative relationship (r = -0.739; n = 600; P &lt; 0.0001). The fact that the differences between the long-range monthly temperatures and the individual monthly temperatures also showed a distinct relationship to the mortality rates speaks against a mere coincidence of both parameters. The amplitude of this seasonal rhythm declined steadily within the observation period. It is concluded that low temperatures cause an increase in mortality rates and that this effect has become less important during recent decades due to the increased use of central heating and because of improvements in the public health system.","author":[{"dropping-particle":"","family":"Lerchl","given":"A","non-dropping-particle":"","parse-names":false,"suffix":""}],"container-title":"International journal of biometeorology","id":"ITEM-3","issue":"2","issued":{"date-parts":[["1998"]]},"page":"84-88","title":"Changes in the seasonality of mortality in Germany from 1946 to 1995: the role of temperature.","type":"article-journal","volume":"42"},"uris":["http://www.mendeley.com/documents/?uuid=32c1e232-4697-4015-8c20-6ff5c2cf6f75"]}],"mendeley":{"formattedCitation":"(Healy, 2003; Lerchl, 1998; Public Health England, 2017)","plainTextFormattedCitation":"(Healy, 2003; Lerchl, 1998; Public Health England, 2017)","previouslyFormattedCitation":"(Healy, 2003; Lerchl, 1998; Public Health England, 2017)"},"properties":{"noteIndex":0},"schema":"https://github.com/citation-style-language/schema/raw/master/csl-citation.json"}</w:instrText>
      </w:r>
      <w:r w:rsidRPr="00097CA5">
        <w:rPr>
          <w:sz w:val="24"/>
          <w:szCs w:val="24"/>
        </w:rPr>
        <w:fldChar w:fldCharType="separate"/>
      </w:r>
      <w:r w:rsidRPr="00097CA5">
        <w:rPr>
          <w:noProof/>
          <w:sz w:val="24"/>
          <w:szCs w:val="24"/>
        </w:rPr>
        <w:t>(Healy, 2003; Lerchl, 1998; Public Health England, 2017)</w:t>
      </w:r>
      <w:r w:rsidRPr="00097CA5">
        <w:rPr>
          <w:sz w:val="24"/>
          <w:szCs w:val="24"/>
        </w:rPr>
        <w:fldChar w:fldCharType="end"/>
      </w:r>
      <w:r w:rsidRPr="00097CA5">
        <w:rPr>
          <w:sz w:val="24"/>
          <w:szCs w:val="24"/>
        </w:rPr>
        <w:t xml:space="preserve">. Emergent new technologies, such as always-connected hands-free communications devices with the outside world, in-house cameras, and personal sensors also provide an opportunity to enhance care for the older, more vulnerable groups in the population, especially in winter when the elderly have fewer social interactions </w:t>
      </w:r>
      <w:r w:rsidRPr="00097CA5">
        <w:rPr>
          <w:sz w:val="24"/>
          <w:szCs w:val="24"/>
        </w:rPr>
        <w:fldChar w:fldCharType="begin" w:fldLock="1"/>
      </w:r>
      <w:r w:rsidRPr="00097CA5">
        <w:rPr>
          <w:sz w:val="24"/>
          <w:szCs w:val="24"/>
        </w:rPr>
        <w:instrText>ADDIN CSL_CITATION {"citationItems":[{"id":"ITEM-1","itemData":{"DOI":"10.4172/2329-8847.1000101","ISSN":"23298847","abstract":"Smart-home technologies included different types of active and passive sensors, monitoring devices, robotics and environmental control systems. One study assessed effectiveness of a smart home technology. Sixteen reported on the feasibility of smart-home technology and four were observational studies.","author":[{"dropping-particle":"","family":"Morris","given":"Meg E.","non-dropping-particle":"","parse-names":false,"suffix":""}],"container-title":"Journal of Aging Science","id":"ITEM-1","issue":"01","issued":{"date-parts":[["2013"]]},"title":"Smart-Home Technologies to Assist Older People to Live Well at Home","type":"article-journal","volume":"01"},"uris":["http://www.mendeley.com/documents/?uuid=634c7734-68da-4c87-b21c-82593d0dafd6"]}],"mendeley":{"formattedCitation":"(Morris, 2013)","plainTextFormattedCitation":"(Morris, 2013)","previouslyFormattedCitation":"(Morris, 2013)"},"properties":{"noteIndex":0},"schema":"https://github.com/citation-style-language/schema/raw/master/csl-citation.json"}</w:instrText>
      </w:r>
      <w:r w:rsidRPr="00097CA5">
        <w:rPr>
          <w:sz w:val="24"/>
          <w:szCs w:val="24"/>
        </w:rPr>
        <w:fldChar w:fldCharType="separate"/>
      </w:r>
      <w:r w:rsidRPr="00097CA5">
        <w:rPr>
          <w:noProof/>
          <w:sz w:val="24"/>
          <w:szCs w:val="24"/>
        </w:rPr>
        <w:t>(Morris, 2013)</w:t>
      </w:r>
      <w:r w:rsidRPr="00097CA5">
        <w:rPr>
          <w:sz w:val="24"/>
          <w:szCs w:val="24"/>
        </w:rPr>
        <w:fldChar w:fldCharType="end"/>
      </w:r>
      <w:r w:rsidRPr="00097CA5">
        <w:rPr>
          <w:sz w:val="24"/>
          <w:szCs w:val="24"/>
        </w:rPr>
        <w:t xml:space="preserve">. Such interventions are important </w:t>
      </w:r>
      <w:proofErr w:type="gramStart"/>
      <w:r w:rsidRPr="00097CA5">
        <w:rPr>
          <w:sz w:val="24"/>
          <w:szCs w:val="24"/>
        </w:rPr>
        <w:t>today, and</w:t>
      </w:r>
      <w:proofErr w:type="gramEnd"/>
      <w:r w:rsidRPr="00097CA5">
        <w:rPr>
          <w:sz w:val="24"/>
          <w:szCs w:val="24"/>
        </w:rPr>
        <w:t xml:space="preserve"> will remain so as the population ages and climate change increases the within- and between-season weather </w:t>
      </w:r>
      <w:commentRangeStart w:id="59"/>
      <w:r w:rsidRPr="00097CA5">
        <w:rPr>
          <w:sz w:val="24"/>
          <w:szCs w:val="24"/>
        </w:rPr>
        <w:t>variability</w:t>
      </w:r>
      <w:commentRangeEnd w:id="59"/>
      <w:r w:rsidR="00610CBC">
        <w:rPr>
          <w:rStyle w:val="CommentReference"/>
          <w:rFonts w:asciiTheme="minorHAnsi" w:eastAsiaTheme="minorHAnsi" w:hAnsiTheme="minorHAnsi" w:cstheme="minorBidi"/>
        </w:rPr>
        <w:commentReference w:id="59"/>
      </w:r>
      <w:r w:rsidRPr="00097CA5">
        <w:rPr>
          <w:sz w:val="24"/>
          <w:szCs w:val="24"/>
        </w:rPr>
        <w:t>.</w:t>
      </w:r>
    </w:p>
    <w:p w14:paraId="0717C928" w14:textId="77777777" w:rsidR="006675AE" w:rsidRPr="00097CA5" w:rsidRDefault="006675AE" w:rsidP="00097CA5">
      <w:pPr>
        <w:jc w:val="both"/>
        <w:rPr>
          <w:sz w:val="24"/>
          <w:szCs w:val="24"/>
        </w:rPr>
      </w:pPr>
    </w:p>
    <w:p w14:paraId="368CC578" w14:textId="77777777" w:rsidR="006675AE" w:rsidRPr="00127064" w:rsidRDefault="006675AE" w:rsidP="006675AE">
      <w:pPr>
        <w:pStyle w:val="Heading2"/>
      </w:pPr>
      <w:r w:rsidRPr="00127064">
        <w:br w:type="page"/>
      </w:r>
      <w:bookmarkStart w:id="60" w:name="_Toc6045013"/>
      <w:bookmarkStart w:id="61" w:name="_Toc7299809"/>
      <w:r w:rsidRPr="00127064">
        <w:lastRenderedPageBreak/>
        <w:t>References</w:t>
      </w:r>
      <w:bookmarkEnd w:id="60"/>
      <w:bookmarkEnd w:id="61"/>
    </w:p>
    <w:p w14:paraId="3BCDC77E" w14:textId="5766ACD3" w:rsidR="00DB423F" w:rsidRPr="00DB423F" w:rsidRDefault="006675AE" w:rsidP="00DB423F">
      <w:pPr>
        <w:widowControl w:val="0"/>
        <w:autoSpaceDE w:val="0"/>
        <w:autoSpaceDN w:val="0"/>
        <w:adjustRightInd w:val="0"/>
        <w:spacing w:line="240" w:lineRule="auto"/>
        <w:ind w:left="480" w:hanging="480"/>
        <w:rPr>
          <w:rFonts w:cs="Calibri"/>
          <w:noProof/>
          <w:sz w:val="24"/>
          <w:lang w:val="en-US"/>
        </w:rPr>
      </w:pPr>
      <w:r w:rsidRPr="00736834">
        <w:rPr>
          <w:b/>
          <w:sz w:val="24"/>
          <w:szCs w:val="24"/>
        </w:rPr>
        <w:fldChar w:fldCharType="begin" w:fldLock="1"/>
      </w:r>
      <w:r w:rsidRPr="00736834">
        <w:rPr>
          <w:b/>
          <w:sz w:val="24"/>
          <w:szCs w:val="24"/>
        </w:rPr>
        <w:instrText xml:space="preserve">ADDIN Mendeley Bibliography CSL_BIBLIOGRAPHY </w:instrText>
      </w:r>
      <w:r w:rsidRPr="00736834">
        <w:rPr>
          <w:b/>
          <w:sz w:val="24"/>
          <w:szCs w:val="24"/>
        </w:rPr>
        <w:fldChar w:fldCharType="separate"/>
      </w:r>
      <w:r w:rsidR="00DB423F" w:rsidRPr="00DB423F">
        <w:rPr>
          <w:rFonts w:cs="Calibri"/>
          <w:noProof/>
          <w:sz w:val="24"/>
          <w:lang w:val="en-US"/>
        </w:rPr>
        <w:t xml:space="preserve">Basu, R. (2009). High ambient temperature and mortality: A review of epidemiologic studies from 2001 to 2008. </w:t>
      </w:r>
      <w:r w:rsidR="00DB423F" w:rsidRPr="00DB423F">
        <w:rPr>
          <w:rFonts w:cs="Calibri"/>
          <w:i/>
          <w:iCs/>
          <w:noProof/>
          <w:sz w:val="24"/>
          <w:lang w:val="en-US"/>
        </w:rPr>
        <w:t>Environmental Health: A Global Access Science Source</w:t>
      </w:r>
      <w:r w:rsidR="00DB423F" w:rsidRPr="00DB423F">
        <w:rPr>
          <w:rFonts w:cs="Calibri"/>
          <w:noProof/>
          <w:sz w:val="24"/>
          <w:lang w:val="en-US"/>
        </w:rPr>
        <w:t xml:space="preserve">, </w:t>
      </w:r>
      <w:r w:rsidR="00DB423F" w:rsidRPr="00DB423F">
        <w:rPr>
          <w:rFonts w:cs="Calibri"/>
          <w:i/>
          <w:iCs/>
          <w:noProof/>
          <w:sz w:val="24"/>
          <w:lang w:val="en-US"/>
        </w:rPr>
        <w:t>8</w:t>
      </w:r>
      <w:r w:rsidR="00DB423F" w:rsidRPr="00DB423F">
        <w:rPr>
          <w:rFonts w:cs="Calibri"/>
          <w:noProof/>
          <w:sz w:val="24"/>
          <w:lang w:val="en-US"/>
        </w:rPr>
        <w:t>(1), 40. https://doi.org/10.1186/1476-069X-8-40</w:t>
      </w:r>
    </w:p>
    <w:p w14:paraId="606B0629"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Basu, R., &amp; Samet, J. M. (2002). Relation between elevated ambient temperature and mortality: A review of the epidemiologic evidence. </w:t>
      </w:r>
      <w:r w:rsidRPr="00DB423F">
        <w:rPr>
          <w:rFonts w:cs="Calibri"/>
          <w:i/>
          <w:iCs/>
          <w:noProof/>
          <w:sz w:val="24"/>
          <w:lang w:val="en-US"/>
        </w:rPr>
        <w:t>Epidemiologic Reviews</w:t>
      </w:r>
      <w:r w:rsidRPr="00DB423F">
        <w:rPr>
          <w:rFonts w:cs="Calibri"/>
          <w:noProof/>
          <w:sz w:val="24"/>
          <w:lang w:val="en-US"/>
        </w:rPr>
        <w:t>. https://doi.org/10.1093/epirev/mxf007</w:t>
      </w:r>
    </w:p>
    <w:p w14:paraId="04D8477D"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Bennett, J. E., Blangiardo, M., Fecht, D., Elliott, P., &amp; Ezzati, M. (2014). Vulnerability to the mortality effects of warm temperature in the districts of England and Wales. </w:t>
      </w:r>
      <w:r w:rsidRPr="00DB423F">
        <w:rPr>
          <w:rFonts w:cs="Calibri"/>
          <w:i/>
          <w:iCs/>
          <w:noProof/>
          <w:sz w:val="24"/>
          <w:lang w:val="en-US"/>
        </w:rPr>
        <w:t>Nature Climate Change</w:t>
      </w:r>
      <w:r w:rsidRPr="00DB423F">
        <w:rPr>
          <w:rFonts w:cs="Calibri"/>
          <w:noProof/>
          <w:sz w:val="24"/>
          <w:lang w:val="en-US"/>
        </w:rPr>
        <w:t xml:space="preserve">, </w:t>
      </w:r>
      <w:r w:rsidRPr="00DB423F">
        <w:rPr>
          <w:rFonts w:cs="Calibri"/>
          <w:i/>
          <w:iCs/>
          <w:noProof/>
          <w:sz w:val="24"/>
          <w:lang w:val="en-US"/>
        </w:rPr>
        <w:t>4</w:t>
      </w:r>
      <w:r w:rsidRPr="00DB423F">
        <w:rPr>
          <w:rFonts w:cs="Calibri"/>
          <w:noProof/>
          <w:sz w:val="24"/>
          <w:lang w:val="en-US"/>
        </w:rPr>
        <w:t>(4), 269–273. https://doi.org/10.1038/nclimate2123</w:t>
      </w:r>
    </w:p>
    <w:p w14:paraId="783B2BCC"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Bobb, J. F., Peng, R. D., Bell, M. L., &amp; Dominici, F. (2014). Heat-related mortality and adaptation to heat in the United States. </w:t>
      </w:r>
      <w:r w:rsidRPr="00DB423F">
        <w:rPr>
          <w:rFonts w:cs="Calibri"/>
          <w:i/>
          <w:iCs/>
          <w:noProof/>
          <w:sz w:val="24"/>
          <w:lang w:val="en-US"/>
        </w:rPr>
        <w:t>Environmental Health Perspectives</w:t>
      </w:r>
      <w:r w:rsidRPr="00DB423F">
        <w:rPr>
          <w:rFonts w:cs="Calibri"/>
          <w:noProof/>
          <w:sz w:val="24"/>
          <w:lang w:val="en-US"/>
        </w:rPr>
        <w:t xml:space="preserve">, </w:t>
      </w:r>
      <w:r w:rsidRPr="00DB423F">
        <w:rPr>
          <w:rFonts w:cs="Calibri"/>
          <w:i/>
          <w:iCs/>
          <w:noProof/>
          <w:sz w:val="24"/>
          <w:lang w:val="en-US"/>
        </w:rPr>
        <w:t>122</w:t>
      </w:r>
      <w:r w:rsidRPr="00DB423F">
        <w:rPr>
          <w:rFonts w:cs="Calibri"/>
          <w:noProof/>
          <w:sz w:val="24"/>
          <w:lang w:val="en-US"/>
        </w:rPr>
        <w:t>(8), 811–816. https://doi.org/10.1289/ehp.1307392</w:t>
      </w:r>
    </w:p>
    <w:p w14:paraId="110C2374"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Braga, A. L. F., Zanobetti, A., &amp; Schwartz, J. (2002). The effect of weather on respiratory and cardiovascular deaths in 12 U.S. cities. </w:t>
      </w:r>
      <w:r w:rsidRPr="00DB423F">
        <w:rPr>
          <w:rFonts w:cs="Calibri"/>
          <w:i/>
          <w:iCs/>
          <w:noProof/>
          <w:sz w:val="24"/>
          <w:lang w:val="en-US"/>
        </w:rPr>
        <w:t>Environmental Health Perspectives</w:t>
      </w:r>
      <w:r w:rsidRPr="00DB423F">
        <w:rPr>
          <w:rFonts w:cs="Calibri"/>
          <w:noProof/>
          <w:sz w:val="24"/>
          <w:lang w:val="en-US"/>
        </w:rPr>
        <w:t xml:space="preserve">, </w:t>
      </w:r>
      <w:r w:rsidRPr="00DB423F">
        <w:rPr>
          <w:rFonts w:cs="Calibri"/>
          <w:i/>
          <w:iCs/>
          <w:noProof/>
          <w:sz w:val="24"/>
          <w:lang w:val="en-US"/>
        </w:rPr>
        <w:t>110</w:t>
      </w:r>
      <w:r w:rsidRPr="00DB423F">
        <w:rPr>
          <w:rFonts w:cs="Calibri"/>
          <w:noProof/>
          <w:sz w:val="24"/>
          <w:lang w:val="en-US"/>
        </w:rPr>
        <w:t>(9), 859–863. https://doi.org/10.1289/ehp.02110859</w:t>
      </w:r>
    </w:p>
    <w:p w14:paraId="19B8D3D0"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Campbell, A. (2017). Excess winter mortality in England and Wales: 2016 to 2017 (provisional) and 2015 to 2016 (final). </w:t>
      </w:r>
      <w:r w:rsidRPr="00DB423F">
        <w:rPr>
          <w:rFonts w:cs="Calibri"/>
          <w:i/>
          <w:iCs/>
          <w:noProof/>
          <w:sz w:val="24"/>
          <w:lang w:val="en-US"/>
        </w:rPr>
        <w:t>Statistical Bulletin, Office for National Statistics</w:t>
      </w:r>
      <w:r w:rsidRPr="00DB423F">
        <w:rPr>
          <w:rFonts w:cs="Calibri"/>
          <w:noProof/>
          <w:sz w:val="24"/>
          <w:lang w:val="en-US"/>
        </w:rPr>
        <w:t>.</w:t>
      </w:r>
    </w:p>
    <w:p w14:paraId="62A28EA7"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Carson, C., Hajat, S., Armstrong, B., &amp; Wilkinson, P. (2006). Declining vulnerability to temperature-related mortality in London over the 20th century. </w:t>
      </w:r>
      <w:r w:rsidRPr="00DB423F">
        <w:rPr>
          <w:rFonts w:cs="Calibri"/>
          <w:i/>
          <w:iCs/>
          <w:noProof/>
          <w:sz w:val="24"/>
          <w:lang w:val="en-US"/>
        </w:rPr>
        <w:t>American Journal of Epidemiology</w:t>
      </w:r>
      <w:r w:rsidRPr="00DB423F">
        <w:rPr>
          <w:rFonts w:cs="Calibri"/>
          <w:noProof/>
          <w:sz w:val="24"/>
          <w:lang w:val="en-US"/>
        </w:rPr>
        <w:t xml:space="preserve">, </w:t>
      </w:r>
      <w:r w:rsidRPr="00DB423F">
        <w:rPr>
          <w:rFonts w:cs="Calibri"/>
          <w:i/>
          <w:iCs/>
          <w:noProof/>
          <w:sz w:val="24"/>
          <w:lang w:val="en-US"/>
        </w:rPr>
        <w:t>164</w:t>
      </w:r>
      <w:r w:rsidRPr="00DB423F">
        <w:rPr>
          <w:rFonts w:cs="Calibri"/>
          <w:noProof/>
          <w:sz w:val="24"/>
          <w:lang w:val="en-US"/>
        </w:rPr>
        <w:t>(1), 77–84. https://doi.org/10.1093/aje/kwj147</w:t>
      </w:r>
    </w:p>
    <w:p w14:paraId="1147906F"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Cazelles, B., Chavez, M., Berteaux, D., Ménard, F., Vik, J. O., Jenouvrier, S., &amp; Stenseth, N. C. (2008). Wavelet analysis of ecological time series. </w:t>
      </w:r>
      <w:r w:rsidRPr="00DB423F">
        <w:rPr>
          <w:rFonts w:cs="Calibri"/>
          <w:i/>
          <w:iCs/>
          <w:noProof/>
          <w:sz w:val="24"/>
          <w:lang w:val="en-US"/>
        </w:rPr>
        <w:t>Oecologia</w:t>
      </w:r>
      <w:r w:rsidRPr="00DB423F">
        <w:rPr>
          <w:rFonts w:cs="Calibri"/>
          <w:noProof/>
          <w:sz w:val="24"/>
          <w:lang w:val="en-US"/>
        </w:rPr>
        <w:t>. https://doi.org/10.1007/s00442-008-0993-2</w:t>
      </w:r>
    </w:p>
    <w:p w14:paraId="017CBE28"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Davis, R. E., Knappenberger, P. C., Michaels, P. J., &amp; Novicoff, W. M. (2004). Seasonality of climate-human mortality relationships in US cities and impacts of climate change. </w:t>
      </w:r>
      <w:r w:rsidRPr="00DB423F">
        <w:rPr>
          <w:rFonts w:cs="Calibri"/>
          <w:i/>
          <w:iCs/>
          <w:noProof/>
          <w:sz w:val="24"/>
          <w:lang w:val="en-US"/>
        </w:rPr>
        <w:t>Climate Research</w:t>
      </w:r>
      <w:r w:rsidRPr="00DB423F">
        <w:rPr>
          <w:rFonts w:cs="Calibri"/>
          <w:noProof/>
          <w:sz w:val="24"/>
          <w:lang w:val="en-US"/>
        </w:rPr>
        <w:t xml:space="preserve">, </w:t>
      </w:r>
      <w:r w:rsidRPr="00DB423F">
        <w:rPr>
          <w:rFonts w:cs="Calibri"/>
          <w:i/>
          <w:iCs/>
          <w:noProof/>
          <w:sz w:val="24"/>
          <w:lang w:val="en-US"/>
        </w:rPr>
        <w:t>26</w:t>
      </w:r>
      <w:r w:rsidRPr="00DB423F">
        <w:rPr>
          <w:rFonts w:cs="Calibri"/>
          <w:noProof/>
          <w:sz w:val="24"/>
          <w:lang w:val="en-US"/>
        </w:rPr>
        <w:t>(1), 61–76. https://doi.org/10.3354/cr026061</w:t>
      </w:r>
    </w:p>
    <w:p w14:paraId="2997B11E"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Dee, D. P., Uppala, S. M., Simmons, A. J., Berrisford, P., Poli, P., Kobayashi, S., … Vitart, F. (2011). The ERA-Interim reanalysis: configuration and performance of the data assimilation system. </w:t>
      </w:r>
      <w:r w:rsidRPr="00DB423F">
        <w:rPr>
          <w:rFonts w:cs="Calibri"/>
          <w:i/>
          <w:iCs/>
          <w:noProof/>
          <w:sz w:val="24"/>
          <w:lang w:val="en-US"/>
        </w:rPr>
        <w:t>Quarterly Journal of the Royal Meteorological Society</w:t>
      </w:r>
      <w:r w:rsidRPr="00DB423F">
        <w:rPr>
          <w:rFonts w:cs="Calibri"/>
          <w:noProof/>
          <w:sz w:val="24"/>
          <w:lang w:val="en-US"/>
        </w:rPr>
        <w:t xml:space="preserve">, </w:t>
      </w:r>
      <w:r w:rsidRPr="00DB423F">
        <w:rPr>
          <w:rFonts w:cs="Calibri"/>
          <w:i/>
          <w:iCs/>
          <w:noProof/>
          <w:sz w:val="24"/>
          <w:lang w:val="en-US"/>
        </w:rPr>
        <w:t>137</w:t>
      </w:r>
      <w:r w:rsidRPr="00DB423F">
        <w:rPr>
          <w:rFonts w:cs="Calibri"/>
          <w:noProof/>
          <w:sz w:val="24"/>
          <w:lang w:val="en-US"/>
        </w:rPr>
        <w:t>(656), 553–597. https://doi.org/10.1002/qj.828</w:t>
      </w:r>
    </w:p>
    <w:p w14:paraId="3B72824C"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Feinstein, C. A. (2002). Seasonality of deaths in the U.S. by age and cause. </w:t>
      </w:r>
      <w:r w:rsidRPr="00DB423F">
        <w:rPr>
          <w:rFonts w:cs="Calibri"/>
          <w:i/>
          <w:iCs/>
          <w:noProof/>
          <w:sz w:val="24"/>
          <w:lang w:val="en-US"/>
        </w:rPr>
        <w:t>Demographic Research</w:t>
      </w:r>
      <w:r w:rsidRPr="00DB423F">
        <w:rPr>
          <w:rFonts w:cs="Calibri"/>
          <w:noProof/>
          <w:sz w:val="24"/>
          <w:lang w:val="en-US"/>
        </w:rPr>
        <w:t xml:space="preserve">, </w:t>
      </w:r>
      <w:r w:rsidRPr="00DB423F">
        <w:rPr>
          <w:rFonts w:cs="Calibri"/>
          <w:i/>
          <w:iCs/>
          <w:noProof/>
          <w:sz w:val="24"/>
          <w:lang w:val="en-US"/>
        </w:rPr>
        <w:t>6</w:t>
      </w:r>
      <w:r w:rsidRPr="00DB423F">
        <w:rPr>
          <w:rFonts w:cs="Calibri"/>
          <w:noProof/>
          <w:sz w:val="24"/>
          <w:lang w:val="en-US"/>
        </w:rPr>
        <w:t>, 469–486. https://doi.org/10.4054/DemRes.2002.6.17</w:t>
      </w:r>
    </w:p>
    <w:p w14:paraId="32FD7E01"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Ferreira Braga, A. L., Zanobetti, A., &amp; Schwartz, J. (2001). The time course of weather-related deaths. </w:t>
      </w:r>
      <w:r w:rsidRPr="00DB423F">
        <w:rPr>
          <w:rFonts w:cs="Calibri"/>
          <w:i/>
          <w:iCs/>
          <w:noProof/>
          <w:sz w:val="24"/>
          <w:lang w:val="en-US"/>
        </w:rPr>
        <w:t>Epidemiology</w:t>
      </w:r>
      <w:r w:rsidRPr="00DB423F">
        <w:rPr>
          <w:rFonts w:cs="Calibri"/>
          <w:noProof/>
          <w:sz w:val="24"/>
          <w:lang w:val="en-US"/>
        </w:rPr>
        <w:t xml:space="preserve">, </w:t>
      </w:r>
      <w:r w:rsidRPr="00DB423F">
        <w:rPr>
          <w:rFonts w:cs="Calibri"/>
          <w:i/>
          <w:iCs/>
          <w:noProof/>
          <w:sz w:val="24"/>
          <w:lang w:val="en-US"/>
        </w:rPr>
        <w:t>12</w:t>
      </w:r>
      <w:r w:rsidRPr="00DB423F">
        <w:rPr>
          <w:rFonts w:cs="Calibri"/>
          <w:noProof/>
          <w:sz w:val="24"/>
          <w:lang w:val="en-US"/>
        </w:rPr>
        <w:t>(6), 662–667. https://doi.org/10.1097/00001648-200111000-00014</w:t>
      </w:r>
    </w:p>
    <w:p w14:paraId="41D7CD2C"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Fisher, N. I. (1995). </w:t>
      </w:r>
      <w:r w:rsidRPr="00DB423F">
        <w:rPr>
          <w:rFonts w:cs="Calibri"/>
          <w:i/>
          <w:iCs/>
          <w:noProof/>
          <w:sz w:val="24"/>
          <w:lang w:val="en-US"/>
        </w:rPr>
        <w:t>Statistical analysis of circular data</w:t>
      </w:r>
      <w:r w:rsidRPr="00DB423F">
        <w:rPr>
          <w:rFonts w:cs="Calibri"/>
          <w:noProof/>
          <w:sz w:val="24"/>
          <w:lang w:val="en-US"/>
        </w:rPr>
        <w:t>. Cambridge University Press.</w:t>
      </w:r>
    </w:p>
    <w:p w14:paraId="0EE6DE8A"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Fowler, T., Southgate, R. J., Waite, T., Harrell, R., Kovats, S., Bone, A., … Murray, V. (2015). </w:t>
      </w:r>
      <w:r w:rsidRPr="00DB423F">
        <w:rPr>
          <w:rFonts w:cs="Calibri"/>
          <w:noProof/>
          <w:sz w:val="24"/>
          <w:lang w:val="en-US"/>
        </w:rPr>
        <w:lastRenderedPageBreak/>
        <w:t xml:space="preserve">Excess winter deaths in Europe: A multi-country descriptive analysis. </w:t>
      </w:r>
      <w:r w:rsidRPr="00DB423F">
        <w:rPr>
          <w:rFonts w:cs="Calibri"/>
          <w:i/>
          <w:iCs/>
          <w:noProof/>
          <w:sz w:val="24"/>
          <w:lang w:val="en-US"/>
        </w:rPr>
        <w:t>European Journal of Public Health</w:t>
      </w:r>
      <w:r w:rsidRPr="00DB423F">
        <w:rPr>
          <w:rFonts w:cs="Calibri"/>
          <w:noProof/>
          <w:sz w:val="24"/>
          <w:lang w:val="en-US"/>
        </w:rPr>
        <w:t xml:space="preserve">, </w:t>
      </w:r>
      <w:r w:rsidRPr="00DB423F">
        <w:rPr>
          <w:rFonts w:cs="Calibri"/>
          <w:i/>
          <w:iCs/>
          <w:noProof/>
          <w:sz w:val="24"/>
          <w:lang w:val="en-US"/>
        </w:rPr>
        <w:t>25</w:t>
      </w:r>
      <w:r w:rsidRPr="00DB423F">
        <w:rPr>
          <w:rFonts w:cs="Calibri"/>
          <w:noProof/>
          <w:sz w:val="24"/>
          <w:lang w:val="en-US"/>
        </w:rPr>
        <w:t>(2), 339–345. https://doi.org/10.1093/eurpub/cku073</w:t>
      </w:r>
    </w:p>
    <w:p w14:paraId="49F40789"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Gasparrini, A., Guo, Y., Hashizume, M., Lavigne, E., Zanobetti, A., Schwartz, J., … Armstrong, B. (2015). Mortality risk attributable to high and low ambient temperature: A multicountry observational study. </w:t>
      </w:r>
      <w:r w:rsidRPr="00DB423F">
        <w:rPr>
          <w:rFonts w:cs="Calibri"/>
          <w:i/>
          <w:iCs/>
          <w:noProof/>
          <w:sz w:val="24"/>
          <w:lang w:val="en-US"/>
        </w:rPr>
        <w:t>The Lancet</w:t>
      </w:r>
      <w:r w:rsidRPr="00DB423F">
        <w:rPr>
          <w:rFonts w:cs="Calibri"/>
          <w:noProof/>
          <w:sz w:val="24"/>
          <w:lang w:val="en-US"/>
        </w:rPr>
        <w:t xml:space="preserve">, </w:t>
      </w:r>
      <w:r w:rsidRPr="00DB423F">
        <w:rPr>
          <w:rFonts w:cs="Calibri"/>
          <w:i/>
          <w:iCs/>
          <w:noProof/>
          <w:sz w:val="24"/>
          <w:lang w:val="en-US"/>
        </w:rPr>
        <w:t>386</w:t>
      </w:r>
      <w:r w:rsidRPr="00DB423F">
        <w:rPr>
          <w:rFonts w:cs="Calibri"/>
          <w:noProof/>
          <w:sz w:val="24"/>
          <w:lang w:val="en-US"/>
        </w:rPr>
        <w:t>(9991), 369–375. https://doi.org/10.1016/S0140-6736(14)62114-0</w:t>
      </w:r>
    </w:p>
    <w:p w14:paraId="31D1DD79"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Grenfell, B. T., Bjørnstad, O. N., &amp; Kappey, J. (2001). Travelling waves and spatial hierarchies in measles epidemics. </w:t>
      </w:r>
      <w:r w:rsidRPr="00DB423F">
        <w:rPr>
          <w:rFonts w:cs="Calibri"/>
          <w:i/>
          <w:iCs/>
          <w:noProof/>
          <w:sz w:val="24"/>
          <w:lang w:val="en-US"/>
        </w:rPr>
        <w:t>Nature</w:t>
      </w:r>
      <w:r w:rsidRPr="00DB423F">
        <w:rPr>
          <w:rFonts w:cs="Calibri"/>
          <w:noProof/>
          <w:sz w:val="24"/>
          <w:lang w:val="en-US"/>
        </w:rPr>
        <w:t xml:space="preserve">, </w:t>
      </w:r>
      <w:r w:rsidRPr="00DB423F">
        <w:rPr>
          <w:rFonts w:cs="Calibri"/>
          <w:i/>
          <w:iCs/>
          <w:noProof/>
          <w:sz w:val="24"/>
          <w:lang w:val="en-US"/>
        </w:rPr>
        <w:t>414</w:t>
      </w:r>
      <w:r w:rsidRPr="00DB423F">
        <w:rPr>
          <w:rFonts w:cs="Calibri"/>
          <w:noProof/>
          <w:sz w:val="24"/>
          <w:lang w:val="en-US"/>
        </w:rPr>
        <w:t>(6865), 716–723. https://doi.org/10.1038/414716a</w:t>
      </w:r>
    </w:p>
    <w:p w14:paraId="5B2A4877"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Healy, J. D. (2003). Excess winter mortality in Europe: A cross country analysis identifying key risk factors. </w:t>
      </w:r>
      <w:r w:rsidRPr="00DB423F">
        <w:rPr>
          <w:rFonts w:cs="Calibri"/>
          <w:i/>
          <w:iCs/>
          <w:noProof/>
          <w:sz w:val="24"/>
          <w:lang w:val="en-US"/>
        </w:rPr>
        <w:t>Journal of Epidemiology and Community Health</w:t>
      </w:r>
      <w:r w:rsidRPr="00DB423F">
        <w:rPr>
          <w:rFonts w:cs="Calibri"/>
          <w:noProof/>
          <w:sz w:val="24"/>
          <w:lang w:val="en-US"/>
        </w:rPr>
        <w:t xml:space="preserve">, </w:t>
      </w:r>
      <w:r w:rsidRPr="00DB423F">
        <w:rPr>
          <w:rFonts w:cs="Calibri"/>
          <w:i/>
          <w:iCs/>
          <w:noProof/>
          <w:sz w:val="24"/>
          <w:lang w:val="en-US"/>
        </w:rPr>
        <w:t>57</w:t>
      </w:r>
      <w:r w:rsidRPr="00DB423F">
        <w:rPr>
          <w:rFonts w:cs="Calibri"/>
          <w:noProof/>
          <w:sz w:val="24"/>
          <w:lang w:val="en-US"/>
        </w:rPr>
        <w:t>(10), 784–789. https://doi.org/10.1136/jech.57.10.784</w:t>
      </w:r>
    </w:p>
    <w:p w14:paraId="002AF173"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Hubbard, B. B. (1998). </w:t>
      </w:r>
      <w:r w:rsidRPr="00DB423F">
        <w:rPr>
          <w:rFonts w:cs="Calibri"/>
          <w:i/>
          <w:iCs/>
          <w:noProof/>
          <w:sz w:val="24"/>
          <w:lang w:val="en-US"/>
        </w:rPr>
        <w:t>The world according to wavelets: the story of a mathematical technique in the making</w:t>
      </w:r>
      <w:r w:rsidRPr="00DB423F">
        <w:rPr>
          <w:rFonts w:cs="Calibri"/>
          <w:noProof/>
          <w:sz w:val="24"/>
          <w:lang w:val="en-US"/>
        </w:rPr>
        <w:t>. A K Peters/CRC Press.</w:t>
      </w:r>
    </w:p>
    <w:p w14:paraId="0A7D71B1"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Ingram, D. D., Parker, J. D., Schenker, N., Weed, J. A., Hamilton, B., Arias, E., &amp; Madans, J. H. (2003). United States Census 2000 population with bridged race categories. </w:t>
      </w:r>
      <w:r w:rsidRPr="00DB423F">
        <w:rPr>
          <w:rFonts w:cs="Calibri"/>
          <w:i/>
          <w:iCs/>
          <w:noProof/>
          <w:sz w:val="24"/>
          <w:lang w:val="en-US"/>
        </w:rPr>
        <w:t>Vital and Health Statistics. Series 2, Data Evaluation and Methods Research</w:t>
      </w:r>
      <w:r w:rsidRPr="00DB423F">
        <w:rPr>
          <w:rFonts w:cs="Calibri"/>
          <w:noProof/>
          <w:sz w:val="24"/>
          <w:lang w:val="en-US"/>
        </w:rPr>
        <w:t>, (135), 1–55. Retrieved from http://www.ncbi.nlm.nih.gov/pubmed/14556588</w:t>
      </w:r>
    </w:p>
    <w:p w14:paraId="097F4D86"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Kalkstein, A. J. (2013). Regional Similarities in Seasonal Mortality across the United States: An Examination of 28 Metropolitan Statistical Areas. </w:t>
      </w:r>
      <w:r w:rsidRPr="00DB423F">
        <w:rPr>
          <w:rFonts w:cs="Calibri"/>
          <w:i/>
          <w:iCs/>
          <w:noProof/>
          <w:sz w:val="24"/>
          <w:lang w:val="en-US"/>
        </w:rPr>
        <w:t>PLoS ONE</w:t>
      </w:r>
      <w:r w:rsidRPr="00DB423F">
        <w:rPr>
          <w:rFonts w:cs="Calibri"/>
          <w:noProof/>
          <w:sz w:val="24"/>
          <w:lang w:val="en-US"/>
        </w:rPr>
        <w:t xml:space="preserve">, </w:t>
      </w:r>
      <w:r w:rsidRPr="00DB423F">
        <w:rPr>
          <w:rFonts w:cs="Calibri"/>
          <w:i/>
          <w:iCs/>
          <w:noProof/>
          <w:sz w:val="24"/>
          <w:lang w:val="en-US"/>
        </w:rPr>
        <w:t>8</w:t>
      </w:r>
      <w:r w:rsidRPr="00DB423F">
        <w:rPr>
          <w:rFonts w:cs="Calibri"/>
          <w:noProof/>
          <w:sz w:val="24"/>
          <w:lang w:val="en-US"/>
        </w:rPr>
        <w:t>(5). https://doi.org/10.1371/journal.pone.0063971</w:t>
      </w:r>
    </w:p>
    <w:p w14:paraId="73CDD4B3"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Karl, T. R., &amp; Koss, W. J. (1984). Regional and national monthly, seasonal, and annual temperature weighted by area, 1895-1983. </w:t>
      </w:r>
      <w:r w:rsidRPr="00DB423F">
        <w:rPr>
          <w:rFonts w:cs="Calibri"/>
          <w:i/>
          <w:iCs/>
          <w:noProof/>
          <w:sz w:val="24"/>
          <w:lang w:val="en-US"/>
        </w:rPr>
        <w:t>National Climatic Data Center</w:t>
      </w:r>
      <w:r w:rsidRPr="00DB423F">
        <w:rPr>
          <w:rFonts w:cs="Calibri"/>
          <w:noProof/>
          <w:sz w:val="24"/>
          <w:lang w:val="en-US"/>
        </w:rPr>
        <w:t>, 38.</w:t>
      </w:r>
    </w:p>
    <w:p w14:paraId="3A65CF77"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Kinney, P. L., Schwartz, J., Pascal, M., Petkova, E., Tertre, A. Le, Medina, S., &amp; Vautard, R. (2015). Winter season mortality: Will climate warming bring benefits? </w:t>
      </w:r>
      <w:r w:rsidRPr="00DB423F">
        <w:rPr>
          <w:rFonts w:cs="Calibri"/>
          <w:i/>
          <w:iCs/>
          <w:noProof/>
          <w:sz w:val="24"/>
          <w:lang w:val="en-US"/>
        </w:rPr>
        <w:t>Environmental Research Letters</w:t>
      </w:r>
      <w:r w:rsidRPr="00DB423F">
        <w:rPr>
          <w:rFonts w:cs="Calibri"/>
          <w:noProof/>
          <w:sz w:val="24"/>
          <w:lang w:val="en-US"/>
        </w:rPr>
        <w:t xml:space="preserve">, </w:t>
      </w:r>
      <w:r w:rsidRPr="00DB423F">
        <w:rPr>
          <w:rFonts w:cs="Calibri"/>
          <w:i/>
          <w:iCs/>
          <w:noProof/>
          <w:sz w:val="24"/>
          <w:lang w:val="en-US"/>
        </w:rPr>
        <w:t>10</w:t>
      </w:r>
      <w:r w:rsidRPr="00DB423F">
        <w:rPr>
          <w:rFonts w:cs="Calibri"/>
          <w:noProof/>
          <w:sz w:val="24"/>
          <w:lang w:val="en-US"/>
        </w:rPr>
        <w:t>(6). https://doi.org/10.1088/1748-9326/10/6/064016</w:t>
      </w:r>
    </w:p>
    <w:p w14:paraId="6ED4E583"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Langford, I. H., &amp; Bentham, G. (1995). The potential effects of climate change on winter mortality in England and Wales. </w:t>
      </w:r>
      <w:r w:rsidRPr="00DB423F">
        <w:rPr>
          <w:rFonts w:cs="Calibri"/>
          <w:i/>
          <w:iCs/>
          <w:noProof/>
          <w:sz w:val="24"/>
          <w:lang w:val="en-US"/>
        </w:rPr>
        <w:t>Int J Biometeorol</w:t>
      </w:r>
      <w:r w:rsidRPr="00DB423F">
        <w:rPr>
          <w:rFonts w:cs="Calibri"/>
          <w:noProof/>
          <w:sz w:val="24"/>
          <w:lang w:val="en-US"/>
        </w:rPr>
        <w:t xml:space="preserve">, </w:t>
      </w:r>
      <w:r w:rsidRPr="00DB423F">
        <w:rPr>
          <w:rFonts w:cs="Calibri"/>
          <w:i/>
          <w:iCs/>
          <w:noProof/>
          <w:sz w:val="24"/>
          <w:lang w:val="en-US"/>
        </w:rPr>
        <w:t>38</w:t>
      </w:r>
      <w:r w:rsidRPr="00DB423F">
        <w:rPr>
          <w:rFonts w:cs="Calibri"/>
          <w:noProof/>
          <w:sz w:val="24"/>
          <w:lang w:val="en-US"/>
        </w:rPr>
        <w:t>(3), 141–147. Retrieved from internal-pdf://189.27.88.183/art%253A10.1007%252FBF01208491.pdf</w:t>
      </w:r>
    </w:p>
    <w:p w14:paraId="7875D842"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Lerchl, A. (1998). Changes in the seasonality of mortality in Germany from 1946 to 1995: the role of temperature. </w:t>
      </w:r>
      <w:r w:rsidRPr="00DB423F">
        <w:rPr>
          <w:rFonts w:cs="Calibri"/>
          <w:i/>
          <w:iCs/>
          <w:noProof/>
          <w:sz w:val="24"/>
          <w:lang w:val="en-US"/>
        </w:rPr>
        <w:t>International Journal of Biometeorology</w:t>
      </w:r>
      <w:r w:rsidRPr="00DB423F">
        <w:rPr>
          <w:rFonts w:cs="Calibri"/>
          <w:noProof/>
          <w:sz w:val="24"/>
          <w:lang w:val="en-US"/>
        </w:rPr>
        <w:t xml:space="preserve">, </w:t>
      </w:r>
      <w:r w:rsidRPr="00DB423F">
        <w:rPr>
          <w:rFonts w:cs="Calibri"/>
          <w:i/>
          <w:iCs/>
          <w:noProof/>
          <w:sz w:val="24"/>
          <w:lang w:val="en-US"/>
        </w:rPr>
        <w:t>42</w:t>
      </w:r>
      <w:r w:rsidRPr="00DB423F">
        <w:rPr>
          <w:rFonts w:cs="Calibri"/>
          <w:noProof/>
          <w:sz w:val="24"/>
          <w:lang w:val="en-US"/>
        </w:rPr>
        <w:t>(2), 84–88. https://doi.org/10.1007/s004840050089</w:t>
      </w:r>
    </w:p>
    <w:p w14:paraId="5BF65DFA"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MacDorman, M. F., &amp; Gregory, E. (2015). Fetal and Perinatal Mortality: United States, 2013. </w:t>
      </w:r>
      <w:r w:rsidRPr="00DB423F">
        <w:rPr>
          <w:rFonts w:cs="Calibri"/>
          <w:i/>
          <w:iCs/>
          <w:noProof/>
          <w:sz w:val="24"/>
          <w:lang w:val="en-US"/>
        </w:rPr>
        <w:t>National Vital Statistics Reports</w:t>
      </w:r>
      <w:r w:rsidRPr="00DB423F">
        <w:rPr>
          <w:rFonts w:cs="Calibri"/>
          <w:noProof/>
          <w:sz w:val="24"/>
          <w:lang w:val="en-US"/>
        </w:rPr>
        <w:t xml:space="preserve">, </w:t>
      </w:r>
      <w:r w:rsidRPr="00DB423F">
        <w:rPr>
          <w:rFonts w:cs="Calibri"/>
          <w:i/>
          <w:iCs/>
          <w:noProof/>
          <w:sz w:val="24"/>
          <w:lang w:val="en-US"/>
        </w:rPr>
        <w:t>64</w:t>
      </w:r>
      <w:r w:rsidRPr="00DB423F">
        <w:rPr>
          <w:rFonts w:cs="Calibri"/>
          <w:noProof/>
          <w:sz w:val="24"/>
          <w:lang w:val="en-US"/>
        </w:rPr>
        <w:t>(8), 1–24.</w:t>
      </w:r>
    </w:p>
    <w:p w14:paraId="15801F5B"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Martens, W. J. (1998). Climate change, thermal stress and mortality changes. </w:t>
      </w:r>
      <w:r w:rsidRPr="00DB423F">
        <w:rPr>
          <w:rFonts w:cs="Calibri"/>
          <w:i/>
          <w:iCs/>
          <w:noProof/>
          <w:sz w:val="24"/>
          <w:lang w:val="en-US"/>
        </w:rPr>
        <w:t>Soc Sci Med</w:t>
      </w:r>
      <w:r w:rsidRPr="00DB423F">
        <w:rPr>
          <w:rFonts w:cs="Calibri"/>
          <w:noProof/>
          <w:sz w:val="24"/>
          <w:lang w:val="en-US"/>
        </w:rPr>
        <w:t xml:space="preserve">, </w:t>
      </w:r>
      <w:r w:rsidRPr="00DB423F">
        <w:rPr>
          <w:rFonts w:cs="Calibri"/>
          <w:i/>
          <w:iCs/>
          <w:noProof/>
          <w:sz w:val="24"/>
          <w:lang w:val="en-US"/>
        </w:rPr>
        <w:t>46</w:t>
      </w:r>
      <w:r w:rsidRPr="00DB423F">
        <w:rPr>
          <w:rFonts w:cs="Calibri"/>
          <w:noProof/>
          <w:sz w:val="24"/>
          <w:lang w:val="en-US"/>
        </w:rPr>
        <w:t>(3), 331–344. Retrieved from internal-pdf://57.13.130.132/1-s2.0-S0277953697001627-main.pdf</w:t>
      </w:r>
    </w:p>
    <w:p w14:paraId="6F3FB03C"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McKee, C. M. (1989). Deaths in winter: Can Britain learn from Europe? </w:t>
      </w:r>
      <w:r w:rsidRPr="00DB423F">
        <w:rPr>
          <w:rFonts w:cs="Calibri"/>
          <w:i/>
          <w:iCs/>
          <w:noProof/>
          <w:sz w:val="24"/>
          <w:lang w:val="en-US"/>
        </w:rPr>
        <w:t>European Journal of Epidemiology</w:t>
      </w:r>
      <w:r w:rsidRPr="00DB423F">
        <w:rPr>
          <w:rFonts w:cs="Calibri"/>
          <w:noProof/>
          <w:sz w:val="24"/>
          <w:lang w:val="en-US"/>
        </w:rPr>
        <w:t xml:space="preserve">, </w:t>
      </w:r>
      <w:r w:rsidRPr="00DB423F">
        <w:rPr>
          <w:rFonts w:cs="Calibri"/>
          <w:i/>
          <w:iCs/>
          <w:noProof/>
          <w:sz w:val="24"/>
          <w:lang w:val="en-US"/>
        </w:rPr>
        <w:t>5</w:t>
      </w:r>
      <w:r w:rsidRPr="00DB423F">
        <w:rPr>
          <w:rFonts w:cs="Calibri"/>
          <w:noProof/>
          <w:sz w:val="24"/>
          <w:lang w:val="en-US"/>
        </w:rPr>
        <w:t>(2), 178–182. https://doi.org/10.1007/BF00156826</w:t>
      </w:r>
    </w:p>
    <w:p w14:paraId="7958E741"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lastRenderedPageBreak/>
        <w:t xml:space="preserve">Medina-Ramón, M., &amp; Schwartz, J. (2007). Temperature, temperature extremes, and mortality: A study of acclimatisation and effect modification in 50 US cities. </w:t>
      </w:r>
      <w:r w:rsidRPr="00DB423F">
        <w:rPr>
          <w:rFonts w:cs="Calibri"/>
          <w:i/>
          <w:iCs/>
          <w:noProof/>
          <w:sz w:val="24"/>
          <w:lang w:val="en-US"/>
        </w:rPr>
        <w:t>Occupational and Environmental Medicine</w:t>
      </w:r>
      <w:r w:rsidRPr="00DB423F">
        <w:rPr>
          <w:rFonts w:cs="Calibri"/>
          <w:noProof/>
          <w:sz w:val="24"/>
          <w:lang w:val="en-US"/>
        </w:rPr>
        <w:t xml:space="preserve">, </w:t>
      </w:r>
      <w:r w:rsidRPr="00DB423F">
        <w:rPr>
          <w:rFonts w:cs="Calibri"/>
          <w:i/>
          <w:iCs/>
          <w:noProof/>
          <w:sz w:val="24"/>
          <w:lang w:val="en-US"/>
        </w:rPr>
        <w:t>64</w:t>
      </w:r>
      <w:r w:rsidRPr="00DB423F">
        <w:rPr>
          <w:rFonts w:cs="Calibri"/>
          <w:noProof/>
          <w:sz w:val="24"/>
          <w:lang w:val="en-US"/>
        </w:rPr>
        <w:t>(12), 827–833. https://doi.org/10.1136/oem.2007.033175</w:t>
      </w:r>
    </w:p>
    <w:p w14:paraId="62AC9362"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Morris, M. E. (2013). Smart-Home Technologies to Assist Older People to Live Well at Home. </w:t>
      </w:r>
      <w:r w:rsidRPr="00DB423F">
        <w:rPr>
          <w:rFonts w:cs="Calibri"/>
          <w:i/>
          <w:iCs/>
          <w:noProof/>
          <w:sz w:val="24"/>
          <w:lang w:val="en-US"/>
        </w:rPr>
        <w:t>Journal of Aging Science</w:t>
      </w:r>
      <w:r w:rsidRPr="00DB423F">
        <w:rPr>
          <w:rFonts w:cs="Calibri"/>
          <w:noProof/>
          <w:sz w:val="24"/>
          <w:lang w:val="en-US"/>
        </w:rPr>
        <w:t xml:space="preserve">, </w:t>
      </w:r>
      <w:r w:rsidRPr="00DB423F">
        <w:rPr>
          <w:rFonts w:cs="Calibri"/>
          <w:i/>
          <w:iCs/>
          <w:noProof/>
          <w:sz w:val="24"/>
          <w:lang w:val="en-US"/>
        </w:rPr>
        <w:t>01</w:t>
      </w:r>
      <w:r w:rsidRPr="00DB423F">
        <w:rPr>
          <w:rFonts w:cs="Calibri"/>
          <w:noProof/>
          <w:sz w:val="24"/>
          <w:lang w:val="en-US"/>
        </w:rPr>
        <w:t>(01). https://doi.org/10.4172/2329-8847.1000101</w:t>
      </w:r>
    </w:p>
    <w:p w14:paraId="119F10AA"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Moy, C. M., Seltzer, G. O., Rodbell, D. T., &amp; Anderson, D. M. (2002). Variability of El Niño/Southern Oscillation activity at millennial timescales during the Holocene epoch. </w:t>
      </w:r>
      <w:r w:rsidRPr="00DB423F">
        <w:rPr>
          <w:rFonts w:cs="Calibri"/>
          <w:i/>
          <w:iCs/>
          <w:noProof/>
          <w:sz w:val="24"/>
          <w:lang w:val="en-US"/>
        </w:rPr>
        <w:t>Nature</w:t>
      </w:r>
      <w:r w:rsidRPr="00DB423F">
        <w:rPr>
          <w:rFonts w:cs="Calibri"/>
          <w:noProof/>
          <w:sz w:val="24"/>
          <w:lang w:val="en-US"/>
        </w:rPr>
        <w:t xml:space="preserve">, </w:t>
      </w:r>
      <w:r w:rsidRPr="00DB423F">
        <w:rPr>
          <w:rFonts w:cs="Calibri"/>
          <w:i/>
          <w:iCs/>
          <w:noProof/>
          <w:sz w:val="24"/>
          <w:lang w:val="en-US"/>
        </w:rPr>
        <w:t>420</w:t>
      </w:r>
      <w:r w:rsidRPr="00DB423F">
        <w:rPr>
          <w:rFonts w:cs="Calibri"/>
          <w:noProof/>
          <w:sz w:val="24"/>
          <w:lang w:val="en-US"/>
        </w:rPr>
        <w:t>(6912), 162–165. https://doi.org/10.1038/nature01194</w:t>
      </w:r>
    </w:p>
    <w:p w14:paraId="1E4EF91D"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National Highway Traffic Safety Administration. (2005). Trend and Pattern Analysis of Highway Crash Fatality By Month and Day. </w:t>
      </w:r>
      <w:r w:rsidRPr="00DB423F">
        <w:rPr>
          <w:rFonts w:cs="Calibri"/>
          <w:i/>
          <w:iCs/>
          <w:noProof/>
          <w:sz w:val="24"/>
          <w:lang w:val="en-US"/>
        </w:rPr>
        <w:t>National Center for Statistics and Analysis (NCHS)</w:t>
      </w:r>
      <w:r w:rsidRPr="00DB423F">
        <w:rPr>
          <w:rFonts w:cs="Calibri"/>
          <w:noProof/>
          <w:sz w:val="24"/>
          <w:lang w:val="en-US"/>
        </w:rPr>
        <w:t>, (March).</w:t>
      </w:r>
    </w:p>
    <w:p w14:paraId="56B79F95"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Parks, R. M., Bennett, J. E., Foreman, K. J., Toumi, R., &amp; Ezzati, M. (2018). National and regional seasonal dynamics of all-cause and cause-specific mortality in the USA from 1980 to 2016. </w:t>
      </w:r>
      <w:r w:rsidRPr="00DB423F">
        <w:rPr>
          <w:rFonts w:cs="Calibri"/>
          <w:i/>
          <w:iCs/>
          <w:noProof/>
          <w:sz w:val="24"/>
          <w:lang w:val="en-US"/>
        </w:rPr>
        <w:t>ELife</w:t>
      </w:r>
      <w:r w:rsidRPr="00DB423F">
        <w:rPr>
          <w:rFonts w:cs="Calibri"/>
          <w:noProof/>
          <w:sz w:val="24"/>
          <w:lang w:val="en-US"/>
        </w:rPr>
        <w:t xml:space="preserve">, </w:t>
      </w:r>
      <w:r w:rsidRPr="00DB423F">
        <w:rPr>
          <w:rFonts w:cs="Calibri"/>
          <w:i/>
          <w:iCs/>
          <w:noProof/>
          <w:sz w:val="24"/>
          <w:lang w:val="en-US"/>
        </w:rPr>
        <w:t>7</w:t>
      </w:r>
      <w:r w:rsidRPr="00DB423F">
        <w:rPr>
          <w:rFonts w:cs="Calibri"/>
          <w:noProof/>
          <w:sz w:val="24"/>
          <w:lang w:val="en-US"/>
        </w:rPr>
        <w:t>. https://doi.org/10.7554/eLife.35500</w:t>
      </w:r>
    </w:p>
    <w:p w14:paraId="5D71ECFF"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Public Health England. (2017). The Cold Weather Plan for England. </w:t>
      </w:r>
      <w:r w:rsidRPr="00DB423F">
        <w:rPr>
          <w:rFonts w:cs="Calibri"/>
          <w:i/>
          <w:iCs/>
          <w:noProof/>
          <w:sz w:val="24"/>
          <w:lang w:val="en-US"/>
        </w:rPr>
        <w:t>Public Health England</w:t>
      </w:r>
      <w:r w:rsidRPr="00DB423F">
        <w:rPr>
          <w:rFonts w:cs="Calibri"/>
          <w:noProof/>
          <w:sz w:val="24"/>
          <w:lang w:val="en-US"/>
        </w:rPr>
        <w:t>, (October).</w:t>
      </w:r>
    </w:p>
    <w:p w14:paraId="769DD29E"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Rau, R. (2004). Seasonality in human mortality. A demographic approach. </w:t>
      </w:r>
      <w:r w:rsidRPr="00DB423F">
        <w:rPr>
          <w:rFonts w:cs="Calibri"/>
          <w:i/>
          <w:iCs/>
          <w:noProof/>
          <w:sz w:val="24"/>
          <w:lang w:val="en-US"/>
        </w:rPr>
        <w:t>Wirtschafts- Und Sozialwissenschaftlichen Fakultät</w:t>
      </w:r>
      <w:r w:rsidRPr="00DB423F">
        <w:rPr>
          <w:rFonts w:cs="Calibri"/>
          <w:noProof/>
          <w:sz w:val="24"/>
          <w:lang w:val="en-US"/>
        </w:rPr>
        <w:t xml:space="preserve">, </w:t>
      </w:r>
      <w:r w:rsidRPr="00DB423F">
        <w:rPr>
          <w:rFonts w:cs="Calibri"/>
          <w:i/>
          <w:iCs/>
          <w:noProof/>
          <w:sz w:val="24"/>
          <w:lang w:val="en-US"/>
        </w:rPr>
        <w:t>PhD</w:t>
      </w:r>
      <w:r w:rsidRPr="00DB423F">
        <w:rPr>
          <w:rFonts w:cs="Calibri"/>
          <w:noProof/>
          <w:sz w:val="24"/>
          <w:lang w:val="en-US"/>
        </w:rPr>
        <w:t>, 361. https://doi.org/10.1007/978-3-540-44902-7</w:t>
      </w:r>
    </w:p>
    <w:p w14:paraId="1FA5EB64"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Rau, R., Bohk-Ewald, C., Muszyńska, M. M., &amp; Vaupel, J. W. (2018). </w:t>
      </w:r>
      <w:r w:rsidRPr="00DB423F">
        <w:rPr>
          <w:rFonts w:cs="Calibri"/>
          <w:i/>
          <w:iCs/>
          <w:noProof/>
          <w:sz w:val="24"/>
          <w:lang w:val="en-US"/>
        </w:rPr>
        <w:t>Visualizing Mortality Dynamics in the Lexis Diagram</w:t>
      </w:r>
      <w:r w:rsidRPr="00DB423F">
        <w:rPr>
          <w:rFonts w:cs="Calibri"/>
          <w:noProof/>
          <w:sz w:val="24"/>
          <w:lang w:val="en-US"/>
        </w:rPr>
        <w:t>. https://doi.org/10.1007/978-3-319-64820-0</w:t>
      </w:r>
    </w:p>
    <w:p w14:paraId="3B4415B3"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Rosenwaike, I. (1966). Seasonal Variation of Deaths in the United States, 1951–1960. </w:t>
      </w:r>
      <w:r w:rsidRPr="00DB423F">
        <w:rPr>
          <w:rFonts w:cs="Calibri"/>
          <w:i/>
          <w:iCs/>
          <w:noProof/>
          <w:sz w:val="24"/>
          <w:lang w:val="en-US"/>
        </w:rPr>
        <w:t>Journal of the American Statistical Association</w:t>
      </w:r>
      <w:r w:rsidRPr="00DB423F">
        <w:rPr>
          <w:rFonts w:cs="Calibri"/>
          <w:noProof/>
          <w:sz w:val="24"/>
          <w:lang w:val="en-US"/>
        </w:rPr>
        <w:t xml:space="preserve">, </w:t>
      </w:r>
      <w:r w:rsidRPr="00DB423F">
        <w:rPr>
          <w:rFonts w:cs="Calibri"/>
          <w:i/>
          <w:iCs/>
          <w:noProof/>
          <w:sz w:val="24"/>
          <w:lang w:val="en-US"/>
        </w:rPr>
        <w:t>61</w:t>
      </w:r>
      <w:r w:rsidRPr="00DB423F">
        <w:rPr>
          <w:rFonts w:cs="Calibri"/>
          <w:noProof/>
          <w:sz w:val="24"/>
          <w:lang w:val="en-US"/>
        </w:rPr>
        <w:t>(315), 706–719. https://doi.org/10.1080/01621459.1966.10480899</w:t>
      </w:r>
    </w:p>
    <w:p w14:paraId="3E013A9C"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Seretakis, D. (1997). Changing Seasonality of Mortality From Coronary Heart Disease. </w:t>
      </w:r>
      <w:r w:rsidRPr="00DB423F">
        <w:rPr>
          <w:rFonts w:cs="Calibri"/>
          <w:i/>
          <w:iCs/>
          <w:noProof/>
          <w:sz w:val="24"/>
          <w:lang w:val="en-US"/>
        </w:rPr>
        <w:t>JAMA: The Journal of the American Medical Association</w:t>
      </w:r>
      <w:r w:rsidRPr="00DB423F">
        <w:rPr>
          <w:rFonts w:cs="Calibri"/>
          <w:noProof/>
          <w:sz w:val="24"/>
          <w:lang w:val="en-US"/>
        </w:rPr>
        <w:t xml:space="preserve">, </w:t>
      </w:r>
      <w:r w:rsidRPr="00DB423F">
        <w:rPr>
          <w:rFonts w:cs="Calibri"/>
          <w:i/>
          <w:iCs/>
          <w:noProof/>
          <w:sz w:val="24"/>
          <w:lang w:val="en-US"/>
        </w:rPr>
        <w:t>278</w:t>
      </w:r>
      <w:r w:rsidRPr="00DB423F">
        <w:rPr>
          <w:rFonts w:cs="Calibri"/>
          <w:noProof/>
          <w:sz w:val="24"/>
          <w:lang w:val="en-US"/>
        </w:rPr>
        <w:t>(12), 1012. https://doi.org/10.1001/jama.1997.03550120072036</w:t>
      </w:r>
    </w:p>
    <w:p w14:paraId="5032508E" w14:textId="77777777" w:rsidR="00DB423F" w:rsidRPr="00DB423F" w:rsidRDefault="00DB423F" w:rsidP="00DB423F">
      <w:pPr>
        <w:widowControl w:val="0"/>
        <w:autoSpaceDE w:val="0"/>
        <w:autoSpaceDN w:val="0"/>
        <w:adjustRightInd w:val="0"/>
        <w:spacing w:line="240" w:lineRule="auto"/>
        <w:ind w:left="480" w:hanging="480"/>
        <w:rPr>
          <w:rFonts w:cs="Calibri"/>
          <w:noProof/>
          <w:sz w:val="24"/>
          <w:lang w:val="en-US"/>
        </w:rPr>
      </w:pPr>
      <w:r w:rsidRPr="00DB423F">
        <w:rPr>
          <w:rFonts w:cs="Calibri"/>
          <w:noProof/>
          <w:sz w:val="24"/>
          <w:lang w:val="en-US"/>
        </w:rPr>
        <w:t xml:space="preserve">Sheridan, S. C., Kalkstein, A. J., &amp; Kalkstein, L. S. (2009). Trends in heat-related mortality in the United States, 1975-2004. </w:t>
      </w:r>
      <w:r w:rsidRPr="00DB423F">
        <w:rPr>
          <w:rFonts w:cs="Calibri"/>
          <w:i/>
          <w:iCs/>
          <w:noProof/>
          <w:sz w:val="24"/>
          <w:lang w:val="en-US"/>
        </w:rPr>
        <w:t>Natural Hazards</w:t>
      </w:r>
      <w:r w:rsidRPr="00DB423F">
        <w:rPr>
          <w:rFonts w:cs="Calibri"/>
          <w:noProof/>
          <w:sz w:val="24"/>
          <w:lang w:val="en-US"/>
        </w:rPr>
        <w:t xml:space="preserve">, </w:t>
      </w:r>
      <w:r w:rsidRPr="00DB423F">
        <w:rPr>
          <w:rFonts w:cs="Calibri"/>
          <w:i/>
          <w:iCs/>
          <w:noProof/>
          <w:sz w:val="24"/>
          <w:lang w:val="en-US"/>
        </w:rPr>
        <w:t>50</w:t>
      </w:r>
      <w:r w:rsidRPr="00DB423F">
        <w:rPr>
          <w:rFonts w:cs="Calibri"/>
          <w:noProof/>
          <w:sz w:val="24"/>
          <w:lang w:val="en-US"/>
        </w:rPr>
        <w:t>(1), 145–160. https://doi.org/10.1007/s11069-008-9327-2</w:t>
      </w:r>
    </w:p>
    <w:p w14:paraId="35494847" w14:textId="77777777" w:rsidR="00DB423F" w:rsidRPr="00DB423F" w:rsidRDefault="00DB423F" w:rsidP="00DB423F">
      <w:pPr>
        <w:widowControl w:val="0"/>
        <w:autoSpaceDE w:val="0"/>
        <w:autoSpaceDN w:val="0"/>
        <w:adjustRightInd w:val="0"/>
        <w:spacing w:line="240" w:lineRule="auto"/>
        <w:ind w:left="480" w:hanging="480"/>
        <w:rPr>
          <w:rFonts w:cs="Calibri"/>
          <w:noProof/>
          <w:sz w:val="24"/>
        </w:rPr>
      </w:pPr>
      <w:r w:rsidRPr="00DB423F">
        <w:rPr>
          <w:rFonts w:cs="Calibri"/>
          <w:noProof/>
          <w:sz w:val="24"/>
          <w:lang w:val="en-US"/>
        </w:rPr>
        <w:t xml:space="preserve">Torrence, C., &amp; Compo, G. P. (1998). A Practical Guide to Wavelet Analysis. </w:t>
      </w:r>
      <w:r w:rsidRPr="00DB423F">
        <w:rPr>
          <w:rFonts w:cs="Calibri"/>
          <w:i/>
          <w:iCs/>
          <w:noProof/>
          <w:sz w:val="24"/>
          <w:lang w:val="en-US"/>
        </w:rPr>
        <w:t>Bulletin of the American Meteorological Society</w:t>
      </w:r>
      <w:r w:rsidRPr="00DB423F">
        <w:rPr>
          <w:rFonts w:cs="Calibri"/>
          <w:noProof/>
          <w:sz w:val="24"/>
          <w:lang w:val="en-US"/>
        </w:rPr>
        <w:t>. https://doi.org/10.1175/1520-0477(1998)079&lt;0061:APGTWA&gt;2.0.CO;2</w:t>
      </w:r>
    </w:p>
    <w:p w14:paraId="2B228869" w14:textId="6189D874" w:rsidR="006675AE" w:rsidRPr="00127064" w:rsidRDefault="006675AE" w:rsidP="00DB423F">
      <w:pPr>
        <w:spacing w:line="240" w:lineRule="auto"/>
        <w:jc w:val="both"/>
      </w:pPr>
      <w:r w:rsidRPr="00736834">
        <w:rPr>
          <w:sz w:val="24"/>
          <w:szCs w:val="24"/>
        </w:rPr>
        <w:fldChar w:fldCharType="end"/>
      </w:r>
    </w:p>
    <w:sectPr w:rsidR="006675AE" w:rsidRPr="00127064" w:rsidSect="0083190B">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7" w:author="Ezzati, Majid" w:date="2019-04-30T10:12:00Z" w:initials="EM">
    <w:p w14:paraId="2050C174" w14:textId="7DEACD8B" w:rsidR="0002341C" w:rsidRDefault="0002341C">
      <w:pPr>
        <w:pStyle w:val="CommentText"/>
      </w:pPr>
      <w:r>
        <w:rPr>
          <w:rStyle w:val="CommentReference"/>
        </w:rPr>
        <w:annotationRef/>
      </w:r>
      <w:r>
        <w:t>Presumably the same as abstract of eLife paper. Should be</w:t>
      </w:r>
    </w:p>
  </w:comment>
  <w:comment w:id="8" w:author="Ezzati, Majid" w:date="2019-04-30T10:12:00Z" w:initials="EM">
    <w:p w14:paraId="0BC3CBAE" w14:textId="285AF2BA" w:rsidR="0002341C" w:rsidRDefault="0002341C">
      <w:pPr>
        <w:pStyle w:val="CommentText"/>
      </w:pPr>
      <w:r>
        <w:rPr>
          <w:rStyle w:val="CommentReference"/>
        </w:rPr>
        <w:annotationRef/>
      </w:r>
      <w:r>
        <w:t>Make this a footnote and just give citation. See Bin’s thesis</w:t>
      </w:r>
    </w:p>
  </w:comment>
  <w:comment w:id="13" w:author="Ezzati, Majid" w:date="2019-04-30T11:18:00Z" w:initials="EM">
    <w:p w14:paraId="38E43A84" w14:textId="4294A6F3" w:rsidR="00284B4C" w:rsidRDefault="00284B4C">
      <w:pPr>
        <w:pStyle w:val="CommentText"/>
      </w:pPr>
      <w:r>
        <w:rPr>
          <w:rStyle w:val="CommentReference"/>
        </w:rPr>
        <w:annotationRef/>
      </w:r>
      <w:r>
        <w:t>This should be reduced to one or two sentences, referring back to the data chapter and at most mention age groups/years</w:t>
      </w:r>
      <w:r w:rsidR="00FA5968">
        <w:t>/climate regions</w:t>
      </w:r>
      <w:r>
        <w:t xml:space="preserve"> or anything that is specific to here. This will all be one document</w:t>
      </w:r>
      <w:r w:rsidR="00FA5968">
        <w:t xml:space="preserve"> and should appropriately and thoughtfully refer forward and backward</w:t>
      </w:r>
    </w:p>
  </w:comment>
  <w:comment w:id="59" w:author="Ezzati, Majid" w:date="2019-04-30T11:26:00Z" w:initials="EM">
    <w:p w14:paraId="77504ADA" w14:textId="64B73313" w:rsidR="00610CBC" w:rsidRDefault="00610CBC">
      <w:pPr>
        <w:pStyle w:val="CommentText"/>
      </w:pPr>
      <w:r>
        <w:rPr>
          <w:rStyle w:val="CommentReference"/>
        </w:rPr>
        <w:annotationRef/>
      </w:r>
      <w:r>
        <w:t xml:space="preserve">I am fine if you end with </w:t>
      </w:r>
      <w:proofErr w:type="gramStart"/>
      <w:r>
        <w:t>discussion</w:t>
      </w:r>
      <w:proofErr w:type="gramEnd"/>
      <w:r>
        <w:t xml:space="preserve"> but don’t you also need a brief summary at the end (a few sentences at most).  See </w:t>
      </w:r>
      <w:proofErr w:type="spellStart"/>
      <w:r>
        <w:t>Honor</w:t>
      </w:r>
      <w:proofErr w:type="spellEnd"/>
      <w:r>
        <w:t xml:space="preserve"> and Bin’s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050C174" w15:done="0"/>
  <w15:commentEx w15:paraId="0BC3CBAE" w15:done="0"/>
  <w15:commentEx w15:paraId="38E43A84" w15:done="0"/>
  <w15:commentEx w15:paraId="77504AD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050C174" w16cid:durableId="2072BE6B"/>
  <w16cid:commentId w16cid:paraId="0BC3CBAE" w16cid:durableId="2072BE6C"/>
  <w16cid:commentId w16cid:paraId="38E43A84" w16cid:durableId="2072BE6D"/>
  <w16cid:commentId w16cid:paraId="77504ADA" w16cid:durableId="2072BE6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58A29D" w14:textId="77777777" w:rsidR="0002508A" w:rsidRDefault="0002508A">
      <w:pPr>
        <w:spacing w:after="0" w:line="240" w:lineRule="auto"/>
      </w:pPr>
      <w:r>
        <w:separator/>
      </w:r>
    </w:p>
    <w:p w14:paraId="15634DFC" w14:textId="77777777" w:rsidR="0002508A" w:rsidRDefault="0002508A"/>
  </w:endnote>
  <w:endnote w:type="continuationSeparator" w:id="0">
    <w:p w14:paraId="0878A0DF" w14:textId="77777777" w:rsidR="0002508A" w:rsidRDefault="0002508A">
      <w:pPr>
        <w:spacing w:after="0" w:line="240" w:lineRule="auto"/>
      </w:pPr>
      <w:r>
        <w:continuationSeparator/>
      </w:r>
    </w:p>
    <w:p w14:paraId="16C045AF" w14:textId="77777777" w:rsidR="0002508A" w:rsidRDefault="000250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Times">
    <w:panose1 w:val="00000500000000020000"/>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083193116"/>
      <w:docPartObj>
        <w:docPartGallery w:val="Page Numbers (Bottom of Page)"/>
        <w:docPartUnique/>
      </w:docPartObj>
    </w:sdtPr>
    <w:sdtEndPr>
      <w:rPr>
        <w:rStyle w:val="PageNumber"/>
      </w:rPr>
    </w:sdtEndPr>
    <w:sdtContent>
      <w:p w14:paraId="1BBB362A" w14:textId="0B3117DE" w:rsidR="0002341C" w:rsidRDefault="0002341C"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6E7CEC" w14:textId="77777777" w:rsidR="0002341C" w:rsidRDefault="0002341C" w:rsidP="00E869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966341741"/>
      <w:docPartObj>
        <w:docPartGallery w:val="Page Numbers (Bottom of Page)"/>
        <w:docPartUnique/>
      </w:docPartObj>
    </w:sdtPr>
    <w:sdtEndPr>
      <w:rPr>
        <w:rStyle w:val="PageNumber"/>
      </w:rPr>
    </w:sdtEndPr>
    <w:sdtContent>
      <w:p w14:paraId="2C828E9F" w14:textId="6EB5AEC2" w:rsidR="0002341C" w:rsidRDefault="0002341C"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10CBC">
          <w:rPr>
            <w:rStyle w:val="PageNumber"/>
            <w:noProof/>
          </w:rPr>
          <w:t>32</w:t>
        </w:r>
        <w:r>
          <w:rPr>
            <w:rStyle w:val="PageNumber"/>
          </w:rPr>
          <w:fldChar w:fldCharType="end"/>
        </w:r>
      </w:p>
    </w:sdtContent>
  </w:sdt>
  <w:p w14:paraId="3E7F162D" w14:textId="77777777" w:rsidR="0002341C" w:rsidRDefault="0002341C" w:rsidP="00E869C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BB7A24" w14:textId="77777777" w:rsidR="0002508A" w:rsidRDefault="0002508A">
      <w:pPr>
        <w:spacing w:after="0" w:line="240" w:lineRule="auto"/>
      </w:pPr>
      <w:r>
        <w:separator/>
      </w:r>
    </w:p>
    <w:p w14:paraId="274964C9" w14:textId="77777777" w:rsidR="0002508A" w:rsidRDefault="0002508A"/>
  </w:footnote>
  <w:footnote w:type="continuationSeparator" w:id="0">
    <w:p w14:paraId="7CE832C8" w14:textId="77777777" w:rsidR="0002508A" w:rsidRDefault="0002508A">
      <w:pPr>
        <w:spacing w:after="0" w:line="240" w:lineRule="auto"/>
      </w:pPr>
      <w:r>
        <w:continuationSeparator/>
      </w:r>
    </w:p>
    <w:p w14:paraId="72F120C2" w14:textId="77777777" w:rsidR="0002508A" w:rsidRDefault="0002508A"/>
  </w:footnote>
  <w:footnote w:id="1">
    <w:p w14:paraId="36168947" w14:textId="7CB29A81" w:rsidR="0002341C" w:rsidRDefault="0002341C">
      <w:pPr>
        <w:pStyle w:val="FootnoteText"/>
      </w:pPr>
      <w:r>
        <w:rPr>
          <w:rStyle w:val="FootnoteReference"/>
        </w:rPr>
        <w:footnoteRef/>
      </w:r>
      <w:r>
        <w:t xml:space="preserve"> </w:t>
      </w:r>
      <w:hyperlink r:id="rId1" w:history="1">
        <w:r w:rsidRPr="00755632">
          <w:rPr>
            <w:rStyle w:val="Hyperlink"/>
            <w:sz w:val="24"/>
            <w:szCs w:val="24"/>
          </w:rPr>
          <w:t>https://www.cdc.gov/nchs/nvss/dvs_data_release.htm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B9E5AFF"/>
    <w:multiLevelType w:val="hybridMultilevel"/>
    <w:tmpl w:val="4E00A802"/>
    <w:lvl w:ilvl="0" w:tplc="D5B0519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A5061C"/>
    <w:multiLevelType w:val="hybridMultilevel"/>
    <w:tmpl w:val="38125A2A"/>
    <w:lvl w:ilvl="0" w:tplc="22E4EE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C0B7D0C"/>
    <w:multiLevelType w:val="hybridMultilevel"/>
    <w:tmpl w:val="21841DE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0447639"/>
    <w:multiLevelType w:val="hybridMultilevel"/>
    <w:tmpl w:val="788858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FF2523"/>
    <w:multiLevelType w:val="hybridMultilevel"/>
    <w:tmpl w:val="25E62E18"/>
    <w:lvl w:ilvl="0" w:tplc="0A2A57E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4071EE2"/>
    <w:multiLevelType w:val="hybridMultilevel"/>
    <w:tmpl w:val="A7806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5B93274"/>
    <w:multiLevelType w:val="hybridMultilevel"/>
    <w:tmpl w:val="06B83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4450D1"/>
    <w:multiLevelType w:val="hybridMultilevel"/>
    <w:tmpl w:val="E4C86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682FD1"/>
    <w:multiLevelType w:val="hybridMultilevel"/>
    <w:tmpl w:val="3C70D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3"/>
  </w:num>
  <w:num w:numId="2">
    <w:abstractNumId w:val="39"/>
  </w:num>
  <w:num w:numId="3">
    <w:abstractNumId w:val="32"/>
  </w:num>
  <w:num w:numId="4">
    <w:abstractNumId w:val="38"/>
  </w:num>
  <w:num w:numId="5">
    <w:abstractNumId w:val="4"/>
  </w:num>
  <w:num w:numId="6">
    <w:abstractNumId w:val="9"/>
  </w:num>
  <w:num w:numId="7">
    <w:abstractNumId w:val="1"/>
  </w:num>
  <w:num w:numId="8">
    <w:abstractNumId w:val="27"/>
  </w:num>
  <w:num w:numId="9">
    <w:abstractNumId w:val="34"/>
  </w:num>
  <w:num w:numId="10">
    <w:abstractNumId w:val="25"/>
  </w:num>
  <w:num w:numId="11">
    <w:abstractNumId w:val="28"/>
  </w:num>
  <w:num w:numId="12">
    <w:abstractNumId w:val="24"/>
  </w:num>
  <w:num w:numId="13">
    <w:abstractNumId w:val="20"/>
  </w:num>
  <w:num w:numId="14">
    <w:abstractNumId w:val="14"/>
  </w:num>
  <w:num w:numId="15">
    <w:abstractNumId w:val="36"/>
  </w:num>
  <w:num w:numId="16">
    <w:abstractNumId w:val="41"/>
  </w:num>
  <w:num w:numId="17">
    <w:abstractNumId w:val="21"/>
  </w:num>
  <w:num w:numId="18">
    <w:abstractNumId w:val="19"/>
  </w:num>
  <w:num w:numId="19">
    <w:abstractNumId w:val="8"/>
  </w:num>
  <w:num w:numId="20">
    <w:abstractNumId w:val="22"/>
  </w:num>
  <w:num w:numId="21">
    <w:abstractNumId w:val="0"/>
  </w:num>
  <w:num w:numId="22">
    <w:abstractNumId w:val="6"/>
  </w:num>
  <w:num w:numId="23">
    <w:abstractNumId w:val="30"/>
  </w:num>
  <w:num w:numId="24">
    <w:abstractNumId w:val="17"/>
  </w:num>
  <w:num w:numId="25">
    <w:abstractNumId w:val="7"/>
  </w:num>
  <w:num w:numId="26">
    <w:abstractNumId w:val="40"/>
  </w:num>
  <w:num w:numId="27">
    <w:abstractNumId w:val="15"/>
  </w:num>
  <w:num w:numId="28">
    <w:abstractNumId w:val="13"/>
  </w:num>
  <w:num w:numId="29">
    <w:abstractNumId w:val="2"/>
  </w:num>
  <w:num w:numId="30">
    <w:abstractNumId w:val="12"/>
  </w:num>
  <w:num w:numId="31">
    <w:abstractNumId w:val="35"/>
  </w:num>
  <w:num w:numId="32">
    <w:abstractNumId w:val="33"/>
  </w:num>
  <w:num w:numId="33">
    <w:abstractNumId w:val="10"/>
  </w:num>
  <w:num w:numId="34">
    <w:abstractNumId w:val="37"/>
  </w:num>
  <w:num w:numId="35">
    <w:abstractNumId w:val="3"/>
  </w:num>
  <w:num w:numId="36">
    <w:abstractNumId w:val="18"/>
  </w:num>
  <w:num w:numId="37">
    <w:abstractNumId w:val="26"/>
  </w:num>
  <w:num w:numId="38">
    <w:abstractNumId w:val="31"/>
  </w:num>
  <w:num w:numId="39">
    <w:abstractNumId w:val="5"/>
  </w:num>
  <w:num w:numId="40">
    <w:abstractNumId w:val="29"/>
  </w:num>
  <w:num w:numId="41">
    <w:abstractNumId w:val="16"/>
  </w:num>
  <w:num w:numId="4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zzati, Majid">
    <w15:presenceInfo w15:providerId="None" w15:userId="Ezzati, Maji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0BA8"/>
    <w:rsid w:val="0000176E"/>
    <w:rsid w:val="000020EE"/>
    <w:rsid w:val="00002325"/>
    <w:rsid w:val="00002A6D"/>
    <w:rsid w:val="00002D30"/>
    <w:rsid w:val="00003799"/>
    <w:rsid w:val="00003A27"/>
    <w:rsid w:val="00003D82"/>
    <w:rsid w:val="00003E1A"/>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6881"/>
    <w:rsid w:val="00007214"/>
    <w:rsid w:val="00007AED"/>
    <w:rsid w:val="000109A5"/>
    <w:rsid w:val="00010A7E"/>
    <w:rsid w:val="000112A5"/>
    <w:rsid w:val="00011748"/>
    <w:rsid w:val="00011D62"/>
    <w:rsid w:val="00011E57"/>
    <w:rsid w:val="000121A6"/>
    <w:rsid w:val="00012A43"/>
    <w:rsid w:val="00012A91"/>
    <w:rsid w:val="00012E7D"/>
    <w:rsid w:val="00012FB9"/>
    <w:rsid w:val="00012FE8"/>
    <w:rsid w:val="0001322E"/>
    <w:rsid w:val="000135F4"/>
    <w:rsid w:val="00013786"/>
    <w:rsid w:val="0001432A"/>
    <w:rsid w:val="00015413"/>
    <w:rsid w:val="000158DD"/>
    <w:rsid w:val="00015AFF"/>
    <w:rsid w:val="00015EAF"/>
    <w:rsid w:val="000165C3"/>
    <w:rsid w:val="00016713"/>
    <w:rsid w:val="00016834"/>
    <w:rsid w:val="00016AEE"/>
    <w:rsid w:val="0001712A"/>
    <w:rsid w:val="00017504"/>
    <w:rsid w:val="000177DB"/>
    <w:rsid w:val="00017DC5"/>
    <w:rsid w:val="000206C1"/>
    <w:rsid w:val="000210D1"/>
    <w:rsid w:val="000212F9"/>
    <w:rsid w:val="0002178B"/>
    <w:rsid w:val="00021BDE"/>
    <w:rsid w:val="0002314F"/>
    <w:rsid w:val="0002341C"/>
    <w:rsid w:val="000237D9"/>
    <w:rsid w:val="00023FB5"/>
    <w:rsid w:val="000246AA"/>
    <w:rsid w:val="00024741"/>
    <w:rsid w:val="0002481E"/>
    <w:rsid w:val="00024A7F"/>
    <w:rsid w:val="0002508A"/>
    <w:rsid w:val="000259CD"/>
    <w:rsid w:val="00025B5B"/>
    <w:rsid w:val="00025CAF"/>
    <w:rsid w:val="00025D22"/>
    <w:rsid w:val="00026134"/>
    <w:rsid w:val="00026162"/>
    <w:rsid w:val="000267C2"/>
    <w:rsid w:val="00027630"/>
    <w:rsid w:val="0002782B"/>
    <w:rsid w:val="00027C7F"/>
    <w:rsid w:val="00027DFE"/>
    <w:rsid w:val="00027F75"/>
    <w:rsid w:val="00030615"/>
    <w:rsid w:val="00030C36"/>
    <w:rsid w:val="0003125C"/>
    <w:rsid w:val="00031324"/>
    <w:rsid w:val="00031D95"/>
    <w:rsid w:val="000325EB"/>
    <w:rsid w:val="00032AA8"/>
    <w:rsid w:val="000331F8"/>
    <w:rsid w:val="0003365F"/>
    <w:rsid w:val="000337FE"/>
    <w:rsid w:val="000338D0"/>
    <w:rsid w:val="00033DDF"/>
    <w:rsid w:val="000340B4"/>
    <w:rsid w:val="0003459A"/>
    <w:rsid w:val="00034610"/>
    <w:rsid w:val="00034AA3"/>
    <w:rsid w:val="00034AC0"/>
    <w:rsid w:val="00034CBF"/>
    <w:rsid w:val="000361FB"/>
    <w:rsid w:val="0003657E"/>
    <w:rsid w:val="000372D3"/>
    <w:rsid w:val="00040054"/>
    <w:rsid w:val="00040648"/>
    <w:rsid w:val="00040A4B"/>
    <w:rsid w:val="00040D7A"/>
    <w:rsid w:val="00040FE5"/>
    <w:rsid w:val="00041754"/>
    <w:rsid w:val="00042319"/>
    <w:rsid w:val="0004250C"/>
    <w:rsid w:val="00042A68"/>
    <w:rsid w:val="00042FB2"/>
    <w:rsid w:val="0004316E"/>
    <w:rsid w:val="000433CB"/>
    <w:rsid w:val="000437FD"/>
    <w:rsid w:val="00043BC4"/>
    <w:rsid w:val="00043D68"/>
    <w:rsid w:val="00044630"/>
    <w:rsid w:val="00044D40"/>
    <w:rsid w:val="0004516A"/>
    <w:rsid w:val="00045CC4"/>
    <w:rsid w:val="00045D18"/>
    <w:rsid w:val="00046318"/>
    <w:rsid w:val="00046D2C"/>
    <w:rsid w:val="00047731"/>
    <w:rsid w:val="00047A51"/>
    <w:rsid w:val="00047AE4"/>
    <w:rsid w:val="00047AEF"/>
    <w:rsid w:val="00050593"/>
    <w:rsid w:val="00050D70"/>
    <w:rsid w:val="000512E4"/>
    <w:rsid w:val="00051433"/>
    <w:rsid w:val="0005183C"/>
    <w:rsid w:val="00051A12"/>
    <w:rsid w:val="0005321C"/>
    <w:rsid w:val="00053283"/>
    <w:rsid w:val="00054124"/>
    <w:rsid w:val="000541E2"/>
    <w:rsid w:val="000543FC"/>
    <w:rsid w:val="000545FB"/>
    <w:rsid w:val="000546DD"/>
    <w:rsid w:val="000547F5"/>
    <w:rsid w:val="00054AB7"/>
    <w:rsid w:val="00055B65"/>
    <w:rsid w:val="00056C50"/>
    <w:rsid w:val="00056C5A"/>
    <w:rsid w:val="00060181"/>
    <w:rsid w:val="0006104B"/>
    <w:rsid w:val="00061A3A"/>
    <w:rsid w:val="00061AAA"/>
    <w:rsid w:val="00061C7F"/>
    <w:rsid w:val="00061E82"/>
    <w:rsid w:val="000620CC"/>
    <w:rsid w:val="000622B4"/>
    <w:rsid w:val="000625FB"/>
    <w:rsid w:val="000632BD"/>
    <w:rsid w:val="0006346B"/>
    <w:rsid w:val="00064232"/>
    <w:rsid w:val="000646B7"/>
    <w:rsid w:val="00064EEB"/>
    <w:rsid w:val="000651A2"/>
    <w:rsid w:val="00065626"/>
    <w:rsid w:val="00065740"/>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4ADD"/>
    <w:rsid w:val="000752A7"/>
    <w:rsid w:val="00075501"/>
    <w:rsid w:val="00075CF0"/>
    <w:rsid w:val="00075E47"/>
    <w:rsid w:val="000762EC"/>
    <w:rsid w:val="0007648C"/>
    <w:rsid w:val="000765BB"/>
    <w:rsid w:val="00077731"/>
    <w:rsid w:val="00077792"/>
    <w:rsid w:val="0008120B"/>
    <w:rsid w:val="00081296"/>
    <w:rsid w:val="000818D3"/>
    <w:rsid w:val="000819BC"/>
    <w:rsid w:val="000820BA"/>
    <w:rsid w:val="000822D3"/>
    <w:rsid w:val="00082C81"/>
    <w:rsid w:val="00082F8D"/>
    <w:rsid w:val="0008315C"/>
    <w:rsid w:val="000836F6"/>
    <w:rsid w:val="00084038"/>
    <w:rsid w:val="0008437C"/>
    <w:rsid w:val="000844F7"/>
    <w:rsid w:val="0008455E"/>
    <w:rsid w:val="00084691"/>
    <w:rsid w:val="00084A1A"/>
    <w:rsid w:val="000852B4"/>
    <w:rsid w:val="00085345"/>
    <w:rsid w:val="000858BC"/>
    <w:rsid w:val="0008595D"/>
    <w:rsid w:val="00085A4E"/>
    <w:rsid w:val="00085EA8"/>
    <w:rsid w:val="0008612A"/>
    <w:rsid w:val="00086317"/>
    <w:rsid w:val="0008692A"/>
    <w:rsid w:val="00086C56"/>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415"/>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7348"/>
    <w:rsid w:val="00097418"/>
    <w:rsid w:val="00097CA5"/>
    <w:rsid w:val="00097EE3"/>
    <w:rsid w:val="000A04D1"/>
    <w:rsid w:val="000A084D"/>
    <w:rsid w:val="000A0A5E"/>
    <w:rsid w:val="000A1061"/>
    <w:rsid w:val="000A1507"/>
    <w:rsid w:val="000A1F07"/>
    <w:rsid w:val="000A2462"/>
    <w:rsid w:val="000A2637"/>
    <w:rsid w:val="000A2E51"/>
    <w:rsid w:val="000A300F"/>
    <w:rsid w:val="000A35D2"/>
    <w:rsid w:val="000A3825"/>
    <w:rsid w:val="000A38D2"/>
    <w:rsid w:val="000A476B"/>
    <w:rsid w:val="000A4BC4"/>
    <w:rsid w:val="000A5ABC"/>
    <w:rsid w:val="000A6108"/>
    <w:rsid w:val="000A6B95"/>
    <w:rsid w:val="000A6BC8"/>
    <w:rsid w:val="000A6C26"/>
    <w:rsid w:val="000A74E1"/>
    <w:rsid w:val="000A7A27"/>
    <w:rsid w:val="000B0766"/>
    <w:rsid w:val="000B0D4A"/>
    <w:rsid w:val="000B0D63"/>
    <w:rsid w:val="000B18F5"/>
    <w:rsid w:val="000B1E93"/>
    <w:rsid w:val="000B2BE8"/>
    <w:rsid w:val="000B3932"/>
    <w:rsid w:val="000B49C7"/>
    <w:rsid w:val="000B4B02"/>
    <w:rsid w:val="000B523F"/>
    <w:rsid w:val="000B57F2"/>
    <w:rsid w:val="000B5BB0"/>
    <w:rsid w:val="000B5D70"/>
    <w:rsid w:val="000B634E"/>
    <w:rsid w:val="000B6495"/>
    <w:rsid w:val="000B64B3"/>
    <w:rsid w:val="000B6722"/>
    <w:rsid w:val="000B7034"/>
    <w:rsid w:val="000B7055"/>
    <w:rsid w:val="000B73BC"/>
    <w:rsid w:val="000B7625"/>
    <w:rsid w:val="000B788B"/>
    <w:rsid w:val="000B79E0"/>
    <w:rsid w:val="000B7A12"/>
    <w:rsid w:val="000B7F6A"/>
    <w:rsid w:val="000C07D3"/>
    <w:rsid w:val="000C0FBF"/>
    <w:rsid w:val="000C1B4E"/>
    <w:rsid w:val="000C236F"/>
    <w:rsid w:val="000C36FE"/>
    <w:rsid w:val="000C3A59"/>
    <w:rsid w:val="000C3C3E"/>
    <w:rsid w:val="000C3F6D"/>
    <w:rsid w:val="000C4B52"/>
    <w:rsid w:val="000C6122"/>
    <w:rsid w:val="000C6485"/>
    <w:rsid w:val="000C6935"/>
    <w:rsid w:val="000C6B28"/>
    <w:rsid w:val="000C7277"/>
    <w:rsid w:val="000C7603"/>
    <w:rsid w:val="000C76E6"/>
    <w:rsid w:val="000C791A"/>
    <w:rsid w:val="000C79CE"/>
    <w:rsid w:val="000C7E66"/>
    <w:rsid w:val="000C7F6C"/>
    <w:rsid w:val="000D0F3F"/>
    <w:rsid w:val="000D10D8"/>
    <w:rsid w:val="000D1253"/>
    <w:rsid w:val="000D1670"/>
    <w:rsid w:val="000D2919"/>
    <w:rsid w:val="000D2AE0"/>
    <w:rsid w:val="000D2D7D"/>
    <w:rsid w:val="000D3380"/>
    <w:rsid w:val="000D3A56"/>
    <w:rsid w:val="000D4116"/>
    <w:rsid w:val="000D4E37"/>
    <w:rsid w:val="000D502F"/>
    <w:rsid w:val="000D5741"/>
    <w:rsid w:val="000D5E5E"/>
    <w:rsid w:val="000D6273"/>
    <w:rsid w:val="000D7491"/>
    <w:rsid w:val="000D7718"/>
    <w:rsid w:val="000D7BB0"/>
    <w:rsid w:val="000E05B0"/>
    <w:rsid w:val="000E0A8A"/>
    <w:rsid w:val="000E0B58"/>
    <w:rsid w:val="000E0B8D"/>
    <w:rsid w:val="000E1812"/>
    <w:rsid w:val="000E1DDA"/>
    <w:rsid w:val="000E2C6C"/>
    <w:rsid w:val="000E2FBB"/>
    <w:rsid w:val="000E4726"/>
    <w:rsid w:val="000E48D7"/>
    <w:rsid w:val="000E49E0"/>
    <w:rsid w:val="000E4CA9"/>
    <w:rsid w:val="000E5837"/>
    <w:rsid w:val="000E60FC"/>
    <w:rsid w:val="000E6236"/>
    <w:rsid w:val="000F0627"/>
    <w:rsid w:val="000F0913"/>
    <w:rsid w:val="000F09F9"/>
    <w:rsid w:val="000F0A11"/>
    <w:rsid w:val="000F0A29"/>
    <w:rsid w:val="000F0C79"/>
    <w:rsid w:val="000F1035"/>
    <w:rsid w:val="000F12C0"/>
    <w:rsid w:val="000F1400"/>
    <w:rsid w:val="000F1DF7"/>
    <w:rsid w:val="000F3189"/>
    <w:rsid w:val="000F3360"/>
    <w:rsid w:val="000F3D7A"/>
    <w:rsid w:val="000F4320"/>
    <w:rsid w:val="000F44C0"/>
    <w:rsid w:val="000F4774"/>
    <w:rsid w:val="000F4786"/>
    <w:rsid w:val="000F48BC"/>
    <w:rsid w:val="000F4F23"/>
    <w:rsid w:val="000F503A"/>
    <w:rsid w:val="000F58BA"/>
    <w:rsid w:val="000F5DC3"/>
    <w:rsid w:val="000F6677"/>
    <w:rsid w:val="000F78E0"/>
    <w:rsid w:val="000F7914"/>
    <w:rsid w:val="000F7D14"/>
    <w:rsid w:val="000F7F32"/>
    <w:rsid w:val="00100327"/>
    <w:rsid w:val="00100FF8"/>
    <w:rsid w:val="00101AA5"/>
    <w:rsid w:val="00101AAE"/>
    <w:rsid w:val="00101D5D"/>
    <w:rsid w:val="00101FC5"/>
    <w:rsid w:val="00102040"/>
    <w:rsid w:val="00102468"/>
    <w:rsid w:val="00102EE5"/>
    <w:rsid w:val="00103979"/>
    <w:rsid w:val="00103ED5"/>
    <w:rsid w:val="0010422E"/>
    <w:rsid w:val="00104231"/>
    <w:rsid w:val="0010440D"/>
    <w:rsid w:val="001046FA"/>
    <w:rsid w:val="001047DC"/>
    <w:rsid w:val="00104B66"/>
    <w:rsid w:val="00105420"/>
    <w:rsid w:val="00105569"/>
    <w:rsid w:val="00105708"/>
    <w:rsid w:val="00105731"/>
    <w:rsid w:val="0010581C"/>
    <w:rsid w:val="001063E9"/>
    <w:rsid w:val="0010644A"/>
    <w:rsid w:val="00107C70"/>
    <w:rsid w:val="00107E64"/>
    <w:rsid w:val="00110568"/>
    <w:rsid w:val="0011057A"/>
    <w:rsid w:val="0011072B"/>
    <w:rsid w:val="00111170"/>
    <w:rsid w:val="00111694"/>
    <w:rsid w:val="00111FB4"/>
    <w:rsid w:val="00112077"/>
    <w:rsid w:val="00112085"/>
    <w:rsid w:val="001121F5"/>
    <w:rsid w:val="00112CB4"/>
    <w:rsid w:val="00112F7C"/>
    <w:rsid w:val="00113023"/>
    <w:rsid w:val="00113449"/>
    <w:rsid w:val="00113A4A"/>
    <w:rsid w:val="00113FD5"/>
    <w:rsid w:val="00114168"/>
    <w:rsid w:val="00114679"/>
    <w:rsid w:val="0011539D"/>
    <w:rsid w:val="00115798"/>
    <w:rsid w:val="00115F35"/>
    <w:rsid w:val="0011649A"/>
    <w:rsid w:val="001167CB"/>
    <w:rsid w:val="001171AC"/>
    <w:rsid w:val="001174F6"/>
    <w:rsid w:val="0012007D"/>
    <w:rsid w:val="00120C95"/>
    <w:rsid w:val="00120F44"/>
    <w:rsid w:val="00121B99"/>
    <w:rsid w:val="00121BBC"/>
    <w:rsid w:val="00122769"/>
    <w:rsid w:val="00123742"/>
    <w:rsid w:val="00123D04"/>
    <w:rsid w:val="001242F1"/>
    <w:rsid w:val="001243CC"/>
    <w:rsid w:val="00124496"/>
    <w:rsid w:val="00124537"/>
    <w:rsid w:val="001245A8"/>
    <w:rsid w:val="00124625"/>
    <w:rsid w:val="00124A53"/>
    <w:rsid w:val="00124F13"/>
    <w:rsid w:val="00125C9A"/>
    <w:rsid w:val="001266B6"/>
    <w:rsid w:val="00126D4A"/>
    <w:rsid w:val="00126D97"/>
    <w:rsid w:val="00126FD8"/>
    <w:rsid w:val="00127240"/>
    <w:rsid w:val="001273E2"/>
    <w:rsid w:val="001273EA"/>
    <w:rsid w:val="0012798D"/>
    <w:rsid w:val="001279A6"/>
    <w:rsid w:val="00130219"/>
    <w:rsid w:val="00130B5C"/>
    <w:rsid w:val="00130C47"/>
    <w:rsid w:val="00130EA5"/>
    <w:rsid w:val="00130F9A"/>
    <w:rsid w:val="00131404"/>
    <w:rsid w:val="00131442"/>
    <w:rsid w:val="001316E3"/>
    <w:rsid w:val="0013173C"/>
    <w:rsid w:val="001318A2"/>
    <w:rsid w:val="00131AC1"/>
    <w:rsid w:val="00131AE8"/>
    <w:rsid w:val="00132244"/>
    <w:rsid w:val="00132C6C"/>
    <w:rsid w:val="0013308F"/>
    <w:rsid w:val="00133794"/>
    <w:rsid w:val="001343C0"/>
    <w:rsid w:val="00134480"/>
    <w:rsid w:val="001346DB"/>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42E"/>
    <w:rsid w:val="001455E1"/>
    <w:rsid w:val="00145784"/>
    <w:rsid w:val="001458AD"/>
    <w:rsid w:val="00145C89"/>
    <w:rsid w:val="00145E04"/>
    <w:rsid w:val="00145FEB"/>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D23"/>
    <w:rsid w:val="00157D5D"/>
    <w:rsid w:val="001601B6"/>
    <w:rsid w:val="0016077E"/>
    <w:rsid w:val="00160AE2"/>
    <w:rsid w:val="00160CE4"/>
    <w:rsid w:val="00161E98"/>
    <w:rsid w:val="00162988"/>
    <w:rsid w:val="00162E5D"/>
    <w:rsid w:val="00162F13"/>
    <w:rsid w:val="00162F6E"/>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33B2"/>
    <w:rsid w:val="00173459"/>
    <w:rsid w:val="001734E9"/>
    <w:rsid w:val="00173BA7"/>
    <w:rsid w:val="00174A83"/>
    <w:rsid w:val="00174BA9"/>
    <w:rsid w:val="00174CBB"/>
    <w:rsid w:val="00174FAE"/>
    <w:rsid w:val="0017501B"/>
    <w:rsid w:val="001754B1"/>
    <w:rsid w:val="00176529"/>
    <w:rsid w:val="001766E3"/>
    <w:rsid w:val="00176845"/>
    <w:rsid w:val="0017687E"/>
    <w:rsid w:val="00176D12"/>
    <w:rsid w:val="00177445"/>
    <w:rsid w:val="0017784F"/>
    <w:rsid w:val="001778D4"/>
    <w:rsid w:val="001800DA"/>
    <w:rsid w:val="001805FD"/>
    <w:rsid w:val="00180791"/>
    <w:rsid w:val="00180945"/>
    <w:rsid w:val="001810A3"/>
    <w:rsid w:val="0018114C"/>
    <w:rsid w:val="00181812"/>
    <w:rsid w:val="0018191A"/>
    <w:rsid w:val="00181C14"/>
    <w:rsid w:val="00181D58"/>
    <w:rsid w:val="00182207"/>
    <w:rsid w:val="00182817"/>
    <w:rsid w:val="0018293F"/>
    <w:rsid w:val="00182A4C"/>
    <w:rsid w:val="00182B08"/>
    <w:rsid w:val="00182DA9"/>
    <w:rsid w:val="00183067"/>
    <w:rsid w:val="0018328F"/>
    <w:rsid w:val="00183545"/>
    <w:rsid w:val="00183687"/>
    <w:rsid w:val="001838FD"/>
    <w:rsid w:val="00183A81"/>
    <w:rsid w:val="00184DF3"/>
    <w:rsid w:val="00185708"/>
    <w:rsid w:val="00185879"/>
    <w:rsid w:val="001864B8"/>
    <w:rsid w:val="001876DA"/>
    <w:rsid w:val="00187D66"/>
    <w:rsid w:val="00190108"/>
    <w:rsid w:val="00190701"/>
    <w:rsid w:val="00190B92"/>
    <w:rsid w:val="001910F8"/>
    <w:rsid w:val="001913FC"/>
    <w:rsid w:val="0019142A"/>
    <w:rsid w:val="00191434"/>
    <w:rsid w:val="001917D5"/>
    <w:rsid w:val="001918BF"/>
    <w:rsid w:val="00191AAE"/>
    <w:rsid w:val="00192959"/>
    <w:rsid w:val="001932B0"/>
    <w:rsid w:val="00194696"/>
    <w:rsid w:val="00194A92"/>
    <w:rsid w:val="00194BC7"/>
    <w:rsid w:val="00195693"/>
    <w:rsid w:val="001956B1"/>
    <w:rsid w:val="0019572E"/>
    <w:rsid w:val="0019644B"/>
    <w:rsid w:val="001966DF"/>
    <w:rsid w:val="00196C0B"/>
    <w:rsid w:val="00196C4A"/>
    <w:rsid w:val="00196C5E"/>
    <w:rsid w:val="00196CB5"/>
    <w:rsid w:val="00196E66"/>
    <w:rsid w:val="00197053"/>
    <w:rsid w:val="0019766E"/>
    <w:rsid w:val="001A03A0"/>
    <w:rsid w:val="001A0466"/>
    <w:rsid w:val="001A19F2"/>
    <w:rsid w:val="001A1BDF"/>
    <w:rsid w:val="001A1F00"/>
    <w:rsid w:val="001A229A"/>
    <w:rsid w:val="001A251A"/>
    <w:rsid w:val="001A2BB2"/>
    <w:rsid w:val="001A330C"/>
    <w:rsid w:val="001A333D"/>
    <w:rsid w:val="001A3531"/>
    <w:rsid w:val="001A3594"/>
    <w:rsid w:val="001A3870"/>
    <w:rsid w:val="001A3A57"/>
    <w:rsid w:val="001A3B0A"/>
    <w:rsid w:val="001A4AD3"/>
    <w:rsid w:val="001A4B51"/>
    <w:rsid w:val="001A4BDC"/>
    <w:rsid w:val="001A4E61"/>
    <w:rsid w:val="001A505D"/>
    <w:rsid w:val="001A545E"/>
    <w:rsid w:val="001A59CB"/>
    <w:rsid w:val="001A5AD8"/>
    <w:rsid w:val="001A6DAE"/>
    <w:rsid w:val="001A6EA2"/>
    <w:rsid w:val="001A74D3"/>
    <w:rsid w:val="001A7900"/>
    <w:rsid w:val="001A7E97"/>
    <w:rsid w:val="001A7F70"/>
    <w:rsid w:val="001B0060"/>
    <w:rsid w:val="001B07C8"/>
    <w:rsid w:val="001B0FEB"/>
    <w:rsid w:val="001B1614"/>
    <w:rsid w:val="001B1822"/>
    <w:rsid w:val="001B1940"/>
    <w:rsid w:val="001B1DDB"/>
    <w:rsid w:val="001B1E8A"/>
    <w:rsid w:val="001B225E"/>
    <w:rsid w:val="001B23D1"/>
    <w:rsid w:val="001B246F"/>
    <w:rsid w:val="001B25A0"/>
    <w:rsid w:val="001B2BE0"/>
    <w:rsid w:val="001B30F8"/>
    <w:rsid w:val="001B3143"/>
    <w:rsid w:val="001B31F4"/>
    <w:rsid w:val="001B365D"/>
    <w:rsid w:val="001B4116"/>
    <w:rsid w:val="001B41BA"/>
    <w:rsid w:val="001B46BA"/>
    <w:rsid w:val="001B4AE9"/>
    <w:rsid w:val="001B50DF"/>
    <w:rsid w:val="001B5646"/>
    <w:rsid w:val="001B5D4C"/>
    <w:rsid w:val="001B6834"/>
    <w:rsid w:val="001B68C3"/>
    <w:rsid w:val="001B713E"/>
    <w:rsid w:val="001B7484"/>
    <w:rsid w:val="001B7D9F"/>
    <w:rsid w:val="001B7FB3"/>
    <w:rsid w:val="001C1104"/>
    <w:rsid w:val="001C157D"/>
    <w:rsid w:val="001C1730"/>
    <w:rsid w:val="001C1CBB"/>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0D3"/>
    <w:rsid w:val="001C613C"/>
    <w:rsid w:val="001C61A2"/>
    <w:rsid w:val="001C658C"/>
    <w:rsid w:val="001C7625"/>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44A"/>
    <w:rsid w:val="001D450B"/>
    <w:rsid w:val="001D5083"/>
    <w:rsid w:val="001D52C0"/>
    <w:rsid w:val="001D54A6"/>
    <w:rsid w:val="001D5684"/>
    <w:rsid w:val="001D5774"/>
    <w:rsid w:val="001D57D9"/>
    <w:rsid w:val="001D5918"/>
    <w:rsid w:val="001D6E21"/>
    <w:rsid w:val="001D7814"/>
    <w:rsid w:val="001D78E4"/>
    <w:rsid w:val="001D78FC"/>
    <w:rsid w:val="001D7BA9"/>
    <w:rsid w:val="001E00BF"/>
    <w:rsid w:val="001E0F3E"/>
    <w:rsid w:val="001E0F71"/>
    <w:rsid w:val="001E0FAC"/>
    <w:rsid w:val="001E107B"/>
    <w:rsid w:val="001E1299"/>
    <w:rsid w:val="001E184E"/>
    <w:rsid w:val="001E1FE9"/>
    <w:rsid w:val="001E2000"/>
    <w:rsid w:val="001E298C"/>
    <w:rsid w:val="001E2DDB"/>
    <w:rsid w:val="001E3C37"/>
    <w:rsid w:val="001E4B98"/>
    <w:rsid w:val="001E5C03"/>
    <w:rsid w:val="001E5CD7"/>
    <w:rsid w:val="001E611A"/>
    <w:rsid w:val="001E6476"/>
    <w:rsid w:val="001E67E6"/>
    <w:rsid w:val="001E69E1"/>
    <w:rsid w:val="001E6FA9"/>
    <w:rsid w:val="001E738D"/>
    <w:rsid w:val="001E73A0"/>
    <w:rsid w:val="001E7732"/>
    <w:rsid w:val="001F0274"/>
    <w:rsid w:val="001F07A4"/>
    <w:rsid w:val="001F0FFF"/>
    <w:rsid w:val="001F1A3D"/>
    <w:rsid w:val="001F27B7"/>
    <w:rsid w:val="001F2807"/>
    <w:rsid w:val="001F2938"/>
    <w:rsid w:val="001F2E3D"/>
    <w:rsid w:val="001F317F"/>
    <w:rsid w:val="001F34DC"/>
    <w:rsid w:val="001F35C5"/>
    <w:rsid w:val="001F3665"/>
    <w:rsid w:val="001F37C4"/>
    <w:rsid w:val="001F4153"/>
    <w:rsid w:val="001F45F1"/>
    <w:rsid w:val="001F475B"/>
    <w:rsid w:val="001F5256"/>
    <w:rsid w:val="001F5749"/>
    <w:rsid w:val="001F5A2E"/>
    <w:rsid w:val="001F5BBA"/>
    <w:rsid w:val="001F5F51"/>
    <w:rsid w:val="001F6E49"/>
    <w:rsid w:val="001F704E"/>
    <w:rsid w:val="001F706F"/>
    <w:rsid w:val="001F7DDE"/>
    <w:rsid w:val="002001DE"/>
    <w:rsid w:val="0020052F"/>
    <w:rsid w:val="00201066"/>
    <w:rsid w:val="002016BA"/>
    <w:rsid w:val="0020227E"/>
    <w:rsid w:val="00202290"/>
    <w:rsid w:val="002025F8"/>
    <w:rsid w:val="00203599"/>
    <w:rsid w:val="0020366C"/>
    <w:rsid w:val="002043AB"/>
    <w:rsid w:val="0020482E"/>
    <w:rsid w:val="0020498A"/>
    <w:rsid w:val="00204A05"/>
    <w:rsid w:val="0020532C"/>
    <w:rsid w:val="00205A33"/>
    <w:rsid w:val="00205AEF"/>
    <w:rsid w:val="002061EF"/>
    <w:rsid w:val="00206446"/>
    <w:rsid w:val="00206A3E"/>
    <w:rsid w:val="00206EE5"/>
    <w:rsid w:val="00207A73"/>
    <w:rsid w:val="00207B14"/>
    <w:rsid w:val="00207B39"/>
    <w:rsid w:val="00207F3E"/>
    <w:rsid w:val="00210B7A"/>
    <w:rsid w:val="002115CD"/>
    <w:rsid w:val="00211D61"/>
    <w:rsid w:val="00212288"/>
    <w:rsid w:val="002126B3"/>
    <w:rsid w:val="0021306D"/>
    <w:rsid w:val="002136E5"/>
    <w:rsid w:val="00213A9C"/>
    <w:rsid w:val="00214A5D"/>
    <w:rsid w:val="00215948"/>
    <w:rsid w:val="0021595E"/>
    <w:rsid w:val="00215D5C"/>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4B4C"/>
    <w:rsid w:val="00225657"/>
    <w:rsid w:val="00225DE3"/>
    <w:rsid w:val="00226B11"/>
    <w:rsid w:val="00226EB9"/>
    <w:rsid w:val="0022709B"/>
    <w:rsid w:val="0022720E"/>
    <w:rsid w:val="002273FA"/>
    <w:rsid w:val="00227BD9"/>
    <w:rsid w:val="00227D5B"/>
    <w:rsid w:val="00227ED6"/>
    <w:rsid w:val="0023102E"/>
    <w:rsid w:val="0023186E"/>
    <w:rsid w:val="002322ED"/>
    <w:rsid w:val="00232690"/>
    <w:rsid w:val="00232B2A"/>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7A6"/>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E2C"/>
    <w:rsid w:val="002452E3"/>
    <w:rsid w:val="00245536"/>
    <w:rsid w:val="0024593C"/>
    <w:rsid w:val="00245E1D"/>
    <w:rsid w:val="00246B2D"/>
    <w:rsid w:val="00246D4F"/>
    <w:rsid w:val="0025016C"/>
    <w:rsid w:val="00250629"/>
    <w:rsid w:val="00250C33"/>
    <w:rsid w:val="00250D24"/>
    <w:rsid w:val="00251C2E"/>
    <w:rsid w:val="00252185"/>
    <w:rsid w:val="002522D1"/>
    <w:rsid w:val="00252CB9"/>
    <w:rsid w:val="00252D7A"/>
    <w:rsid w:val="0025351B"/>
    <w:rsid w:val="00253786"/>
    <w:rsid w:val="00253A6F"/>
    <w:rsid w:val="00253E17"/>
    <w:rsid w:val="002541F6"/>
    <w:rsid w:val="00254542"/>
    <w:rsid w:val="002545CA"/>
    <w:rsid w:val="002545FD"/>
    <w:rsid w:val="00254AB4"/>
    <w:rsid w:val="00254B2A"/>
    <w:rsid w:val="00254BA8"/>
    <w:rsid w:val="00255125"/>
    <w:rsid w:val="002554A9"/>
    <w:rsid w:val="002554C0"/>
    <w:rsid w:val="00255C69"/>
    <w:rsid w:val="0025677F"/>
    <w:rsid w:val="0025682D"/>
    <w:rsid w:val="0025712E"/>
    <w:rsid w:val="002574B3"/>
    <w:rsid w:val="0025762D"/>
    <w:rsid w:val="00257B8E"/>
    <w:rsid w:val="0026033D"/>
    <w:rsid w:val="0026048D"/>
    <w:rsid w:val="002605CA"/>
    <w:rsid w:val="00260B02"/>
    <w:rsid w:val="00261076"/>
    <w:rsid w:val="002611BE"/>
    <w:rsid w:val="00261309"/>
    <w:rsid w:val="00261DB5"/>
    <w:rsid w:val="0026224F"/>
    <w:rsid w:val="00262BC5"/>
    <w:rsid w:val="00262DB3"/>
    <w:rsid w:val="00263DC1"/>
    <w:rsid w:val="00263F7E"/>
    <w:rsid w:val="00264EA2"/>
    <w:rsid w:val="00264EE8"/>
    <w:rsid w:val="00266372"/>
    <w:rsid w:val="002667D3"/>
    <w:rsid w:val="00266DF3"/>
    <w:rsid w:val="00266F8F"/>
    <w:rsid w:val="002673A2"/>
    <w:rsid w:val="0026791B"/>
    <w:rsid w:val="00267A9F"/>
    <w:rsid w:val="00267F5F"/>
    <w:rsid w:val="002713DB"/>
    <w:rsid w:val="002714B7"/>
    <w:rsid w:val="002717A8"/>
    <w:rsid w:val="00271EB4"/>
    <w:rsid w:val="0027231F"/>
    <w:rsid w:val="002727F2"/>
    <w:rsid w:val="00273273"/>
    <w:rsid w:val="002733F3"/>
    <w:rsid w:val="0027356F"/>
    <w:rsid w:val="002736F5"/>
    <w:rsid w:val="00273B5F"/>
    <w:rsid w:val="00273F2D"/>
    <w:rsid w:val="00273FC0"/>
    <w:rsid w:val="00274EF2"/>
    <w:rsid w:val="00274FC3"/>
    <w:rsid w:val="00275019"/>
    <w:rsid w:val="002754D2"/>
    <w:rsid w:val="0027551A"/>
    <w:rsid w:val="00277143"/>
    <w:rsid w:val="002773C7"/>
    <w:rsid w:val="002776B8"/>
    <w:rsid w:val="00280E5B"/>
    <w:rsid w:val="00281454"/>
    <w:rsid w:val="00281F9B"/>
    <w:rsid w:val="002820E0"/>
    <w:rsid w:val="00282769"/>
    <w:rsid w:val="00283387"/>
    <w:rsid w:val="002833DC"/>
    <w:rsid w:val="002836E4"/>
    <w:rsid w:val="0028373A"/>
    <w:rsid w:val="00283A0D"/>
    <w:rsid w:val="00283C48"/>
    <w:rsid w:val="00283E06"/>
    <w:rsid w:val="00283E4B"/>
    <w:rsid w:val="00283F75"/>
    <w:rsid w:val="0028476C"/>
    <w:rsid w:val="00284B4C"/>
    <w:rsid w:val="00284C2E"/>
    <w:rsid w:val="00284EE0"/>
    <w:rsid w:val="0028518E"/>
    <w:rsid w:val="002855D6"/>
    <w:rsid w:val="00285724"/>
    <w:rsid w:val="00285791"/>
    <w:rsid w:val="00285A1A"/>
    <w:rsid w:val="00285D75"/>
    <w:rsid w:val="0028623A"/>
    <w:rsid w:val="00287584"/>
    <w:rsid w:val="002905BB"/>
    <w:rsid w:val="0029087D"/>
    <w:rsid w:val="00290E98"/>
    <w:rsid w:val="002920F8"/>
    <w:rsid w:val="00292A75"/>
    <w:rsid w:val="00292DF8"/>
    <w:rsid w:val="002932B0"/>
    <w:rsid w:val="0029420D"/>
    <w:rsid w:val="00294C1D"/>
    <w:rsid w:val="002953F0"/>
    <w:rsid w:val="00295451"/>
    <w:rsid w:val="00295725"/>
    <w:rsid w:val="00295CE8"/>
    <w:rsid w:val="002961A7"/>
    <w:rsid w:val="002964A1"/>
    <w:rsid w:val="00296824"/>
    <w:rsid w:val="00296A5E"/>
    <w:rsid w:val="002970B8"/>
    <w:rsid w:val="0029781C"/>
    <w:rsid w:val="00297C0C"/>
    <w:rsid w:val="002A0C66"/>
    <w:rsid w:val="002A0CC7"/>
    <w:rsid w:val="002A0D68"/>
    <w:rsid w:val="002A17EC"/>
    <w:rsid w:val="002A1857"/>
    <w:rsid w:val="002A2B91"/>
    <w:rsid w:val="002A2B94"/>
    <w:rsid w:val="002A2DCD"/>
    <w:rsid w:val="002A2FF6"/>
    <w:rsid w:val="002A324D"/>
    <w:rsid w:val="002A4118"/>
    <w:rsid w:val="002A4346"/>
    <w:rsid w:val="002A45D1"/>
    <w:rsid w:val="002A4697"/>
    <w:rsid w:val="002A4698"/>
    <w:rsid w:val="002A4CEA"/>
    <w:rsid w:val="002A4CEB"/>
    <w:rsid w:val="002A4FB3"/>
    <w:rsid w:val="002A5534"/>
    <w:rsid w:val="002A58AD"/>
    <w:rsid w:val="002A58D9"/>
    <w:rsid w:val="002A60A8"/>
    <w:rsid w:val="002A658E"/>
    <w:rsid w:val="002A6760"/>
    <w:rsid w:val="002A6F3F"/>
    <w:rsid w:val="002A7720"/>
    <w:rsid w:val="002A772A"/>
    <w:rsid w:val="002B087E"/>
    <w:rsid w:val="002B0B58"/>
    <w:rsid w:val="002B131A"/>
    <w:rsid w:val="002B13CE"/>
    <w:rsid w:val="002B13F7"/>
    <w:rsid w:val="002B18D8"/>
    <w:rsid w:val="002B1B6F"/>
    <w:rsid w:val="002B2162"/>
    <w:rsid w:val="002B2935"/>
    <w:rsid w:val="002B2E37"/>
    <w:rsid w:val="002B356C"/>
    <w:rsid w:val="002B3A4F"/>
    <w:rsid w:val="002B40EE"/>
    <w:rsid w:val="002B42BF"/>
    <w:rsid w:val="002B5115"/>
    <w:rsid w:val="002B526B"/>
    <w:rsid w:val="002B5412"/>
    <w:rsid w:val="002B5DCD"/>
    <w:rsid w:val="002B5DDD"/>
    <w:rsid w:val="002B6BF0"/>
    <w:rsid w:val="002B782C"/>
    <w:rsid w:val="002B7879"/>
    <w:rsid w:val="002B7F08"/>
    <w:rsid w:val="002C05EF"/>
    <w:rsid w:val="002C0680"/>
    <w:rsid w:val="002C0846"/>
    <w:rsid w:val="002C0F61"/>
    <w:rsid w:val="002C14CB"/>
    <w:rsid w:val="002C1B2B"/>
    <w:rsid w:val="002C1B3A"/>
    <w:rsid w:val="002C1DC8"/>
    <w:rsid w:val="002C2541"/>
    <w:rsid w:val="002C2980"/>
    <w:rsid w:val="002C2D96"/>
    <w:rsid w:val="002C2F74"/>
    <w:rsid w:val="002C30DF"/>
    <w:rsid w:val="002C3C82"/>
    <w:rsid w:val="002C4371"/>
    <w:rsid w:val="002C47B4"/>
    <w:rsid w:val="002C4C73"/>
    <w:rsid w:val="002C5135"/>
    <w:rsid w:val="002C5217"/>
    <w:rsid w:val="002C53DA"/>
    <w:rsid w:val="002C5765"/>
    <w:rsid w:val="002C5957"/>
    <w:rsid w:val="002C5BFE"/>
    <w:rsid w:val="002C5C32"/>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66A"/>
    <w:rsid w:val="002D2A7C"/>
    <w:rsid w:val="002D30B2"/>
    <w:rsid w:val="002D3368"/>
    <w:rsid w:val="002D35A5"/>
    <w:rsid w:val="002D45B8"/>
    <w:rsid w:val="002D4EED"/>
    <w:rsid w:val="002D52AB"/>
    <w:rsid w:val="002D5342"/>
    <w:rsid w:val="002D6C2C"/>
    <w:rsid w:val="002D6DF8"/>
    <w:rsid w:val="002D7A6E"/>
    <w:rsid w:val="002D7AC2"/>
    <w:rsid w:val="002E0010"/>
    <w:rsid w:val="002E00BC"/>
    <w:rsid w:val="002E0397"/>
    <w:rsid w:val="002E0FBB"/>
    <w:rsid w:val="002E22C2"/>
    <w:rsid w:val="002E2D77"/>
    <w:rsid w:val="002E33EC"/>
    <w:rsid w:val="002E3961"/>
    <w:rsid w:val="002E3E5D"/>
    <w:rsid w:val="002E3F81"/>
    <w:rsid w:val="002E44F0"/>
    <w:rsid w:val="002E4C60"/>
    <w:rsid w:val="002E4CDE"/>
    <w:rsid w:val="002E4DE2"/>
    <w:rsid w:val="002E4FAE"/>
    <w:rsid w:val="002E5598"/>
    <w:rsid w:val="002E5E3A"/>
    <w:rsid w:val="002E606D"/>
    <w:rsid w:val="002E680F"/>
    <w:rsid w:val="002E6923"/>
    <w:rsid w:val="002E6D98"/>
    <w:rsid w:val="002E7630"/>
    <w:rsid w:val="002E7B1F"/>
    <w:rsid w:val="002E7D09"/>
    <w:rsid w:val="002E7DC5"/>
    <w:rsid w:val="002F0552"/>
    <w:rsid w:val="002F11FA"/>
    <w:rsid w:val="002F14D2"/>
    <w:rsid w:val="002F1F61"/>
    <w:rsid w:val="002F2478"/>
    <w:rsid w:val="002F2B80"/>
    <w:rsid w:val="002F39C9"/>
    <w:rsid w:val="002F3C7D"/>
    <w:rsid w:val="002F3DCF"/>
    <w:rsid w:val="002F3F11"/>
    <w:rsid w:val="002F3F68"/>
    <w:rsid w:val="002F4658"/>
    <w:rsid w:val="002F46C7"/>
    <w:rsid w:val="002F473F"/>
    <w:rsid w:val="002F47DF"/>
    <w:rsid w:val="002F49F5"/>
    <w:rsid w:val="002F4A6E"/>
    <w:rsid w:val="002F4DC5"/>
    <w:rsid w:val="002F512B"/>
    <w:rsid w:val="002F51E4"/>
    <w:rsid w:val="002F5785"/>
    <w:rsid w:val="002F5B38"/>
    <w:rsid w:val="002F5FDB"/>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7F3"/>
    <w:rsid w:val="00301884"/>
    <w:rsid w:val="003018AC"/>
    <w:rsid w:val="0030195D"/>
    <w:rsid w:val="003030BF"/>
    <w:rsid w:val="00303180"/>
    <w:rsid w:val="003037F3"/>
    <w:rsid w:val="00304262"/>
    <w:rsid w:val="00304EF0"/>
    <w:rsid w:val="00305856"/>
    <w:rsid w:val="0030587D"/>
    <w:rsid w:val="00305913"/>
    <w:rsid w:val="00306427"/>
    <w:rsid w:val="00306667"/>
    <w:rsid w:val="00306685"/>
    <w:rsid w:val="00306763"/>
    <w:rsid w:val="003075B4"/>
    <w:rsid w:val="00310799"/>
    <w:rsid w:val="003108C5"/>
    <w:rsid w:val="00310C65"/>
    <w:rsid w:val="00310DD5"/>
    <w:rsid w:val="00310F46"/>
    <w:rsid w:val="003116E1"/>
    <w:rsid w:val="00312743"/>
    <w:rsid w:val="0031275F"/>
    <w:rsid w:val="00312E9A"/>
    <w:rsid w:val="003141A2"/>
    <w:rsid w:val="0031463F"/>
    <w:rsid w:val="0031466B"/>
    <w:rsid w:val="00314D1C"/>
    <w:rsid w:val="00315DE8"/>
    <w:rsid w:val="00315F85"/>
    <w:rsid w:val="0031601F"/>
    <w:rsid w:val="003161F2"/>
    <w:rsid w:val="003165B1"/>
    <w:rsid w:val="00316A4C"/>
    <w:rsid w:val="00317024"/>
    <w:rsid w:val="003171DD"/>
    <w:rsid w:val="00317407"/>
    <w:rsid w:val="00317B47"/>
    <w:rsid w:val="00317BE3"/>
    <w:rsid w:val="00320071"/>
    <w:rsid w:val="00320852"/>
    <w:rsid w:val="00321373"/>
    <w:rsid w:val="00321590"/>
    <w:rsid w:val="00321DA9"/>
    <w:rsid w:val="003223C9"/>
    <w:rsid w:val="0032273D"/>
    <w:rsid w:val="00322794"/>
    <w:rsid w:val="00322B2B"/>
    <w:rsid w:val="003230DF"/>
    <w:rsid w:val="003231BD"/>
    <w:rsid w:val="0032398D"/>
    <w:rsid w:val="003239BA"/>
    <w:rsid w:val="003257CC"/>
    <w:rsid w:val="003257F8"/>
    <w:rsid w:val="00325C23"/>
    <w:rsid w:val="00326762"/>
    <w:rsid w:val="003271C5"/>
    <w:rsid w:val="0032729C"/>
    <w:rsid w:val="0032795E"/>
    <w:rsid w:val="00327BC0"/>
    <w:rsid w:val="00327C97"/>
    <w:rsid w:val="003301C2"/>
    <w:rsid w:val="00331168"/>
    <w:rsid w:val="00332383"/>
    <w:rsid w:val="0033298B"/>
    <w:rsid w:val="00332A19"/>
    <w:rsid w:val="0033305F"/>
    <w:rsid w:val="00333399"/>
    <w:rsid w:val="0033375D"/>
    <w:rsid w:val="00333C0D"/>
    <w:rsid w:val="00333C82"/>
    <w:rsid w:val="003340AF"/>
    <w:rsid w:val="00334A02"/>
    <w:rsid w:val="00334A3C"/>
    <w:rsid w:val="00334AAB"/>
    <w:rsid w:val="00334F2A"/>
    <w:rsid w:val="003358F6"/>
    <w:rsid w:val="00335B57"/>
    <w:rsid w:val="00336B3C"/>
    <w:rsid w:val="00336CBD"/>
    <w:rsid w:val="0033719F"/>
    <w:rsid w:val="00340233"/>
    <w:rsid w:val="00340674"/>
    <w:rsid w:val="0034097B"/>
    <w:rsid w:val="00341CF6"/>
    <w:rsid w:val="003430C3"/>
    <w:rsid w:val="00343DCB"/>
    <w:rsid w:val="00343EBC"/>
    <w:rsid w:val="00344B7D"/>
    <w:rsid w:val="00344FDB"/>
    <w:rsid w:val="003453C6"/>
    <w:rsid w:val="003455BF"/>
    <w:rsid w:val="00345A02"/>
    <w:rsid w:val="00345B92"/>
    <w:rsid w:val="003462A6"/>
    <w:rsid w:val="003464A7"/>
    <w:rsid w:val="003467F3"/>
    <w:rsid w:val="00346C48"/>
    <w:rsid w:val="00347A19"/>
    <w:rsid w:val="00347B7D"/>
    <w:rsid w:val="00347C53"/>
    <w:rsid w:val="00347D81"/>
    <w:rsid w:val="00347FB3"/>
    <w:rsid w:val="00350B39"/>
    <w:rsid w:val="00352A97"/>
    <w:rsid w:val="00352D62"/>
    <w:rsid w:val="003530D4"/>
    <w:rsid w:val="003536AD"/>
    <w:rsid w:val="00353D25"/>
    <w:rsid w:val="003542C7"/>
    <w:rsid w:val="003542CE"/>
    <w:rsid w:val="00354C1E"/>
    <w:rsid w:val="00356025"/>
    <w:rsid w:val="0035659D"/>
    <w:rsid w:val="00356FF2"/>
    <w:rsid w:val="00357A10"/>
    <w:rsid w:val="00357D07"/>
    <w:rsid w:val="00357D26"/>
    <w:rsid w:val="00360A89"/>
    <w:rsid w:val="00361098"/>
    <w:rsid w:val="0036143F"/>
    <w:rsid w:val="00361EAF"/>
    <w:rsid w:val="003625E9"/>
    <w:rsid w:val="00362889"/>
    <w:rsid w:val="00363A45"/>
    <w:rsid w:val="00363F42"/>
    <w:rsid w:val="00364E48"/>
    <w:rsid w:val="00364E4E"/>
    <w:rsid w:val="00364E5E"/>
    <w:rsid w:val="00365291"/>
    <w:rsid w:val="00365334"/>
    <w:rsid w:val="00365F79"/>
    <w:rsid w:val="003665D8"/>
    <w:rsid w:val="0036664E"/>
    <w:rsid w:val="0036704E"/>
    <w:rsid w:val="00367067"/>
    <w:rsid w:val="003676BC"/>
    <w:rsid w:val="00367B32"/>
    <w:rsid w:val="0037036F"/>
    <w:rsid w:val="0037073D"/>
    <w:rsid w:val="00370A14"/>
    <w:rsid w:val="00370B1F"/>
    <w:rsid w:val="00370CF6"/>
    <w:rsid w:val="00370F0B"/>
    <w:rsid w:val="00371A85"/>
    <w:rsid w:val="00373281"/>
    <w:rsid w:val="003732A7"/>
    <w:rsid w:val="00373407"/>
    <w:rsid w:val="00373ACD"/>
    <w:rsid w:val="00374280"/>
    <w:rsid w:val="003747E1"/>
    <w:rsid w:val="0037567B"/>
    <w:rsid w:val="00375FB3"/>
    <w:rsid w:val="0037664D"/>
    <w:rsid w:val="00376963"/>
    <w:rsid w:val="00376D16"/>
    <w:rsid w:val="00376EFE"/>
    <w:rsid w:val="003770F7"/>
    <w:rsid w:val="003774B4"/>
    <w:rsid w:val="00377557"/>
    <w:rsid w:val="00377DAC"/>
    <w:rsid w:val="0038007B"/>
    <w:rsid w:val="003800D1"/>
    <w:rsid w:val="00380F48"/>
    <w:rsid w:val="00381353"/>
    <w:rsid w:val="00381436"/>
    <w:rsid w:val="0038144F"/>
    <w:rsid w:val="00381857"/>
    <w:rsid w:val="00381B16"/>
    <w:rsid w:val="003822BB"/>
    <w:rsid w:val="0038268E"/>
    <w:rsid w:val="00382862"/>
    <w:rsid w:val="00382E72"/>
    <w:rsid w:val="003830D8"/>
    <w:rsid w:val="003835BC"/>
    <w:rsid w:val="00383774"/>
    <w:rsid w:val="003841EC"/>
    <w:rsid w:val="00384336"/>
    <w:rsid w:val="00384AC9"/>
    <w:rsid w:val="00385306"/>
    <w:rsid w:val="00385D27"/>
    <w:rsid w:val="00385E81"/>
    <w:rsid w:val="00386251"/>
    <w:rsid w:val="00386C6E"/>
    <w:rsid w:val="00387075"/>
    <w:rsid w:val="003874DB"/>
    <w:rsid w:val="00387781"/>
    <w:rsid w:val="00387A9C"/>
    <w:rsid w:val="00387B27"/>
    <w:rsid w:val="003900AC"/>
    <w:rsid w:val="003904CF"/>
    <w:rsid w:val="003906BD"/>
    <w:rsid w:val="00390950"/>
    <w:rsid w:val="0039106C"/>
    <w:rsid w:val="00391807"/>
    <w:rsid w:val="00392B02"/>
    <w:rsid w:val="00392C44"/>
    <w:rsid w:val="00392CC0"/>
    <w:rsid w:val="0039313E"/>
    <w:rsid w:val="0039358E"/>
    <w:rsid w:val="0039364E"/>
    <w:rsid w:val="0039399E"/>
    <w:rsid w:val="003939B4"/>
    <w:rsid w:val="00393C87"/>
    <w:rsid w:val="0039468D"/>
    <w:rsid w:val="00394D30"/>
    <w:rsid w:val="003951F0"/>
    <w:rsid w:val="00395546"/>
    <w:rsid w:val="00395597"/>
    <w:rsid w:val="00395BA5"/>
    <w:rsid w:val="00395CB4"/>
    <w:rsid w:val="00395CB8"/>
    <w:rsid w:val="00396351"/>
    <w:rsid w:val="0039642F"/>
    <w:rsid w:val="0039675C"/>
    <w:rsid w:val="00396FA1"/>
    <w:rsid w:val="0039751B"/>
    <w:rsid w:val="0039782C"/>
    <w:rsid w:val="0039796B"/>
    <w:rsid w:val="003A006B"/>
    <w:rsid w:val="003A02EB"/>
    <w:rsid w:val="003A0A27"/>
    <w:rsid w:val="003A0AEA"/>
    <w:rsid w:val="003A239F"/>
    <w:rsid w:val="003A28BE"/>
    <w:rsid w:val="003A35A4"/>
    <w:rsid w:val="003A3A3F"/>
    <w:rsid w:val="003A3D1B"/>
    <w:rsid w:val="003A3DF2"/>
    <w:rsid w:val="003A3EF0"/>
    <w:rsid w:val="003A4306"/>
    <w:rsid w:val="003A4583"/>
    <w:rsid w:val="003A470E"/>
    <w:rsid w:val="003A486A"/>
    <w:rsid w:val="003A4BA3"/>
    <w:rsid w:val="003A51F0"/>
    <w:rsid w:val="003A5243"/>
    <w:rsid w:val="003A52A5"/>
    <w:rsid w:val="003A52B4"/>
    <w:rsid w:val="003A5B07"/>
    <w:rsid w:val="003A6601"/>
    <w:rsid w:val="003A6C42"/>
    <w:rsid w:val="003A6E74"/>
    <w:rsid w:val="003A7C72"/>
    <w:rsid w:val="003B07E1"/>
    <w:rsid w:val="003B1420"/>
    <w:rsid w:val="003B1470"/>
    <w:rsid w:val="003B1924"/>
    <w:rsid w:val="003B1BCB"/>
    <w:rsid w:val="003B22D7"/>
    <w:rsid w:val="003B2A22"/>
    <w:rsid w:val="003B32ED"/>
    <w:rsid w:val="003B3A5E"/>
    <w:rsid w:val="003B43ED"/>
    <w:rsid w:val="003B456F"/>
    <w:rsid w:val="003B6079"/>
    <w:rsid w:val="003B6C35"/>
    <w:rsid w:val="003B6F09"/>
    <w:rsid w:val="003B71FE"/>
    <w:rsid w:val="003C0251"/>
    <w:rsid w:val="003C0448"/>
    <w:rsid w:val="003C1333"/>
    <w:rsid w:val="003C1415"/>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4D80"/>
    <w:rsid w:val="003D5182"/>
    <w:rsid w:val="003D6226"/>
    <w:rsid w:val="003D64FC"/>
    <w:rsid w:val="003D6574"/>
    <w:rsid w:val="003D6843"/>
    <w:rsid w:val="003D6A95"/>
    <w:rsid w:val="003D71A7"/>
    <w:rsid w:val="003E0179"/>
    <w:rsid w:val="003E04C3"/>
    <w:rsid w:val="003E04D8"/>
    <w:rsid w:val="003E0964"/>
    <w:rsid w:val="003E0C58"/>
    <w:rsid w:val="003E0F20"/>
    <w:rsid w:val="003E140C"/>
    <w:rsid w:val="003E1981"/>
    <w:rsid w:val="003E1EF4"/>
    <w:rsid w:val="003E296F"/>
    <w:rsid w:val="003E2E6E"/>
    <w:rsid w:val="003E2F0E"/>
    <w:rsid w:val="003E2F68"/>
    <w:rsid w:val="003E30A0"/>
    <w:rsid w:val="003E31E1"/>
    <w:rsid w:val="003E34D8"/>
    <w:rsid w:val="003E383D"/>
    <w:rsid w:val="003E457C"/>
    <w:rsid w:val="003E45E6"/>
    <w:rsid w:val="003E46C5"/>
    <w:rsid w:val="003E481F"/>
    <w:rsid w:val="003E4B21"/>
    <w:rsid w:val="003E4C99"/>
    <w:rsid w:val="003E53E1"/>
    <w:rsid w:val="003E5691"/>
    <w:rsid w:val="003E5865"/>
    <w:rsid w:val="003E5D67"/>
    <w:rsid w:val="003E664F"/>
    <w:rsid w:val="003E674E"/>
    <w:rsid w:val="003E78CA"/>
    <w:rsid w:val="003F15F1"/>
    <w:rsid w:val="003F165F"/>
    <w:rsid w:val="003F197D"/>
    <w:rsid w:val="003F1BCE"/>
    <w:rsid w:val="003F1E76"/>
    <w:rsid w:val="003F22B3"/>
    <w:rsid w:val="003F25C7"/>
    <w:rsid w:val="003F28BB"/>
    <w:rsid w:val="003F2DE8"/>
    <w:rsid w:val="003F383A"/>
    <w:rsid w:val="003F3EE5"/>
    <w:rsid w:val="003F4B5A"/>
    <w:rsid w:val="003F4F8A"/>
    <w:rsid w:val="003F50A5"/>
    <w:rsid w:val="003F55E2"/>
    <w:rsid w:val="003F5651"/>
    <w:rsid w:val="003F57FF"/>
    <w:rsid w:val="003F582E"/>
    <w:rsid w:val="003F5A10"/>
    <w:rsid w:val="003F5A68"/>
    <w:rsid w:val="003F5B03"/>
    <w:rsid w:val="003F5F47"/>
    <w:rsid w:val="003F66F7"/>
    <w:rsid w:val="003F6983"/>
    <w:rsid w:val="003F6AEB"/>
    <w:rsid w:val="003F7230"/>
    <w:rsid w:val="003F75AF"/>
    <w:rsid w:val="003F7C35"/>
    <w:rsid w:val="004000D5"/>
    <w:rsid w:val="004001DC"/>
    <w:rsid w:val="004003B5"/>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62"/>
    <w:rsid w:val="004075A3"/>
    <w:rsid w:val="0040766D"/>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3EDD"/>
    <w:rsid w:val="0042400B"/>
    <w:rsid w:val="00424D01"/>
    <w:rsid w:val="00425D77"/>
    <w:rsid w:val="00426492"/>
    <w:rsid w:val="004264D7"/>
    <w:rsid w:val="004265BB"/>
    <w:rsid w:val="00426BE3"/>
    <w:rsid w:val="00427C04"/>
    <w:rsid w:val="00427C62"/>
    <w:rsid w:val="00427EA4"/>
    <w:rsid w:val="0043027F"/>
    <w:rsid w:val="00430614"/>
    <w:rsid w:val="00430B68"/>
    <w:rsid w:val="004312AF"/>
    <w:rsid w:val="004313A3"/>
    <w:rsid w:val="004314DF"/>
    <w:rsid w:val="004315AD"/>
    <w:rsid w:val="00431A30"/>
    <w:rsid w:val="00431B6C"/>
    <w:rsid w:val="00431B7A"/>
    <w:rsid w:val="00431E3F"/>
    <w:rsid w:val="00431E5E"/>
    <w:rsid w:val="0043245F"/>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37D7C"/>
    <w:rsid w:val="004400B3"/>
    <w:rsid w:val="00440177"/>
    <w:rsid w:val="0044079D"/>
    <w:rsid w:val="0044093E"/>
    <w:rsid w:val="00441DFA"/>
    <w:rsid w:val="004421A6"/>
    <w:rsid w:val="00442AF2"/>
    <w:rsid w:val="00442CC2"/>
    <w:rsid w:val="0044350F"/>
    <w:rsid w:val="00443903"/>
    <w:rsid w:val="00443AA8"/>
    <w:rsid w:val="00444B11"/>
    <w:rsid w:val="00444D1A"/>
    <w:rsid w:val="00445372"/>
    <w:rsid w:val="004453B7"/>
    <w:rsid w:val="004455F1"/>
    <w:rsid w:val="00446565"/>
    <w:rsid w:val="004468EB"/>
    <w:rsid w:val="00446A46"/>
    <w:rsid w:val="00446B4B"/>
    <w:rsid w:val="00447726"/>
    <w:rsid w:val="00447BDD"/>
    <w:rsid w:val="004508FE"/>
    <w:rsid w:val="00450E69"/>
    <w:rsid w:val="00450FA1"/>
    <w:rsid w:val="00451021"/>
    <w:rsid w:val="004515F7"/>
    <w:rsid w:val="00451798"/>
    <w:rsid w:val="004520E6"/>
    <w:rsid w:val="00452C20"/>
    <w:rsid w:val="00452DCF"/>
    <w:rsid w:val="00453854"/>
    <w:rsid w:val="00453A9A"/>
    <w:rsid w:val="004554A8"/>
    <w:rsid w:val="004556E7"/>
    <w:rsid w:val="0045595C"/>
    <w:rsid w:val="004559F1"/>
    <w:rsid w:val="00455A7D"/>
    <w:rsid w:val="00455E44"/>
    <w:rsid w:val="00455EC1"/>
    <w:rsid w:val="00456584"/>
    <w:rsid w:val="004565A9"/>
    <w:rsid w:val="004566FC"/>
    <w:rsid w:val="00456A2B"/>
    <w:rsid w:val="0045793C"/>
    <w:rsid w:val="00457B55"/>
    <w:rsid w:val="00457F80"/>
    <w:rsid w:val="0046002E"/>
    <w:rsid w:val="0046057D"/>
    <w:rsid w:val="00460BDF"/>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5F73"/>
    <w:rsid w:val="004663B7"/>
    <w:rsid w:val="00466690"/>
    <w:rsid w:val="00466764"/>
    <w:rsid w:val="004668F4"/>
    <w:rsid w:val="00466E86"/>
    <w:rsid w:val="00467302"/>
    <w:rsid w:val="004674FA"/>
    <w:rsid w:val="004677BC"/>
    <w:rsid w:val="0046796B"/>
    <w:rsid w:val="00467B22"/>
    <w:rsid w:val="00467F67"/>
    <w:rsid w:val="0047049F"/>
    <w:rsid w:val="00470623"/>
    <w:rsid w:val="00470703"/>
    <w:rsid w:val="00471233"/>
    <w:rsid w:val="00471B7F"/>
    <w:rsid w:val="00472234"/>
    <w:rsid w:val="004723C2"/>
    <w:rsid w:val="00472D21"/>
    <w:rsid w:val="00472F83"/>
    <w:rsid w:val="00474107"/>
    <w:rsid w:val="00474A2C"/>
    <w:rsid w:val="004752C7"/>
    <w:rsid w:val="00475442"/>
    <w:rsid w:val="00475B09"/>
    <w:rsid w:val="00475FD8"/>
    <w:rsid w:val="0047610E"/>
    <w:rsid w:val="00476919"/>
    <w:rsid w:val="0047730B"/>
    <w:rsid w:val="0047730E"/>
    <w:rsid w:val="004802FF"/>
    <w:rsid w:val="004813ED"/>
    <w:rsid w:val="004814FB"/>
    <w:rsid w:val="00481829"/>
    <w:rsid w:val="0048268C"/>
    <w:rsid w:val="00483196"/>
    <w:rsid w:val="0048319E"/>
    <w:rsid w:val="00483480"/>
    <w:rsid w:val="0048368F"/>
    <w:rsid w:val="004841F5"/>
    <w:rsid w:val="00484C13"/>
    <w:rsid w:val="0048517A"/>
    <w:rsid w:val="004854E6"/>
    <w:rsid w:val="00485674"/>
    <w:rsid w:val="00485799"/>
    <w:rsid w:val="0048628A"/>
    <w:rsid w:val="00486C56"/>
    <w:rsid w:val="00486F73"/>
    <w:rsid w:val="00487984"/>
    <w:rsid w:val="00487A6E"/>
    <w:rsid w:val="00487C10"/>
    <w:rsid w:val="004905A3"/>
    <w:rsid w:val="00492074"/>
    <w:rsid w:val="00492230"/>
    <w:rsid w:val="00492386"/>
    <w:rsid w:val="00492710"/>
    <w:rsid w:val="00492CC4"/>
    <w:rsid w:val="00494602"/>
    <w:rsid w:val="0049494F"/>
    <w:rsid w:val="00494A58"/>
    <w:rsid w:val="00494FE8"/>
    <w:rsid w:val="00495116"/>
    <w:rsid w:val="004953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1AE"/>
    <w:rsid w:val="004A454E"/>
    <w:rsid w:val="004A48F3"/>
    <w:rsid w:val="004A4ECF"/>
    <w:rsid w:val="004A4EDE"/>
    <w:rsid w:val="004A5074"/>
    <w:rsid w:val="004A5313"/>
    <w:rsid w:val="004A5369"/>
    <w:rsid w:val="004A5D7D"/>
    <w:rsid w:val="004A5DE4"/>
    <w:rsid w:val="004A7E98"/>
    <w:rsid w:val="004B031E"/>
    <w:rsid w:val="004B0699"/>
    <w:rsid w:val="004B0A34"/>
    <w:rsid w:val="004B16A0"/>
    <w:rsid w:val="004B2216"/>
    <w:rsid w:val="004B26AB"/>
    <w:rsid w:val="004B2C0D"/>
    <w:rsid w:val="004B2E20"/>
    <w:rsid w:val="004B358C"/>
    <w:rsid w:val="004B428D"/>
    <w:rsid w:val="004B46E5"/>
    <w:rsid w:val="004B4C65"/>
    <w:rsid w:val="004B4EED"/>
    <w:rsid w:val="004B5177"/>
    <w:rsid w:val="004B5345"/>
    <w:rsid w:val="004B5D18"/>
    <w:rsid w:val="004B5E79"/>
    <w:rsid w:val="004B6281"/>
    <w:rsid w:val="004B638B"/>
    <w:rsid w:val="004B66E9"/>
    <w:rsid w:val="004B6C03"/>
    <w:rsid w:val="004B711E"/>
    <w:rsid w:val="004B7BC9"/>
    <w:rsid w:val="004C02D3"/>
    <w:rsid w:val="004C0459"/>
    <w:rsid w:val="004C1C7A"/>
    <w:rsid w:val="004C2047"/>
    <w:rsid w:val="004C3449"/>
    <w:rsid w:val="004C3F52"/>
    <w:rsid w:val="004C40E0"/>
    <w:rsid w:val="004C44F5"/>
    <w:rsid w:val="004C4565"/>
    <w:rsid w:val="004C47D5"/>
    <w:rsid w:val="004C5EC2"/>
    <w:rsid w:val="004C67C0"/>
    <w:rsid w:val="004C7EE7"/>
    <w:rsid w:val="004D037A"/>
    <w:rsid w:val="004D0498"/>
    <w:rsid w:val="004D050D"/>
    <w:rsid w:val="004D0519"/>
    <w:rsid w:val="004D0817"/>
    <w:rsid w:val="004D1163"/>
    <w:rsid w:val="004D134D"/>
    <w:rsid w:val="004D1462"/>
    <w:rsid w:val="004D14C7"/>
    <w:rsid w:val="004D1540"/>
    <w:rsid w:val="004D157A"/>
    <w:rsid w:val="004D1A9C"/>
    <w:rsid w:val="004D2342"/>
    <w:rsid w:val="004D24FD"/>
    <w:rsid w:val="004D276E"/>
    <w:rsid w:val="004D280A"/>
    <w:rsid w:val="004D2983"/>
    <w:rsid w:val="004D2A65"/>
    <w:rsid w:val="004D2C64"/>
    <w:rsid w:val="004D2CB6"/>
    <w:rsid w:val="004D3AAB"/>
    <w:rsid w:val="004D3B5C"/>
    <w:rsid w:val="004D3C7F"/>
    <w:rsid w:val="004D4C88"/>
    <w:rsid w:val="004D5642"/>
    <w:rsid w:val="004D654D"/>
    <w:rsid w:val="004D68DE"/>
    <w:rsid w:val="004D6D31"/>
    <w:rsid w:val="004D6DF0"/>
    <w:rsid w:val="004D7526"/>
    <w:rsid w:val="004D7A48"/>
    <w:rsid w:val="004E031C"/>
    <w:rsid w:val="004E2224"/>
    <w:rsid w:val="004E2671"/>
    <w:rsid w:val="004E2682"/>
    <w:rsid w:val="004E2756"/>
    <w:rsid w:val="004E2BB9"/>
    <w:rsid w:val="004E2CAC"/>
    <w:rsid w:val="004E2FEA"/>
    <w:rsid w:val="004E31A7"/>
    <w:rsid w:val="004E39EF"/>
    <w:rsid w:val="004E46DC"/>
    <w:rsid w:val="004E5584"/>
    <w:rsid w:val="004E5FB1"/>
    <w:rsid w:val="004E697F"/>
    <w:rsid w:val="004E6C06"/>
    <w:rsid w:val="004E6D90"/>
    <w:rsid w:val="004E6E35"/>
    <w:rsid w:val="004E7408"/>
    <w:rsid w:val="004E7ADB"/>
    <w:rsid w:val="004E7DE8"/>
    <w:rsid w:val="004F0554"/>
    <w:rsid w:val="004F0626"/>
    <w:rsid w:val="004F0980"/>
    <w:rsid w:val="004F0DE5"/>
    <w:rsid w:val="004F1104"/>
    <w:rsid w:val="004F17BD"/>
    <w:rsid w:val="004F1AB2"/>
    <w:rsid w:val="004F225A"/>
    <w:rsid w:val="004F3685"/>
    <w:rsid w:val="004F3C1E"/>
    <w:rsid w:val="004F404D"/>
    <w:rsid w:val="004F42B5"/>
    <w:rsid w:val="004F4B3C"/>
    <w:rsid w:val="004F4C79"/>
    <w:rsid w:val="004F5C2E"/>
    <w:rsid w:val="004F5C30"/>
    <w:rsid w:val="004F5DA8"/>
    <w:rsid w:val="004F60F9"/>
    <w:rsid w:val="004F688A"/>
    <w:rsid w:val="004F6928"/>
    <w:rsid w:val="004F6D96"/>
    <w:rsid w:val="004F757A"/>
    <w:rsid w:val="004F7B5D"/>
    <w:rsid w:val="004F7F15"/>
    <w:rsid w:val="004F7FD8"/>
    <w:rsid w:val="005005BA"/>
    <w:rsid w:val="00500D85"/>
    <w:rsid w:val="00500FC5"/>
    <w:rsid w:val="005013EE"/>
    <w:rsid w:val="0050154B"/>
    <w:rsid w:val="005018D2"/>
    <w:rsid w:val="00501B0E"/>
    <w:rsid w:val="00501C21"/>
    <w:rsid w:val="00501DC4"/>
    <w:rsid w:val="00502274"/>
    <w:rsid w:val="005024A4"/>
    <w:rsid w:val="005024AE"/>
    <w:rsid w:val="005028B3"/>
    <w:rsid w:val="00502DC7"/>
    <w:rsid w:val="00503BFD"/>
    <w:rsid w:val="00503D85"/>
    <w:rsid w:val="00503DE0"/>
    <w:rsid w:val="00504286"/>
    <w:rsid w:val="005050EC"/>
    <w:rsid w:val="00505130"/>
    <w:rsid w:val="00505330"/>
    <w:rsid w:val="00505DC2"/>
    <w:rsid w:val="00506AF4"/>
    <w:rsid w:val="00506E2A"/>
    <w:rsid w:val="005079C7"/>
    <w:rsid w:val="00507D53"/>
    <w:rsid w:val="00510463"/>
    <w:rsid w:val="00510BC0"/>
    <w:rsid w:val="00510CB5"/>
    <w:rsid w:val="00510FD2"/>
    <w:rsid w:val="0051105A"/>
    <w:rsid w:val="0051175E"/>
    <w:rsid w:val="0051208B"/>
    <w:rsid w:val="005125DB"/>
    <w:rsid w:val="00512708"/>
    <w:rsid w:val="00512D60"/>
    <w:rsid w:val="00512FD2"/>
    <w:rsid w:val="005130C5"/>
    <w:rsid w:val="00513CFF"/>
    <w:rsid w:val="00513F0D"/>
    <w:rsid w:val="00514115"/>
    <w:rsid w:val="00514A85"/>
    <w:rsid w:val="00515064"/>
    <w:rsid w:val="00515DBA"/>
    <w:rsid w:val="00516469"/>
    <w:rsid w:val="00516A7F"/>
    <w:rsid w:val="00516C02"/>
    <w:rsid w:val="005170D7"/>
    <w:rsid w:val="0051759C"/>
    <w:rsid w:val="005179F4"/>
    <w:rsid w:val="00517A53"/>
    <w:rsid w:val="00517B5F"/>
    <w:rsid w:val="00520742"/>
    <w:rsid w:val="005207BC"/>
    <w:rsid w:val="00520DBE"/>
    <w:rsid w:val="0052102A"/>
    <w:rsid w:val="005219D6"/>
    <w:rsid w:val="00521DF3"/>
    <w:rsid w:val="00521EEA"/>
    <w:rsid w:val="0052371C"/>
    <w:rsid w:val="00523A19"/>
    <w:rsid w:val="00523C75"/>
    <w:rsid w:val="005241DD"/>
    <w:rsid w:val="005259CD"/>
    <w:rsid w:val="005259D2"/>
    <w:rsid w:val="00526044"/>
    <w:rsid w:val="00527229"/>
    <w:rsid w:val="0053044D"/>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A02"/>
    <w:rsid w:val="00540F69"/>
    <w:rsid w:val="00541571"/>
    <w:rsid w:val="00541738"/>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7FE"/>
    <w:rsid w:val="00553ABC"/>
    <w:rsid w:val="00553BFB"/>
    <w:rsid w:val="00554728"/>
    <w:rsid w:val="00554C35"/>
    <w:rsid w:val="005553AF"/>
    <w:rsid w:val="0055543E"/>
    <w:rsid w:val="005559FE"/>
    <w:rsid w:val="0055622E"/>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C04"/>
    <w:rsid w:val="00561C87"/>
    <w:rsid w:val="00561E45"/>
    <w:rsid w:val="0056298E"/>
    <w:rsid w:val="005633D8"/>
    <w:rsid w:val="00563464"/>
    <w:rsid w:val="005643F0"/>
    <w:rsid w:val="00564890"/>
    <w:rsid w:val="00564FC2"/>
    <w:rsid w:val="005651E1"/>
    <w:rsid w:val="00565748"/>
    <w:rsid w:val="00565B41"/>
    <w:rsid w:val="005660AA"/>
    <w:rsid w:val="00566B6E"/>
    <w:rsid w:val="00566B9F"/>
    <w:rsid w:val="00566BC9"/>
    <w:rsid w:val="005670CA"/>
    <w:rsid w:val="00567205"/>
    <w:rsid w:val="005678BB"/>
    <w:rsid w:val="00567A03"/>
    <w:rsid w:val="00571673"/>
    <w:rsid w:val="0057228F"/>
    <w:rsid w:val="00572C2D"/>
    <w:rsid w:val="00572CFE"/>
    <w:rsid w:val="0057302F"/>
    <w:rsid w:val="00573333"/>
    <w:rsid w:val="005734C8"/>
    <w:rsid w:val="005738F2"/>
    <w:rsid w:val="005765C9"/>
    <w:rsid w:val="00576681"/>
    <w:rsid w:val="00576F95"/>
    <w:rsid w:val="0057725E"/>
    <w:rsid w:val="005776AE"/>
    <w:rsid w:val="00577AB6"/>
    <w:rsid w:val="00577C4A"/>
    <w:rsid w:val="00580000"/>
    <w:rsid w:val="00580959"/>
    <w:rsid w:val="00581C63"/>
    <w:rsid w:val="0058211A"/>
    <w:rsid w:val="00582917"/>
    <w:rsid w:val="00582B8F"/>
    <w:rsid w:val="0058338A"/>
    <w:rsid w:val="005834DB"/>
    <w:rsid w:val="00583B1C"/>
    <w:rsid w:val="00584286"/>
    <w:rsid w:val="0058439A"/>
    <w:rsid w:val="00584476"/>
    <w:rsid w:val="00584D18"/>
    <w:rsid w:val="00584EF8"/>
    <w:rsid w:val="00585001"/>
    <w:rsid w:val="00586376"/>
    <w:rsid w:val="005870DD"/>
    <w:rsid w:val="00587150"/>
    <w:rsid w:val="00587B56"/>
    <w:rsid w:val="005907FC"/>
    <w:rsid w:val="00590F7D"/>
    <w:rsid w:val="00591E00"/>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25DB"/>
    <w:rsid w:val="005A3530"/>
    <w:rsid w:val="005A3B20"/>
    <w:rsid w:val="005A3FD0"/>
    <w:rsid w:val="005A490F"/>
    <w:rsid w:val="005A4D99"/>
    <w:rsid w:val="005A58F1"/>
    <w:rsid w:val="005A5D77"/>
    <w:rsid w:val="005A602B"/>
    <w:rsid w:val="005A606B"/>
    <w:rsid w:val="005A6442"/>
    <w:rsid w:val="005A7068"/>
    <w:rsid w:val="005A7329"/>
    <w:rsid w:val="005A7A30"/>
    <w:rsid w:val="005B00A0"/>
    <w:rsid w:val="005B0243"/>
    <w:rsid w:val="005B0307"/>
    <w:rsid w:val="005B03DF"/>
    <w:rsid w:val="005B0A2B"/>
    <w:rsid w:val="005B0C3C"/>
    <w:rsid w:val="005B1CF9"/>
    <w:rsid w:val="005B25ED"/>
    <w:rsid w:val="005B2984"/>
    <w:rsid w:val="005B29CA"/>
    <w:rsid w:val="005B342E"/>
    <w:rsid w:val="005B36C6"/>
    <w:rsid w:val="005B38BA"/>
    <w:rsid w:val="005B39FC"/>
    <w:rsid w:val="005B40DC"/>
    <w:rsid w:val="005B4B00"/>
    <w:rsid w:val="005B4DFF"/>
    <w:rsid w:val="005B5045"/>
    <w:rsid w:val="005B5156"/>
    <w:rsid w:val="005B5A84"/>
    <w:rsid w:val="005B6919"/>
    <w:rsid w:val="005B69E7"/>
    <w:rsid w:val="005B71EA"/>
    <w:rsid w:val="005B744E"/>
    <w:rsid w:val="005B771B"/>
    <w:rsid w:val="005B7B1D"/>
    <w:rsid w:val="005B7E5A"/>
    <w:rsid w:val="005C036A"/>
    <w:rsid w:val="005C10D5"/>
    <w:rsid w:val="005C11ED"/>
    <w:rsid w:val="005C20A3"/>
    <w:rsid w:val="005C2298"/>
    <w:rsid w:val="005C41BF"/>
    <w:rsid w:val="005C42A2"/>
    <w:rsid w:val="005C42CF"/>
    <w:rsid w:val="005C4D0F"/>
    <w:rsid w:val="005C5137"/>
    <w:rsid w:val="005C543C"/>
    <w:rsid w:val="005C5540"/>
    <w:rsid w:val="005C566F"/>
    <w:rsid w:val="005C5726"/>
    <w:rsid w:val="005C5FCB"/>
    <w:rsid w:val="005C606D"/>
    <w:rsid w:val="005C6B5D"/>
    <w:rsid w:val="005C6E29"/>
    <w:rsid w:val="005C6F3E"/>
    <w:rsid w:val="005C7007"/>
    <w:rsid w:val="005C7354"/>
    <w:rsid w:val="005C776A"/>
    <w:rsid w:val="005D018C"/>
    <w:rsid w:val="005D0899"/>
    <w:rsid w:val="005D09EB"/>
    <w:rsid w:val="005D0E66"/>
    <w:rsid w:val="005D0FB3"/>
    <w:rsid w:val="005D168F"/>
    <w:rsid w:val="005D1ECF"/>
    <w:rsid w:val="005D1ED5"/>
    <w:rsid w:val="005D1FD7"/>
    <w:rsid w:val="005D2340"/>
    <w:rsid w:val="005D23BE"/>
    <w:rsid w:val="005D2669"/>
    <w:rsid w:val="005D2DBB"/>
    <w:rsid w:val="005D345D"/>
    <w:rsid w:val="005D3658"/>
    <w:rsid w:val="005D379A"/>
    <w:rsid w:val="005D3960"/>
    <w:rsid w:val="005D3C78"/>
    <w:rsid w:val="005D3CB0"/>
    <w:rsid w:val="005D4830"/>
    <w:rsid w:val="005D4926"/>
    <w:rsid w:val="005D5BB7"/>
    <w:rsid w:val="005D60B6"/>
    <w:rsid w:val="005D6A2D"/>
    <w:rsid w:val="005D6FC7"/>
    <w:rsid w:val="005D73D0"/>
    <w:rsid w:val="005D75D9"/>
    <w:rsid w:val="005D7922"/>
    <w:rsid w:val="005D7A85"/>
    <w:rsid w:val="005E0155"/>
    <w:rsid w:val="005E0DEC"/>
    <w:rsid w:val="005E0E67"/>
    <w:rsid w:val="005E2023"/>
    <w:rsid w:val="005E2481"/>
    <w:rsid w:val="005E2E4E"/>
    <w:rsid w:val="005E329F"/>
    <w:rsid w:val="005E32A5"/>
    <w:rsid w:val="005E3707"/>
    <w:rsid w:val="005E39E4"/>
    <w:rsid w:val="005E3A77"/>
    <w:rsid w:val="005E4D88"/>
    <w:rsid w:val="005E4E2B"/>
    <w:rsid w:val="005E5557"/>
    <w:rsid w:val="005E5690"/>
    <w:rsid w:val="005E6499"/>
    <w:rsid w:val="005E65AD"/>
    <w:rsid w:val="005E678D"/>
    <w:rsid w:val="005E69CF"/>
    <w:rsid w:val="005E7132"/>
    <w:rsid w:val="005E752C"/>
    <w:rsid w:val="005E7BD1"/>
    <w:rsid w:val="005F0409"/>
    <w:rsid w:val="005F12EF"/>
    <w:rsid w:val="005F1437"/>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6620"/>
    <w:rsid w:val="005F7E2C"/>
    <w:rsid w:val="00600D04"/>
    <w:rsid w:val="00600DD6"/>
    <w:rsid w:val="00600FB6"/>
    <w:rsid w:val="0060130A"/>
    <w:rsid w:val="006013D5"/>
    <w:rsid w:val="006021A0"/>
    <w:rsid w:val="00602B35"/>
    <w:rsid w:val="00602B6B"/>
    <w:rsid w:val="006031D0"/>
    <w:rsid w:val="00603293"/>
    <w:rsid w:val="00603B57"/>
    <w:rsid w:val="00603BCA"/>
    <w:rsid w:val="00603BD6"/>
    <w:rsid w:val="00603D83"/>
    <w:rsid w:val="006040FA"/>
    <w:rsid w:val="006041FF"/>
    <w:rsid w:val="00604B53"/>
    <w:rsid w:val="0060525A"/>
    <w:rsid w:val="0060531B"/>
    <w:rsid w:val="006053C2"/>
    <w:rsid w:val="00605BD6"/>
    <w:rsid w:val="0060673E"/>
    <w:rsid w:val="0060699D"/>
    <w:rsid w:val="00606A43"/>
    <w:rsid w:val="00606AED"/>
    <w:rsid w:val="0060743F"/>
    <w:rsid w:val="00607D56"/>
    <w:rsid w:val="006100AF"/>
    <w:rsid w:val="00610A20"/>
    <w:rsid w:val="00610AD2"/>
    <w:rsid w:val="00610CBC"/>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7AE"/>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166"/>
    <w:rsid w:val="00630617"/>
    <w:rsid w:val="006306EA"/>
    <w:rsid w:val="00630AD8"/>
    <w:rsid w:val="00630B94"/>
    <w:rsid w:val="00630BA9"/>
    <w:rsid w:val="00631143"/>
    <w:rsid w:val="00631D45"/>
    <w:rsid w:val="0063232C"/>
    <w:rsid w:val="006324CD"/>
    <w:rsid w:val="00632709"/>
    <w:rsid w:val="00632BD2"/>
    <w:rsid w:val="0063378A"/>
    <w:rsid w:val="0063436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56"/>
    <w:rsid w:val="0065029D"/>
    <w:rsid w:val="00650702"/>
    <w:rsid w:val="006507C3"/>
    <w:rsid w:val="00650B40"/>
    <w:rsid w:val="00650CDF"/>
    <w:rsid w:val="00650E39"/>
    <w:rsid w:val="00651062"/>
    <w:rsid w:val="00651564"/>
    <w:rsid w:val="00651E45"/>
    <w:rsid w:val="00651FB2"/>
    <w:rsid w:val="00652AC7"/>
    <w:rsid w:val="006542C5"/>
    <w:rsid w:val="0065465E"/>
    <w:rsid w:val="00654669"/>
    <w:rsid w:val="006546F0"/>
    <w:rsid w:val="00655358"/>
    <w:rsid w:val="00655C8E"/>
    <w:rsid w:val="00656399"/>
    <w:rsid w:val="00656BB0"/>
    <w:rsid w:val="00656F56"/>
    <w:rsid w:val="0065705F"/>
    <w:rsid w:val="006573E5"/>
    <w:rsid w:val="00657B91"/>
    <w:rsid w:val="00657CEE"/>
    <w:rsid w:val="00660831"/>
    <w:rsid w:val="00660C7D"/>
    <w:rsid w:val="00660D5C"/>
    <w:rsid w:val="00660FA9"/>
    <w:rsid w:val="006619FC"/>
    <w:rsid w:val="00661B1E"/>
    <w:rsid w:val="00661BB4"/>
    <w:rsid w:val="00662D9A"/>
    <w:rsid w:val="0066306F"/>
    <w:rsid w:val="006633AD"/>
    <w:rsid w:val="00664921"/>
    <w:rsid w:val="00664C7F"/>
    <w:rsid w:val="00665BF4"/>
    <w:rsid w:val="00666376"/>
    <w:rsid w:val="006674CB"/>
    <w:rsid w:val="006675AE"/>
    <w:rsid w:val="00670CE3"/>
    <w:rsid w:val="00670E5A"/>
    <w:rsid w:val="00670E92"/>
    <w:rsid w:val="00670EC7"/>
    <w:rsid w:val="00671218"/>
    <w:rsid w:val="00671DC6"/>
    <w:rsid w:val="00671DD1"/>
    <w:rsid w:val="00671E7D"/>
    <w:rsid w:val="0067247B"/>
    <w:rsid w:val="00673042"/>
    <w:rsid w:val="00673416"/>
    <w:rsid w:val="006738ED"/>
    <w:rsid w:val="0067399D"/>
    <w:rsid w:val="00673BCA"/>
    <w:rsid w:val="00674201"/>
    <w:rsid w:val="00674EF1"/>
    <w:rsid w:val="00675CCF"/>
    <w:rsid w:val="00675F82"/>
    <w:rsid w:val="006761AB"/>
    <w:rsid w:val="0067689E"/>
    <w:rsid w:val="00676F7E"/>
    <w:rsid w:val="00680088"/>
    <w:rsid w:val="006800AB"/>
    <w:rsid w:val="00680CEC"/>
    <w:rsid w:val="00680D1D"/>
    <w:rsid w:val="00680E5C"/>
    <w:rsid w:val="00680F58"/>
    <w:rsid w:val="00680FBB"/>
    <w:rsid w:val="0068134B"/>
    <w:rsid w:val="00681F09"/>
    <w:rsid w:val="006821D9"/>
    <w:rsid w:val="006824BA"/>
    <w:rsid w:val="0068274B"/>
    <w:rsid w:val="006828C0"/>
    <w:rsid w:val="006829D4"/>
    <w:rsid w:val="00682A35"/>
    <w:rsid w:val="00682E67"/>
    <w:rsid w:val="00682EB0"/>
    <w:rsid w:val="006831FA"/>
    <w:rsid w:val="006838D1"/>
    <w:rsid w:val="0068493C"/>
    <w:rsid w:val="00685249"/>
    <w:rsid w:val="00685383"/>
    <w:rsid w:val="006854A4"/>
    <w:rsid w:val="00685FBD"/>
    <w:rsid w:val="006863A5"/>
    <w:rsid w:val="0068647D"/>
    <w:rsid w:val="006864B0"/>
    <w:rsid w:val="00686509"/>
    <w:rsid w:val="00686630"/>
    <w:rsid w:val="0068682F"/>
    <w:rsid w:val="00687474"/>
    <w:rsid w:val="006876F2"/>
    <w:rsid w:val="0068779A"/>
    <w:rsid w:val="00687B94"/>
    <w:rsid w:val="00690396"/>
    <w:rsid w:val="0069060B"/>
    <w:rsid w:val="00692166"/>
    <w:rsid w:val="00692365"/>
    <w:rsid w:val="00692435"/>
    <w:rsid w:val="00692509"/>
    <w:rsid w:val="00692653"/>
    <w:rsid w:val="006929D9"/>
    <w:rsid w:val="00692D95"/>
    <w:rsid w:val="00692E8C"/>
    <w:rsid w:val="006934E5"/>
    <w:rsid w:val="006941A5"/>
    <w:rsid w:val="00694677"/>
    <w:rsid w:val="00694955"/>
    <w:rsid w:val="00694B56"/>
    <w:rsid w:val="00695322"/>
    <w:rsid w:val="00696193"/>
    <w:rsid w:val="006965AD"/>
    <w:rsid w:val="00696668"/>
    <w:rsid w:val="00696DE6"/>
    <w:rsid w:val="0069733D"/>
    <w:rsid w:val="006973D5"/>
    <w:rsid w:val="00697ADB"/>
    <w:rsid w:val="00697B34"/>
    <w:rsid w:val="00697D87"/>
    <w:rsid w:val="006A059D"/>
    <w:rsid w:val="006A09FB"/>
    <w:rsid w:val="006A0A4C"/>
    <w:rsid w:val="006A0CB2"/>
    <w:rsid w:val="006A0E09"/>
    <w:rsid w:val="006A1039"/>
    <w:rsid w:val="006A12F0"/>
    <w:rsid w:val="006A1340"/>
    <w:rsid w:val="006A1920"/>
    <w:rsid w:val="006A1E28"/>
    <w:rsid w:val="006A1F9B"/>
    <w:rsid w:val="006A2128"/>
    <w:rsid w:val="006A2185"/>
    <w:rsid w:val="006A291E"/>
    <w:rsid w:val="006A2979"/>
    <w:rsid w:val="006A31A0"/>
    <w:rsid w:val="006A336D"/>
    <w:rsid w:val="006A4710"/>
    <w:rsid w:val="006A473F"/>
    <w:rsid w:val="006A54B2"/>
    <w:rsid w:val="006A55DC"/>
    <w:rsid w:val="006A58EB"/>
    <w:rsid w:val="006A5B04"/>
    <w:rsid w:val="006A6877"/>
    <w:rsid w:val="006B0810"/>
    <w:rsid w:val="006B09B0"/>
    <w:rsid w:val="006B12E4"/>
    <w:rsid w:val="006B1D39"/>
    <w:rsid w:val="006B2EB8"/>
    <w:rsid w:val="006B36EE"/>
    <w:rsid w:val="006B411B"/>
    <w:rsid w:val="006B5B17"/>
    <w:rsid w:val="006B69F8"/>
    <w:rsid w:val="006B76BA"/>
    <w:rsid w:val="006B78C6"/>
    <w:rsid w:val="006C022C"/>
    <w:rsid w:val="006C0235"/>
    <w:rsid w:val="006C049E"/>
    <w:rsid w:val="006C0A40"/>
    <w:rsid w:val="006C11D1"/>
    <w:rsid w:val="006C19F5"/>
    <w:rsid w:val="006C1DBA"/>
    <w:rsid w:val="006C30B0"/>
    <w:rsid w:val="006C3AFE"/>
    <w:rsid w:val="006C43A4"/>
    <w:rsid w:val="006C4924"/>
    <w:rsid w:val="006C4D3F"/>
    <w:rsid w:val="006C50E6"/>
    <w:rsid w:val="006C518A"/>
    <w:rsid w:val="006C5870"/>
    <w:rsid w:val="006C58FE"/>
    <w:rsid w:val="006C5B14"/>
    <w:rsid w:val="006C5B32"/>
    <w:rsid w:val="006C6FE4"/>
    <w:rsid w:val="006C74C1"/>
    <w:rsid w:val="006C7884"/>
    <w:rsid w:val="006C79B7"/>
    <w:rsid w:val="006C7C0B"/>
    <w:rsid w:val="006C7D35"/>
    <w:rsid w:val="006C7FE8"/>
    <w:rsid w:val="006D0222"/>
    <w:rsid w:val="006D0B0D"/>
    <w:rsid w:val="006D0BF8"/>
    <w:rsid w:val="006D0DFC"/>
    <w:rsid w:val="006D115E"/>
    <w:rsid w:val="006D1187"/>
    <w:rsid w:val="006D11B4"/>
    <w:rsid w:val="006D1A39"/>
    <w:rsid w:val="006D1A83"/>
    <w:rsid w:val="006D1B09"/>
    <w:rsid w:val="006D1CDB"/>
    <w:rsid w:val="006D1F52"/>
    <w:rsid w:val="006D2083"/>
    <w:rsid w:val="006D2DB9"/>
    <w:rsid w:val="006D3143"/>
    <w:rsid w:val="006D410D"/>
    <w:rsid w:val="006D42B5"/>
    <w:rsid w:val="006D4390"/>
    <w:rsid w:val="006D5F1D"/>
    <w:rsid w:val="006D674F"/>
    <w:rsid w:val="006D69D2"/>
    <w:rsid w:val="006D6F2F"/>
    <w:rsid w:val="006D7686"/>
    <w:rsid w:val="006D7A1E"/>
    <w:rsid w:val="006D7E94"/>
    <w:rsid w:val="006E0233"/>
    <w:rsid w:val="006E0C35"/>
    <w:rsid w:val="006E1126"/>
    <w:rsid w:val="006E1348"/>
    <w:rsid w:val="006E17A8"/>
    <w:rsid w:val="006E247C"/>
    <w:rsid w:val="006E27C6"/>
    <w:rsid w:val="006E2954"/>
    <w:rsid w:val="006E31DE"/>
    <w:rsid w:val="006E4318"/>
    <w:rsid w:val="006E509D"/>
    <w:rsid w:val="006E5103"/>
    <w:rsid w:val="006E52CE"/>
    <w:rsid w:val="006E5494"/>
    <w:rsid w:val="006E56CF"/>
    <w:rsid w:val="006E59F6"/>
    <w:rsid w:val="006E5D25"/>
    <w:rsid w:val="006E6001"/>
    <w:rsid w:val="006E6043"/>
    <w:rsid w:val="006E60F9"/>
    <w:rsid w:val="006E6426"/>
    <w:rsid w:val="006E6609"/>
    <w:rsid w:val="006E6706"/>
    <w:rsid w:val="006E6916"/>
    <w:rsid w:val="006E6A6C"/>
    <w:rsid w:val="006E730D"/>
    <w:rsid w:val="006E7EF9"/>
    <w:rsid w:val="006F05DA"/>
    <w:rsid w:val="006F0ACA"/>
    <w:rsid w:val="006F0E88"/>
    <w:rsid w:val="006F1EA9"/>
    <w:rsid w:val="006F21B3"/>
    <w:rsid w:val="006F2217"/>
    <w:rsid w:val="006F382C"/>
    <w:rsid w:val="006F40D7"/>
    <w:rsid w:val="006F42D2"/>
    <w:rsid w:val="006F42DE"/>
    <w:rsid w:val="006F4ACA"/>
    <w:rsid w:val="006F4CA6"/>
    <w:rsid w:val="006F4E14"/>
    <w:rsid w:val="006F56D4"/>
    <w:rsid w:val="006F59ED"/>
    <w:rsid w:val="006F5C3F"/>
    <w:rsid w:val="006F67C4"/>
    <w:rsid w:val="006F6FBB"/>
    <w:rsid w:val="006F6FBF"/>
    <w:rsid w:val="006F7396"/>
    <w:rsid w:val="006F763E"/>
    <w:rsid w:val="006F7C26"/>
    <w:rsid w:val="006F7FD4"/>
    <w:rsid w:val="006F7FE8"/>
    <w:rsid w:val="00701359"/>
    <w:rsid w:val="00701412"/>
    <w:rsid w:val="007025DD"/>
    <w:rsid w:val="00702978"/>
    <w:rsid w:val="00702D3B"/>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0772"/>
    <w:rsid w:val="0071094D"/>
    <w:rsid w:val="00711200"/>
    <w:rsid w:val="00711208"/>
    <w:rsid w:val="007126F3"/>
    <w:rsid w:val="007128A0"/>
    <w:rsid w:val="00712E39"/>
    <w:rsid w:val="00713D41"/>
    <w:rsid w:val="00713F87"/>
    <w:rsid w:val="00714146"/>
    <w:rsid w:val="0071475B"/>
    <w:rsid w:val="00714847"/>
    <w:rsid w:val="00715516"/>
    <w:rsid w:val="0071557B"/>
    <w:rsid w:val="007175A1"/>
    <w:rsid w:val="007175CF"/>
    <w:rsid w:val="00717AAE"/>
    <w:rsid w:val="00720950"/>
    <w:rsid w:val="00720A8C"/>
    <w:rsid w:val="007214C8"/>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4E61"/>
    <w:rsid w:val="00725241"/>
    <w:rsid w:val="00725B5C"/>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0C0"/>
    <w:rsid w:val="007343B8"/>
    <w:rsid w:val="0073460F"/>
    <w:rsid w:val="007358F1"/>
    <w:rsid w:val="00736834"/>
    <w:rsid w:val="00737174"/>
    <w:rsid w:val="00737A8B"/>
    <w:rsid w:val="00737B43"/>
    <w:rsid w:val="00740128"/>
    <w:rsid w:val="00740150"/>
    <w:rsid w:val="00740505"/>
    <w:rsid w:val="0074088F"/>
    <w:rsid w:val="00741914"/>
    <w:rsid w:val="00741F21"/>
    <w:rsid w:val="0074271E"/>
    <w:rsid w:val="00742AFC"/>
    <w:rsid w:val="00742CEC"/>
    <w:rsid w:val="007434BC"/>
    <w:rsid w:val="00744113"/>
    <w:rsid w:val="00744815"/>
    <w:rsid w:val="00744B09"/>
    <w:rsid w:val="00744CD4"/>
    <w:rsid w:val="0074519E"/>
    <w:rsid w:val="00745BDC"/>
    <w:rsid w:val="00746991"/>
    <w:rsid w:val="00746BF9"/>
    <w:rsid w:val="00746F68"/>
    <w:rsid w:val="007471B0"/>
    <w:rsid w:val="00747BDF"/>
    <w:rsid w:val="00747F42"/>
    <w:rsid w:val="007504B4"/>
    <w:rsid w:val="00750B80"/>
    <w:rsid w:val="00750F22"/>
    <w:rsid w:val="007510CB"/>
    <w:rsid w:val="00751171"/>
    <w:rsid w:val="00752388"/>
    <w:rsid w:val="0075393E"/>
    <w:rsid w:val="00753D15"/>
    <w:rsid w:val="00753EA7"/>
    <w:rsid w:val="007548DC"/>
    <w:rsid w:val="00755262"/>
    <w:rsid w:val="00755632"/>
    <w:rsid w:val="00755C72"/>
    <w:rsid w:val="00756333"/>
    <w:rsid w:val="00756618"/>
    <w:rsid w:val="00756E96"/>
    <w:rsid w:val="00757088"/>
    <w:rsid w:val="007578CA"/>
    <w:rsid w:val="00757902"/>
    <w:rsid w:val="00757AB9"/>
    <w:rsid w:val="0076032C"/>
    <w:rsid w:val="007609BD"/>
    <w:rsid w:val="00761180"/>
    <w:rsid w:val="007611D2"/>
    <w:rsid w:val="00761717"/>
    <w:rsid w:val="00761A26"/>
    <w:rsid w:val="00761BD2"/>
    <w:rsid w:val="0076213B"/>
    <w:rsid w:val="007628AC"/>
    <w:rsid w:val="00762ABB"/>
    <w:rsid w:val="00762F63"/>
    <w:rsid w:val="0076309C"/>
    <w:rsid w:val="007636FD"/>
    <w:rsid w:val="0076378F"/>
    <w:rsid w:val="00763825"/>
    <w:rsid w:val="00764465"/>
    <w:rsid w:val="00764B5F"/>
    <w:rsid w:val="00764E00"/>
    <w:rsid w:val="007655FC"/>
    <w:rsid w:val="007657C3"/>
    <w:rsid w:val="007657EB"/>
    <w:rsid w:val="00765FA9"/>
    <w:rsid w:val="00766649"/>
    <w:rsid w:val="00766684"/>
    <w:rsid w:val="00767959"/>
    <w:rsid w:val="00770A73"/>
    <w:rsid w:val="00771116"/>
    <w:rsid w:val="007711CB"/>
    <w:rsid w:val="0077162C"/>
    <w:rsid w:val="007717CF"/>
    <w:rsid w:val="007717E3"/>
    <w:rsid w:val="00771920"/>
    <w:rsid w:val="00771DFB"/>
    <w:rsid w:val="00771EAB"/>
    <w:rsid w:val="007724C0"/>
    <w:rsid w:val="00772531"/>
    <w:rsid w:val="0077284C"/>
    <w:rsid w:val="00772AE8"/>
    <w:rsid w:val="007740AF"/>
    <w:rsid w:val="007742D9"/>
    <w:rsid w:val="00774847"/>
    <w:rsid w:val="00774E65"/>
    <w:rsid w:val="00775537"/>
    <w:rsid w:val="00776320"/>
    <w:rsid w:val="00776444"/>
    <w:rsid w:val="00776725"/>
    <w:rsid w:val="00777079"/>
    <w:rsid w:val="007777FF"/>
    <w:rsid w:val="00777AB6"/>
    <w:rsid w:val="00777DE6"/>
    <w:rsid w:val="00777F32"/>
    <w:rsid w:val="0078079D"/>
    <w:rsid w:val="0078091F"/>
    <w:rsid w:val="00780977"/>
    <w:rsid w:val="00780B25"/>
    <w:rsid w:val="00780CFB"/>
    <w:rsid w:val="00780D35"/>
    <w:rsid w:val="00780FD9"/>
    <w:rsid w:val="0078103C"/>
    <w:rsid w:val="0078145E"/>
    <w:rsid w:val="007816AA"/>
    <w:rsid w:val="00781F13"/>
    <w:rsid w:val="00782319"/>
    <w:rsid w:val="00782C8F"/>
    <w:rsid w:val="00783024"/>
    <w:rsid w:val="007836E6"/>
    <w:rsid w:val="00784530"/>
    <w:rsid w:val="00784644"/>
    <w:rsid w:val="00784B82"/>
    <w:rsid w:val="00784FCA"/>
    <w:rsid w:val="00785965"/>
    <w:rsid w:val="00785B04"/>
    <w:rsid w:val="00785C4C"/>
    <w:rsid w:val="007862FA"/>
    <w:rsid w:val="00786405"/>
    <w:rsid w:val="007867B5"/>
    <w:rsid w:val="00787227"/>
    <w:rsid w:val="00787EAD"/>
    <w:rsid w:val="007902A9"/>
    <w:rsid w:val="007903E4"/>
    <w:rsid w:val="00791079"/>
    <w:rsid w:val="007915F6"/>
    <w:rsid w:val="00791F6B"/>
    <w:rsid w:val="00792201"/>
    <w:rsid w:val="00792E4B"/>
    <w:rsid w:val="00793F3A"/>
    <w:rsid w:val="007956DD"/>
    <w:rsid w:val="00795B50"/>
    <w:rsid w:val="00795C52"/>
    <w:rsid w:val="00795E96"/>
    <w:rsid w:val="00796152"/>
    <w:rsid w:val="00796724"/>
    <w:rsid w:val="00796BB6"/>
    <w:rsid w:val="00796BF1"/>
    <w:rsid w:val="00797CAA"/>
    <w:rsid w:val="00797D2E"/>
    <w:rsid w:val="007A02F0"/>
    <w:rsid w:val="007A03A6"/>
    <w:rsid w:val="007A0B1D"/>
    <w:rsid w:val="007A1295"/>
    <w:rsid w:val="007A12A4"/>
    <w:rsid w:val="007A322B"/>
    <w:rsid w:val="007A3650"/>
    <w:rsid w:val="007A3C09"/>
    <w:rsid w:val="007A3C56"/>
    <w:rsid w:val="007A403F"/>
    <w:rsid w:val="007A53AC"/>
    <w:rsid w:val="007A64A7"/>
    <w:rsid w:val="007B0103"/>
    <w:rsid w:val="007B0511"/>
    <w:rsid w:val="007B0C32"/>
    <w:rsid w:val="007B0ECD"/>
    <w:rsid w:val="007B1CB4"/>
    <w:rsid w:val="007B210B"/>
    <w:rsid w:val="007B3163"/>
    <w:rsid w:val="007B388E"/>
    <w:rsid w:val="007B3C13"/>
    <w:rsid w:val="007B4B57"/>
    <w:rsid w:val="007B6604"/>
    <w:rsid w:val="007B6A95"/>
    <w:rsid w:val="007B6BA4"/>
    <w:rsid w:val="007B6E43"/>
    <w:rsid w:val="007B7AFA"/>
    <w:rsid w:val="007B7B7F"/>
    <w:rsid w:val="007C014B"/>
    <w:rsid w:val="007C0226"/>
    <w:rsid w:val="007C04E7"/>
    <w:rsid w:val="007C05E3"/>
    <w:rsid w:val="007C0AE5"/>
    <w:rsid w:val="007C0CC1"/>
    <w:rsid w:val="007C0D78"/>
    <w:rsid w:val="007C122F"/>
    <w:rsid w:val="007C1278"/>
    <w:rsid w:val="007C1528"/>
    <w:rsid w:val="007C1CA1"/>
    <w:rsid w:val="007C262A"/>
    <w:rsid w:val="007C2DCB"/>
    <w:rsid w:val="007C2F38"/>
    <w:rsid w:val="007C39A5"/>
    <w:rsid w:val="007C3C04"/>
    <w:rsid w:val="007C427C"/>
    <w:rsid w:val="007C4B9F"/>
    <w:rsid w:val="007C5028"/>
    <w:rsid w:val="007C555C"/>
    <w:rsid w:val="007C5659"/>
    <w:rsid w:val="007C5DD1"/>
    <w:rsid w:val="007C6648"/>
    <w:rsid w:val="007C6B03"/>
    <w:rsid w:val="007C6DE4"/>
    <w:rsid w:val="007C719B"/>
    <w:rsid w:val="007C72BF"/>
    <w:rsid w:val="007D0628"/>
    <w:rsid w:val="007D06E1"/>
    <w:rsid w:val="007D17AC"/>
    <w:rsid w:val="007D2555"/>
    <w:rsid w:val="007D2E35"/>
    <w:rsid w:val="007D3014"/>
    <w:rsid w:val="007D3BBD"/>
    <w:rsid w:val="007D3BCB"/>
    <w:rsid w:val="007D3C6D"/>
    <w:rsid w:val="007D3D93"/>
    <w:rsid w:val="007D3E45"/>
    <w:rsid w:val="007D432C"/>
    <w:rsid w:val="007D4511"/>
    <w:rsid w:val="007D45B6"/>
    <w:rsid w:val="007D4BD0"/>
    <w:rsid w:val="007D5008"/>
    <w:rsid w:val="007D570D"/>
    <w:rsid w:val="007D5A16"/>
    <w:rsid w:val="007D5C88"/>
    <w:rsid w:val="007D5DF3"/>
    <w:rsid w:val="007D68FF"/>
    <w:rsid w:val="007D6E3B"/>
    <w:rsid w:val="007D732F"/>
    <w:rsid w:val="007D7447"/>
    <w:rsid w:val="007D7697"/>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458C"/>
    <w:rsid w:val="007E471C"/>
    <w:rsid w:val="007E4C5E"/>
    <w:rsid w:val="007E4DC1"/>
    <w:rsid w:val="007E5354"/>
    <w:rsid w:val="007E763C"/>
    <w:rsid w:val="007E7656"/>
    <w:rsid w:val="007F13BB"/>
    <w:rsid w:val="007F16E4"/>
    <w:rsid w:val="007F1D43"/>
    <w:rsid w:val="007F1E4D"/>
    <w:rsid w:val="007F1EBD"/>
    <w:rsid w:val="007F214C"/>
    <w:rsid w:val="007F2E1E"/>
    <w:rsid w:val="007F2ED8"/>
    <w:rsid w:val="007F35DF"/>
    <w:rsid w:val="007F370C"/>
    <w:rsid w:val="007F3DC5"/>
    <w:rsid w:val="007F4756"/>
    <w:rsid w:val="007F56A0"/>
    <w:rsid w:val="007F5BC6"/>
    <w:rsid w:val="007F6345"/>
    <w:rsid w:val="007F65C5"/>
    <w:rsid w:val="007F6BBD"/>
    <w:rsid w:val="007F6CC7"/>
    <w:rsid w:val="007F71AA"/>
    <w:rsid w:val="007F75BE"/>
    <w:rsid w:val="007F774A"/>
    <w:rsid w:val="008000BE"/>
    <w:rsid w:val="0080045E"/>
    <w:rsid w:val="008005B5"/>
    <w:rsid w:val="00800663"/>
    <w:rsid w:val="008008CC"/>
    <w:rsid w:val="00800C70"/>
    <w:rsid w:val="00800EB0"/>
    <w:rsid w:val="008011DD"/>
    <w:rsid w:val="0080149D"/>
    <w:rsid w:val="00801DCF"/>
    <w:rsid w:val="008027F1"/>
    <w:rsid w:val="0080289E"/>
    <w:rsid w:val="008028FD"/>
    <w:rsid w:val="00802A0B"/>
    <w:rsid w:val="00802B30"/>
    <w:rsid w:val="00802B74"/>
    <w:rsid w:val="00802BF1"/>
    <w:rsid w:val="00802E81"/>
    <w:rsid w:val="00803BCD"/>
    <w:rsid w:val="00804099"/>
    <w:rsid w:val="00804296"/>
    <w:rsid w:val="0080609A"/>
    <w:rsid w:val="008070E4"/>
    <w:rsid w:val="008071E5"/>
    <w:rsid w:val="00807267"/>
    <w:rsid w:val="00807692"/>
    <w:rsid w:val="00807CE5"/>
    <w:rsid w:val="00807DD4"/>
    <w:rsid w:val="008106DC"/>
    <w:rsid w:val="008108B0"/>
    <w:rsid w:val="00810AF1"/>
    <w:rsid w:val="00810FB6"/>
    <w:rsid w:val="0081140B"/>
    <w:rsid w:val="008118C5"/>
    <w:rsid w:val="0081196C"/>
    <w:rsid w:val="00811E91"/>
    <w:rsid w:val="008125BE"/>
    <w:rsid w:val="00812C82"/>
    <w:rsid w:val="00813355"/>
    <w:rsid w:val="00813908"/>
    <w:rsid w:val="00813ABC"/>
    <w:rsid w:val="00813F6C"/>
    <w:rsid w:val="00814199"/>
    <w:rsid w:val="0081489B"/>
    <w:rsid w:val="00814A6E"/>
    <w:rsid w:val="00815405"/>
    <w:rsid w:val="00815666"/>
    <w:rsid w:val="00815C28"/>
    <w:rsid w:val="00815D78"/>
    <w:rsid w:val="00816655"/>
    <w:rsid w:val="008176FE"/>
    <w:rsid w:val="00820034"/>
    <w:rsid w:val="00821206"/>
    <w:rsid w:val="00821395"/>
    <w:rsid w:val="0082159D"/>
    <w:rsid w:val="00821A19"/>
    <w:rsid w:val="00821D05"/>
    <w:rsid w:val="00821E32"/>
    <w:rsid w:val="00822192"/>
    <w:rsid w:val="008224C8"/>
    <w:rsid w:val="008229D0"/>
    <w:rsid w:val="00822CD2"/>
    <w:rsid w:val="00822DBF"/>
    <w:rsid w:val="00823077"/>
    <w:rsid w:val="0082355D"/>
    <w:rsid w:val="008237C8"/>
    <w:rsid w:val="008238A5"/>
    <w:rsid w:val="00823B30"/>
    <w:rsid w:val="00823D17"/>
    <w:rsid w:val="00823EE6"/>
    <w:rsid w:val="008240D7"/>
    <w:rsid w:val="00824136"/>
    <w:rsid w:val="008241A9"/>
    <w:rsid w:val="008242A6"/>
    <w:rsid w:val="0082437F"/>
    <w:rsid w:val="00824AE3"/>
    <w:rsid w:val="00824F20"/>
    <w:rsid w:val="00825044"/>
    <w:rsid w:val="008250CC"/>
    <w:rsid w:val="008257E2"/>
    <w:rsid w:val="00825D81"/>
    <w:rsid w:val="00825E91"/>
    <w:rsid w:val="0082697A"/>
    <w:rsid w:val="00826D1A"/>
    <w:rsid w:val="00826EFA"/>
    <w:rsid w:val="00827379"/>
    <w:rsid w:val="00827496"/>
    <w:rsid w:val="00827D08"/>
    <w:rsid w:val="00830179"/>
    <w:rsid w:val="0083019B"/>
    <w:rsid w:val="00830768"/>
    <w:rsid w:val="008312D3"/>
    <w:rsid w:val="0083161F"/>
    <w:rsid w:val="0083190B"/>
    <w:rsid w:val="00831DE6"/>
    <w:rsid w:val="00831E60"/>
    <w:rsid w:val="008327BB"/>
    <w:rsid w:val="00832F80"/>
    <w:rsid w:val="00833096"/>
    <w:rsid w:val="00833E99"/>
    <w:rsid w:val="0083543B"/>
    <w:rsid w:val="00835A76"/>
    <w:rsid w:val="0083662C"/>
    <w:rsid w:val="00836663"/>
    <w:rsid w:val="00836756"/>
    <w:rsid w:val="0083712C"/>
    <w:rsid w:val="0084056F"/>
    <w:rsid w:val="00840A45"/>
    <w:rsid w:val="00841928"/>
    <w:rsid w:val="00841A73"/>
    <w:rsid w:val="00841CA8"/>
    <w:rsid w:val="00841DF8"/>
    <w:rsid w:val="008429F6"/>
    <w:rsid w:val="008432A9"/>
    <w:rsid w:val="0084332F"/>
    <w:rsid w:val="008433DD"/>
    <w:rsid w:val="00843A73"/>
    <w:rsid w:val="00843F6D"/>
    <w:rsid w:val="00844300"/>
    <w:rsid w:val="0084454A"/>
    <w:rsid w:val="008446D6"/>
    <w:rsid w:val="00844C2C"/>
    <w:rsid w:val="00844E20"/>
    <w:rsid w:val="00845469"/>
    <w:rsid w:val="00845A19"/>
    <w:rsid w:val="00845C9A"/>
    <w:rsid w:val="00846033"/>
    <w:rsid w:val="008462CC"/>
    <w:rsid w:val="00846DFD"/>
    <w:rsid w:val="0084714F"/>
    <w:rsid w:val="008474C9"/>
    <w:rsid w:val="008479D0"/>
    <w:rsid w:val="0085055E"/>
    <w:rsid w:val="00850C55"/>
    <w:rsid w:val="00850FD2"/>
    <w:rsid w:val="0085119B"/>
    <w:rsid w:val="0085151A"/>
    <w:rsid w:val="00851625"/>
    <w:rsid w:val="00851793"/>
    <w:rsid w:val="008522E2"/>
    <w:rsid w:val="00852325"/>
    <w:rsid w:val="00852684"/>
    <w:rsid w:val="00852936"/>
    <w:rsid w:val="00853379"/>
    <w:rsid w:val="008537D1"/>
    <w:rsid w:val="008539F0"/>
    <w:rsid w:val="00853C02"/>
    <w:rsid w:val="008540FF"/>
    <w:rsid w:val="008544CD"/>
    <w:rsid w:val="008544FE"/>
    <w:rsid w:val="00854507"/>
    <w:rsid w:val="008549BA"/>
    <w:rsid w:val="00854D59"/>
    <w:rsid w:val="00855E08"/>
    <w:rsid w:val="008564DD"/>
    <w:rsid w:val="00856817"/>
    <w:rsid w:val="00856C0B"/>
    <w:rsid w:val="00856CAF"/>
    <w:rsid w:val="00856E68"/>
    <w:rsid w:val="00856FDA"/>
    <w:rsid w:val="008570F2"/>
    <w:rsid w:val="00857306"/>
    <w:rsid w:val="0085748C"/>
    <w:rsid w:val="008574D5"/>
    <w:rsid w:val="0085763C"/>
    <w:rsid w:val="00857ED1"/>
    <w:rsid w:val="008600FF"/>
    <w:rsid w:val="0086015E"/>
    <w:rsid w:val="00860B2E"/>
    <w:rsid w:val="00860F96"/>
    <w:rsid w:val="00861EA9"/>
    <w:rsid w:val="008621C2"/>
    <w:rsid w:val="00862410"/>
    <w:rsid w:val="008625E9"/>
    <w:rsid w:val="008626D2"/>
    <w:rsid w:val="008628CC"/>
    <w:rsid w:val="00862BAE"/>
    <w:rsid w:val="00863995"/>
    <w:rsid w:val="00863F15"/>
    <w:rsid w:val="00864247"/>
    <w:rsid w:val="00864403"/>
    <w:rsid w:val="008646C7"/>
    <w:rsid w:val="00865A38"/>
    <w:rsid w:val="00866C0A"/>
    <w:rsid w:val="00870680"/>
    <w:rsid w:val="008708D3"/>
    <w:rsid w:val="00871797"/>
    <w:rsid w:val="00871A7B"/>
    <w:rsid w:val="00871CFE"/>
    <w:rsid w:val="00871E6E"/>
    <w:rsid w:val="0087208E"/>
    <w:rsid w:val="008721C3"/>
    <w:rsid w:val="00873794"/>
    <w:rsid w:val="00873998"/>
    <w:rsid w:val="00873C4C"/>
    <w:rsid w:val="00874685"/>
    <w:rsid w:val="00874745"/>
    <w:rsid w:val="008747D5"/>
    <w:rsid w:val="00874830"/>
    <w:rsid w:val="008757AF"/>
    <w:rsid w:val="008762B0"/>
    <w:rsid w:val="00877510"/>
    <w:rsid w:val="008803AE"/>
    <w:rsid w:val="008815B7"/>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0F9E"/>
    <w:rsid w:val="008918C1"/>
    <w:rsid w:val="00891E4E"/>
    <w:rsid w:val="00891FEC"/>
    <w:rsid w:val="00892B0F"/>
    <w:rsid w:val="008931AF"/>
    <w:rsid w:val="008939AA"/>
    <w:rsid w:val="00893E1D"/>
    <w:rsid w:val="008940D8"/>
    <w:rsid w:val="008943E5"/>
    <w:rsid w:val="008943E9"/>
    <w:rsid w:val="00894665"/>
    <w:rsid w:val="00895885"/>
    <w:rsid w:val="008963A9"/>
    <w:rsid w:val="00896670"/>
    <w:rsid w:val="0089667E"/>
    <w:rsid w:val="0089689A"/>
    <w:rsid w:val="00896971"/>
    <w:rsid w:val="00896B83"/>
    <w:rsid w:val="0089716D"/>
    <w:rsid w:val="00897847"/>
    <w:rsid w:val="008979DD"/>
    <w:rsid w:val="00897C3E"/>
    <w:rsid w:val="008A05FB"/>
    <w:rsid w:val="008A098B"/>
    <w:rsid w:val="008A0DC1"/>
    <w:rsid w:val="008A0E3F"/>
    <w:rsid w:val="008A0E70"/>
    <w:rsid w:val="008A167D"/>
    <w:rsid w:val="008A1E9B"/>
    <w:rsid w:val="008A218F"/>
    <w:rsid w:val="008A2BDC"/>
    <w:rsid w:val="008A3AAD"/>
    <w:rsid w:val="008A4562"/>
    <w:rsid w:val="008A4638"/>
    <w:rsid w:val="008A4D52"/>
    <w:rsid w:val="008A53AA"/>
    <w:rsid w:val="008A556E"/>
    <w:rsid w:val="008A5971"/>
    <w:rsid w:val="008A5B9F"/>
    <w:rsid w:val="008A6465"/>
    <w:rsid w:val="008A6535"/>
    <w:rsid w:val="008A74DA"/>
    <w:rsid w:val="008A774E"/>
    <w:rsid w:val="008A79A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C56"/>
    <w:rsid w:val="008B4F1F"/>
    <w:rsid w:val="008B5845"/>
    <w:rsid w:val="008B5898"/>
    <w:rsid w:val="008B6170"/>
    <w:rsid w:val="008B68CE"/>
    <w:rsid w:val="008B7008"/>
    <w:rsid w:val="008B75BF"/>
    <w:rsid w:val="008B7DDD"/>
    <w:rsid w:val="008C0549"/>
    <w:rsid w:val="008C0A87"/>
    <w:rsid w:val="008C1094"/>
    <w:rsid w:val="008C168C"/>
    <w:rsid w:val="008C19F6"/>
    <w:rsid w:val="008C1D95"/>
    <w:rsid w:val="008C2083"/>
    <w:rsid w:val="008C235E"/>
    <w:rsid w:val="008C253D"/>
    <w:rsid w:val="008C3347"/>
    <w:rsid w:val="008C354F"/>
    <w:rsid w:val="008C38DD"/>
    <w:rsid w:val="008C3AB5"/>
    <w:rsid w:val="008C3BEE"/>
    <w:rsid w:val="008C4931"/>
    <w:rsid w:val="008C4A12"/>
    <w:rsid w:val="008C4B74"/>
    <w:rsid w:val="008C56CB"/>
    <w:rsid w:val="008C5C18"/>
    <w:rsid w:val="008C5C7F"/>
    <w:rsid w:val="008C6128"/>
    <w:rsid w:val="008C65D8"/>
    <w:rsid w:val="008C6682"/>
    <w:rsid w:val="008C72F1"/>
    <w:rsid w:val="008C75F6"/>
    <w:rsid w:val="008C782E"/>
    <w:rsid w:val="008C78DE"/>
    <w:rsid w:val="008C78E7"/>
    <w:rsid w:val="008C7EAE"/>
    <w:rsid w:val="008C7EE3"/>
    <w:rsid w:val="008D0088"/>
    <w:rsid w:val="008D0583"/>
    <w:rsid w:val="008D09DD"/>
    <w:rsid w:val="008D0BEC"/>
    <w:rsid w:val="008D0E7A"/>
    <w:rsid w:val="008D122B"/>
    <w:rsid w:val="008D1C1A"/>
    <w:rsid w:val="008D33C0"/>
    <w:rsid w:val="008D3953"/>
    <w:rsid w:val="008D3D80"/>
    <w:rsid w:val="008D4144"/>
    <w:rsid w:val="008D4201"/>
    <w:rsid w:val="008D423C"/>
    <w:rsid w:val="008D4556"/>
    <w:rsid w:val="008D5215"/>
    <w:rsid w:val="008D56BA"/>
    <w:rsid w:val="008D5E33"/>
    <w:rsid w:val="008D6C53"/>
    <w:rsid w:val="008D6E4F"/>
    <w:rsid w:val="008D7ED7"/>
    <w:rsid w:val="008D7FE8"/>
    <w:rsid w:val="008E009C"/>
    <w:rsid w:val="008E03DB"/>
    <w:rsid w:val="008E05B4"/>
    <w:rsid w:val="008E075D"/>
    <w:rsid w:val="008E0D70"/>
    <w:rsid w:val="008E251A"/>
    <w:rsid w:val="008E2543"/>
    <w:rsid w:val="008E2660"/>
    <w:rsid w:val="008E28FB"/>
    <w:rsid w:val="008E306C"/>
    <w:rsid w:val="008E3110"/>
    <w:rsid w:val="008E32E3"/>
    <w:rsid w:val="008E3720"/>
    <w:rsid w:val="008E4099"/>
    <w:rsid w:val="008E4654"/>
    <w:rsid w:val="008E48C9"/>
    <w:rsid w:val="008E498C"/>
    <w:rsid w:val="008E57DC"/>
    <w:rsid w:val="008E5B4D"/>
    <w:rsid w:val="008E5F26"/>
    <w:rsid w:val="008E62EB"/>
    <w:rsid w:val="008E64D8"/>
    <w:rsid w:val="008E7042"/>
    <w:rsid w:val="008E730C"/>
    <w:rsid w:val="008E76FC"/>
    <w:rsid w:val="008E7851"/>
    <w:rsid w:val="008E7BA0"/>
    <w:rsid w:val="008F00AD"/>
    <w:rsid w:val="008F1591"/>
    <w:rsid w:val="008F16E0"/>
    <w:rsid w:val="008F16FF"/>
    <w:rsid w:val="008F2654"/>
    <w:rsid w:val="008F2E65"/>
    <w:rsid w:val="008F3258"/>
    <w:rsid w:val="008F32CB"/>
    <w:rsid w:val="008F4279"/>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1B94"/>
    <w:rsid w:val="0090206D"/>
    <w:rsid w:val="009022C6"/>
    <w:rsid w:val="00902AF9"/>
    <w:rsid w:val="00902D49"/>
    <w:rsid w:val="009034A8"/>
    <w:rsid w:val="00903C59"/>
    <w:rsid w:val="00903EED"/>
    <w:rsid w:val="00903F16"/>
    <w:rsid w:val="00904CBD"/>
    <w:rsid w:val="00904ED0"/>
    <w:rsid w:val="00905058"/>
    <w:rsid w:val="0090565A"/>
    <w:rsid w:val="00905D8A"/>
    <w:rsid w:val="0090621A"/>
    <w:rsid w:val="00906940"/>
    <w:rsid w:val="009076D0"/>
    <w:rsid w:val="009077DC"/>
    <w:rsid w:val="00910EDE"/>
    <w:rsid w:val="0091147F"/>
    <w:rsid w:val="00911D26"/>
    <w:rsid w:val="00911EE8"/>
    <w:rsid w:val="00912A3F"/>
    <w:rsid w:val="00912A6B"/>
    <w:rsid w:val="00912C2D"/>
    <w:rsid w:val="00912ED6"/>
    <w:rsid w:val="009132AC"/>
    <w:rsid w:val="0091337B"/>
    <w:rsid w:val="009134D2"/>
    <w:rsid w:val="00914307"/>
    <w:rsid w:val="00914898"/>
    <w:rsid w:val="00914974"/>
    <w:rsid w:val="0091642B"/>
    <w:rsid w:val="0091660E"/>
    <w:rsid w:val="0091696F"/>
    <w:rsid w:val="00916D90"/>
    <w:rsid w:val="0091722D"/>
    <w:rsid w:val="009177FF"/>
    <w:rsid w:val="0091791E"/>
    <w:rsid w:val="0092067E"/>
    <w:rsid w:val="0092068A"/>
    <w:rsid w:val="00920765"/>
    <w:rsid w:val="00920876"/>
    <w:rsid w:val="00920FF1"/>
    <w:rsid w:val="0092111F"/>
    <w:rsid w:val="0092112F"/>
    <w:rsid w:val="00921867"/>
    <w:rsid w:val="00921D87"/>
    <w:rsid w:val="00923BD5"/>
    <w:rsid w:val="00923C48"/>
    <w:rsid w:val="00925D44"/>
    <w:rsid w:val="00927016"/>
    <w:rsid w:val="00927B47"/>
    <w:rsid w:val="0093065C"/>
    <w:rsid w:val="00930F9B"/>
    <w:rsid w:val="00931744"/>
    <w:rsid w:val="009325CE"/>
    <w:rsid w:val="00932BD5"/>
    <w:rsid w:val="009336CA"/>
    <w:rsid w:val="00933B60"/>
    <w:rsid w:val="00933C2F"/>
    <w:rsid w:val="0093407B"/>
    <w:rsid w:val="00935167"/>
    <w:rsid w:val="00935806"/>
    <w:rsid w:val="00937AF1"/>
    <w:rsid w:val="009404AB"/>
    <w:rsid w:val="009407EE"/>
    <w:rsid w:val="00941013"/>
    <w:rsid w:val="0094173C"/>
    <w:rsid w:val="009418CA"/>
    <w:rsid w:val="00941F07"/>
    <w:rsid w:val="0094213C"/>
    <w:rsid w:val="00942430"/>
    <w:rsid w:val="00942708"/>
    <w:rsid w:val="009431B8"/>
    <w:rsid w:val="0094330D"/>
    <w:rsid w:val="00943B03"/>
    <w:rsid w:val="00943F70"/>
    <w:rsid w:val="009443A5"/>
    <w:rsid w:val="009446D6"/>
    <w:rsid w:val="009449C3"/>
    <w:rsid w:val="00944F8F"/>
    <w:rsid w:val="0094573F"/>
    <w:rsid w:val="009457A0"/>
    <w:rsid w:val="00945A70"/>
    <w:rsid w:val="00945D79"/>
    <w:rsid w:val="0094691D"/>
    <w:rsid w:val="00947DBC"/>
    <w:rsid w:val="00947F4D"/>
    <w:rsid w:val="00950024"/>
    <w:rsid w:val="009507BB"/>
    <w:rsid w:val="00950878"/>
    <w:rsid w:val="009509B0"/>
    <w:rsid w:val="00950C27"/>
    <w:rsid w:val="00950D76"/>
    <w:rsid w:val="00950E13"/>
    <w:rsid w:val="00950EDB"/>
    <w:rsid w:val="00950F1E"/>
    <w:rsid w:val="00950FA9"/>
    <w:rsid w:val="009510BF"/>
    <w:rsid w:val="0095116F"/>
    <w:rsid w:val="009518D9"/>
    <w:rsid w:val="0095278D"/>
    <w:rsid w:val="00952C48"/>
    <w:rsid w:val="00952D9C"/>
    <w:rsid w:val="0095310E"/>
    <w:rsid w:val="0095384A"/>
    <w:rsid w:val="00953FCA"/>
    <w:rsid w:val="009541CC"/>
    <w:rsid w:val="009542B2"/>
    <w:rsid w:val="0095438D"/>
    <w:rsid w:val="009545F7"/>
    <w:rsid w:val="00954922"/>
    <w:rsid w:val="00954967"/>
    <w:rsid w:val="009549BD"/>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70C"/>
    <w:rsid w:val="0096283C"/>
    <w:rsid w:val="00963683"/>
    <w:rsid w:val="00963CCF"/>
    <w:rsid w:val="00964224"/>
    <w:rsid w:val="00964BFC"/>
    <w:rsid w:val="00964E09"/>
    <w:rsid w:val="009651CF"/>
    <w:rsid w:val="0096536C"/>
    <w:rsid w:val="009656CC"/>
    <w:rsid w:val="00965843"/>
    <w:rsid w:val="00965A42"/>
    <w:rsid w:val="0096626C"/>
    <w:rsid w:val="009665A2"/>
    <w:rsid w:val="00966723"/>
    <w:rsid w:val="00966A73"/>
    <w:rsid w:val="009678D2"/>
    <w:rsid w:val="00967C24"/>
    <w:rsid w:val="00967D21"/>
    <w:rsid w:val="009702AC"/>
    <w:rsid w:val="009705C8"/>
    <w:rsid w:val="00970C3F"/>
    <w:rsid w:val="00971006"/>
    <w:rsid w:val="009718CA"/>
    <w:rsid w:val="00971906"/>
    <w:rsid w:val="00971C6C"/>
    <w:rsid w:val="00972EEE"/>
    <w:rsid w:val="00973147"/>
    <w:rsid w:val="009749C6"/>
    <w:rsid w:val="00974D98"/>
    <w:rsid w:val="00974DC6"/>
    <w:rsid w:val="0097561D"/>
    <w:rsid w:val="00975723"/>
    <w:rsid w:val="00975ED8"/>
    <w:rsid w:val="00976958"/>
    <w:rsid w:val="00976B65"/>
    <w:rsid w:val="00976F0A"/>
    <w:rsid w:val="009770CE"/>
    <w:rsid w:val="00977303"/>
    <w:rsid w:val="009777B8"/>
    <w:rsid w:val="0098094E"/>
    <w:rsid w:val="00980EBF"/>
    <w:rsid w:val="00982278"/>
    <w:rsid w:val="00983055"/>
    <w:rsid w:val="00983C6F"/>
    <w:rsid w:val="00983CEE"/>
    <w:rsid w:val="00984328"/>
    <w:rsid w:val="0098453F"/>
    <w:rsid w:val="00984FB6"/>
    <w:rsid w:val="0098558B"/>
    <w:rsid w:val="009859D1"/>
    <w:rsid w:val="00985A0D"/>
    <w:rsid w:val="0098603C"/>
    <w:rsid w:val="00986413"/>
    <w:rsid w:val="00986B0C"/>
    <w:rsid w:val="00986D79"/>
    <w:rsid w:val="00986E45"/>
    <w:rsid w:val="009870FF"/>
    <w:rsid w:val="00987747"/>
    <w:rsid w:val="00987B41"/>
    <w:rsid w:val="00987F8E"/>
    <w:rsid w:val="00990906"/>
    <w:rsid w:val="009913FE"/>
    <w:rsid w:val="009914AB"/>
    <w:rsid w:val="009917CE"/>
    <w:rsid w:val="0099199B"/>
    <w:rsid w:val="00991C6F"/>
    <w:rsid w:val="00991C78"/>
    <w:rsid w:val="00992AC9"/>
    <w:rsid w:val="00992F03"/>
    <w:rsid w:val="009932B5"/>
    <w:rsid w:val="00993B11"/>
    <w:rsid w:val="00993E8C"/>
    <w:rsid w:val="00993FB4"/>
    <w:rsid w:val="00994D8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5A0"/>
    <w:rsid w:val="009A08A6"/>
    <w:rsid w:val="009A096C"/>
    <w:rsid w:val="009A0CFD"/>
    <w:rsid w:val="009A17D0"/>
    <w:rsid w:val="009A1883"/>
    <w:rsid w:val="009A2664"/>
    <w:rsid w:val="009A2C5E"/>
    <w:rsid w:val="009A359F"/>
    <w:rsid w:val="009A36CE"/>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27"/>
    <w:rsid w:val="009B30D5"/>
    <w:rsid w:val="009B3166"/>
    <w:rsid w:val="009B4184"/>
    <w:rsid w:val="009B46D3"/>
    <w:rsid w:val="009B4781"/>
    <w:rsid w:val="009B5285"/>
    <w:rsid w:val="009B5576"/>
    <w:rsid w:val="009B5A29"/>
    <w:rsid w:val="009B63C4"/>
    <w:rsid w:val="009B6F42"/>
    <w:rsid w:val="009B7A5F"/>
    <w:rsid w:val="009B7A89"/>
    <w:rsid w:val="009B7C1B"/>
    <w:rsid w:val="009B7E67"/>
    <w:rsid w:val="009C0E80"/>
    <w:rsid w:val="009C15DD"/>
    <w:rsid w:val="009C1AC8"/>
    <w:rsid w:val="009C2305"/>
    <w:rsid w:val="009C29A6"/>
    <w:rsid w:val="009C2CAA"/>
    <w:rsid w:val="009C2FC1"/>
    <w:rsid w:val="009C31A8"/>
    <w:rsid w:val="009C376E"/>
    <w:rsid w:val="009C3975"/>
    <w:rsid w:val="009C3D92"/>
    <w:rsid w:val="009C478E"/>
    <w:rsid w:val="009C4D03"/>
    <w:rsid w:val="009C52A5"/>
    <w:rsid w:val="009C5745"/>
    <w:rsid w:val="009C599D"/>
    <w:rsid w:val="009C69F0"/>
    <w:rsid w:val="009C6FDA"/>
    <w:rsid w:val="009C7269"/>
    <w:rsid w:val="009C7842"/>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0E1"/>
    <w:rsid w:val="009D5647"/>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2F7"/>
    <w:rsid w:val="009E450A"/>
    <w:rsid w:val="009E4AF1"/>
    <w:rsid w:val="009E4F95"/>
    <w:rsid w:val="009E594E"/>
    <w:rsid w:val="009E5A84"/>
    <w:rsid w:val="009E66B1"/>
    <w:rsid w:val="009E687E"/>
    <w:rsid w:val="009E6FE5"/>
    <w:rsid w:val="009E7143"/>
    <w:rsid w:val="009E7E92"/>
    <w:rsid w:val="009E7EC8"/>
    <w:rsid w:val="009F047B"/>
    <w:rsid w:val="009F0AD7"/>
    <w:rsid w:val="009F0CAE"/>
    <w:rsid w:val="009F0DCA"/>
    <w:rsid w:val="009F13D7"/>
    <w:rsid w:val="009F14CD"/>
    <w:rsid w:val="009F16DD"/>
    <w:rsid w:val="009F1B1D"/>
    <w:rsid w:val="009F23A7"/>
    <w:rsid w:val="009F2476"/>
    <w:rsid w:val="009F2FE1"/>
    <w:rsid w:val="009F351B"/>
    <w:rsid w:val="009F3F56"/>
    <w:rsid w:val="009F41F2"/>
    <w:rsid w:val="009F4257"/>
    <w:rsid w:val="009F48D4"/>
    <w:rsid w:val="009F4AEC"/>
    <w:rsid w:val="009F4DFB"/>
    <w:rsid w:val="009F507F"/>
    <w:rsid w:val="009F574E"/>
    <w:rsid w:val="009F63A0"/>
    <w:rsid w:val="009F6A33"/>
    <w:rsid w:val="009F6F0F"/>
    <w:rsid w:val="00A0029C"/>
    <w:rsid w:val="00A00400"/>
    <w:rsid w:val="00A005BB"/>
    <w:rsid w:val="00A00953"/>
    <w:rsid w:val="00A01310"/>
    <w:rsid w:val="00A01638"/>
    <w:rsid w:val="00A01C8B"/>
    <w:rsid w:val="00A01CED"/>
    <w:rsid w:val="00A0222A"/>
    <w:rsid w:val="00A02BF6"/>
    <w:rsid w:val="00A0357C"/>
    <w:rsid w:val="00A03DE2"/>
    <w:rsid w:val="00A03F69"/>
    <w:rsid w:val="00A053ED"/>
    <w:rsid w:val="00A058D4"/>
    <w:rsid w:val="00A05CD2"/>
    <w:rsid w:val="00A06606"/>
    <w:rsid w:val="00A07A94"/>
    <w:rsid w:val="00A07AE1"/>
    <w:rsid w:val="00A07AFC"/>
    <w:rsid w:val="00A07C86"/>
    <w:rsid w:val="00A07EF6"/>
    <w:rsid w:val="00A100AA"/>
    <w:rsid w:val="00A10491"/>
    <w:rsid w:val="00A106AC"/>
    <w:rsid w:val="00A10A1E"/>
    <w:rsid w:val="00A10B0F"/>
    <w:rsid w:val="00A1135E"/>
    <w:rsid w:val="00A11ECC"/>
    <w:rsid w:val="00A124D6"/>
    <w:rsid w:val="00A12752"/>
    <w:rsid w:val="00A13233"/>
    <w:rsid w:val="00A13D22"/>
    <w:rsid w:val="00A14613"/>
    <w:rsid w:val="00A15149"/>
    <w:rsid w:val="00A15623"/>
    <w:rsid w:val="00A15907"/>
    <w:rsid w:val="00A15987"/>
    <w:rsid w:val="00A15B58"/>
    <w:rsid w:val="00A166AF"/>
    <w:rsid w:val="00A16AC7"/>
    <w:rsid w:val="00A20385"/>
    <w:rsid w:val="00A2090F"/>
    <w:rsid w:val="00A2095E"/>
    <w:rsid w:val="00A209D9"/>
    <w:rsid w:val="00A20EA3"/>
    <w:rsid w:val="00A20FE7"/>
    <w:rsid w:val="00A21167"/>
    <w:rsid w:val="00A217AF"/>
    <w:rsid w:val="00A21F2C"/>
    <w:rsid w:val="00A22685"/>
    <w:rsid w:val="00A227DA"/>
    <w:rsid w:val="00A228C2"/>
    <w:rsid w:val="00A22936"/>
    <w:rsid w:val="00A22B4E"/>
    <w:rsid w:val="00A22ED0"/>
    <w:rsid w:val="00A23092"/>
    <w:rsid w:val="00A237C7"/>
    <w:rsid w:val="00A2405C"/>
    <w:rsid w:val="00A241F3"/>
    <w:rsid w:val="00A245BF"/>
    <w:rsid w:val="00A24A94"/>
    <w:rsid w:val="00A24CA7"/>
    <w:rsid w:val="00A2504D"/>
    <w:rsid w:val="00A25BFD"/>
    <w:rsid w:val="00A25D55"/>
    <w:rsid w:val="00A26AA1"/>
    <w:rsid w:val="00A26BA2"/>
    <w:rsid w:val="00A27505"/>
    <w:rsid w:val="00A27612"/>
    <w:rsid w:val="00A27A5F"/>
    <w:rsid w:val="00A27B9B"/>
    <w:rsid w:val="00A3002C"/>
    <w:rsid w:val="00A3071A"/>
    <w:rsid w:val="00A311CD"/>
    <w:rsid w:val="00A312C9"/>
    <w:rsid w:val="00A317BB"/>
    <w:rsid w:val="00A32996"/>
    <w:rsid w:val="00A32B8D"/>
    <w:rsid w:val="00A3402F"/>
    <w:rsid w:val="00A34256"/>
    <w:rsid w:val="00A343CC"/>
    <w:rsid w:val="00A346D0"/>
    <w:rsid w:val="00A34A27"/>
    <w:rsid w:val="00A350FF"/>
    <w:rsid w:val="00A35604"/>
    <w:rsid w:val="00A36240"/>
    <w:rsid w:val="00A36D28"/>
    <w:rsid w:val="00A36DAB"/>
    <w:rsid w:val="00A36DB1"/>
    <w:rsid w:val="00A371CE"/>
    <w:rsid w:val="00A375FB"/>
    <w:rsid w:val="00A37825"/>
    <w:rsid w:val="00A37A78"/>
    <w:rsid w:val="00A37F29"/>
    <w:rsid w:val="00A40232"/>
    <w:rsid w:val="00A405D5"/>
    <w:rsid w:val="00A40BDE"/>
    <w:rsid w:val="00A40CDE"/>
    <w:rsid w:val="00A40E99"/>
    <w:rsid w:val="00A411F9"/>
    <w:rsid w:val="00A41272"/>
    <w:rsid w:val="00A417B7"/>
    <w:rsid w:val="00A41879"/>
    <w:rsid w:val="00A41884"/>
    <w:rsid w:val="00A41D0D"/>
    <w:rsid w:val="00A4219B"/>
    <w:rsid w:val="00A42784"/>
    <w:rsid w:val="00A42A85"/>
    <w:rsid w:val="00A42B03"/>
    <w:rsid w:val="00A42B4B"/>
    <w:rsid w:val="00A43F3D"/>
    <w:rsid w:val="00A43F9E"/>
    <w:rsid w:val="00A44756"/>
    <w:rsid w:val="00A44872"/>
    <w:rsid w:val="00A45337"/>
    <w:rsid w:val="00A45386"/>
    <w:rsid w:val="00A45F99"/>
    <w:rsid w:val="00A46662"/>
    <w:rsid w:val="00A46B9A"/>
    <w:rsid w:val="00A46D68"/>
    <w:rsid w:val="00A473A1"/>
    <w:rsid w:val="00A508F7"/>
    <w:rsid w:val="00A5104C"/>
    <w:rsid w:val="00A510D9"/>
    <w:rsid w:val="00A51297"/>
    <w:rsid w:val="00A51CE1"/>
    <w:rsid w:val="00A51F57"/>
    <w:rsid w:val="00A51F98"/>
    <w:rsid w:val="00A521C6"/>
    <w:rsid w:val="00A5317D"/>
    <w:rsid w:val="00A53399"/>
    <w:rsid w:val="00A53615"/>
    <w:rsid w:val="00A53C8C"/>
    <w:rsid w:val="00A53DBD"/>
    <w:rsid w:val="00A546D0"/>
    <w:rsid w:val="00A548DF"/>
    <w:rsid w:val="00A549A2"/>
    <w:rsid w:val="00A54D21"/>
    <w:rsid w:val="00A550AC"/>
    <w:rsid w:val="00A553FC"/>
    <w:rsid w:val="00A55581"/>
    <w:rsid w:val="00A556FB"/>
    <w:rsid w:val="00A55939"/>
    <w:rsid w:val="00A55A47"/>
    <w:rsid w:val="00A560EF"/>
    <w:rsid w:val="00A56C70"/>
    <w:rsid w:val="00A571FD"/>
    <w:rsid w:val="00A57766"/>
    <w:rsid w:val="00A60195"/>
    <w:rsid w:val="00A6161B"/>
    <w:rsid w:val="00A6182D"/>
    <w:rsid w:val="00A61AB2"/>
    <w:rsid w:val="00A62594"/>
    <w:rsid w:val="00A62F33"/>
    <w:rsid w:val="00A62F96"/>
    <w:rsid w:val="00A63205"/>
    <w:rsid w:val="00A63208"/>
    <w:rsid w:val="00A63444"/>
    <w:rsid w:val="00A63579"/>
    <w:rsid w:val="00A63990"/>
    <w:rsid w:val="00A63EBC"/>
    <w:rsid w:val="00A63EF1"/>
    <w:rsid w:val="00A64073"/>
    <w:rsid w:val="00A64E9C"/>
    <w:rsid w:val="00A6523E"/>
    <w:rsid w:val="00A6558E"/>
    <w:rsid w:val="00A66400"/>
    <w:rsid w:val="00A66BAD"/>
    <w:rsid w:val="00A67760"/>
    <w:rsid w:val="00A67AAB"/>
    <w:rsid w:val="00A7153A"/>
    <w:rsid w:val="00A716F5"/>
    <w:rsid w:val="00A71797"/>
    <w:rsid w:val="00A718C6"/>
    <w:rsid w:val="00A731CF"/>
    <w:rsid w:val="00A73AD6"/>
    <w:rsid w:val="00A73CA6"/>
    <w:rsid w:val="00A741D2"/>
    <w:rsid w:val="00A743A3"/>
    <w:rsid w:val="00A7467B"/>
    <w:rsid w:val="00A74D7D"/>
    <w:rsid w:val="00A75713"/>
    <w:rsid w:val="00A75E30"/>
    <w:rsid w:val="00A75F06"/>
    <w:rsid w:val="00A75F9A"/>
    <w:rsid w:val="00A763D1"/>
    <w:rsid w:val="00A76892"/>
    <w:rsid w:val="00A7691F"/>
    <w:rsid w:val="00A77F87"/>
    <w:rsid w:val="00A805D8"/>
    <w:rsid w:val="00A80822"/>
    <w:rsid w:val="00A813F9"/>
    <w:rsid w:val="00A821E1"/>
    <w:rsid w:val="00A822DA"/>
    <w:rsid w:val="00A825B2"/>
    <w:rsid w:val="00A825CE"/>
    <w:rsid w:val="00A82D5C"/>
    <w:rsid w:val="00A82F83"/>
    <w:rsid w:val="00A8302B"/>
    <w:rsid w:val="00A83200"/>
    <w:rsid w:val="00A834C0"/>
    <w:rsid w:val="00A83954"/>
    <w:rsid w:val="00A8418C"/>
    <w:rsid w:val="00A84614"/>
    <w:rsid w:val="00A84C2D"/>
    <w:rsid w:val="00A84DE4"/>
    <w:rsid w:val="00A8550B"/>
    <w:rsid w:val="00A85AD2"/>
    <w:rsid w:val="00A85B06"/>
    <w:rsid w:val="00A85DC2"/>
    <w:rsid w:val="00A860BB"/>
    <w:rsid w:val="00A860FB"/>
    <w:rsid w:val="00A86567"/>
    <w:rsid w:val="00A869BC"/>
    <w:rsid w:val="00A86D9D"/>
    <w:rsid w:val="00A8726B"/>
    <w:rsid w:val="00A87EFB"/>
    <w:rsid w:val="00A905D5"/>
    <w:rsid w:val="00A90F35"/>
    <w:rsid w:val="00A91090"/>
    <w:rsid w:val="00A911AF"/>
    <w:rsid w:val="00A91571"/>
    <w:rsid w:val="00A91625"/>
    <w:rsid w:val="00A92649"/>
    <w:rsid w:val="00A92732"/>
    <w:rsid w:val="00A927F7"/>
    <w:rsid w:val="00A92AD0"/>
    <w:rsid w:val="00A92D38"/>
    <w:rsid w:val="00A92E54"/>
    <w:rsid w:val="00A9334A"/>
    <w:rsid w:val="00A9338A"/>
    <w:rsid w:val="00A93465"/>
    <w:rsid w:val="00A9373B"/>
    <w:rsid w:val="00A94197"/>
    <w:rsid w:val="00A94445"/>
    <w:rsid w:val="00A9506F"/>
    <w:rsid w:val="00A95961"/>
    <w:rsid w:val="00A9605A"/>
    <w:rsid w:val="00A96503"/>
    <w:rsid w:val="00A96967"/>
    <w:rsid w:val="00AA0018"/>
    <w:rsid w:val="00AA0B3E"/>
    <w:rsid w:val="00AA142F"/>
    <w:rsid w:val="00AA16D4"/>
    <w:rsid w:val="00AA1762"/>
    <w:rsid w:val="00AA1780"/>
    <w:rsid w:val="00AA17E7"/>
    <w:rsid w:val="00AA22B2"/>
    <w:rsid w:val="00AA2345"/>
    <w:rsid w:val="00AA27DF"/>
    <w:rsid w:val="00AA2861"/>
    <w:rsid w:val="00AA352B"/>
    <w:rsid w:val="00AA353E"/>
    <w:rsid w:val="00AA371C"/>
    <w:rsid w:val="00AA4182"/>
    <w:rsid w:val="00AA4F34"/>
    <w:rsid w:val="00AA5128"/>
    <w:rsid w:val="00AA5746"/>
    <w:rsid w:val="00AA5EC2"/>
    <w:rsid w:val="00AA6776"/>
    <w:rsid w:val="00AA6C49"/>
    <w:rsid w:val="00AA6CF1"/>
    <w:rsid w:val="00AA7861"/>
    <w:rsid w:val="00AA7F88"/>
    <w:rsid w:val="00AB01B6"/>
    <w:rsid w:val="00AB0A14"/>
    <w:rsid w:val="00AB0BF6"/>
    <w:rsid w:val="00AB0D0D"/>
    <w:rsid w:val="00AB132A"/>
    <w:rsid w:val="00AB1C6F"/>
    <w:rsid w:val="00AB1C81"/>
    <w:rsid w:val="00AB205D"/>
    <w:rsid w:val="00AB271D"/>
    <w:rsid w:val="00AB343C"/>
    <w:rsid w:val="00AB3C5A"/>
    <w:rsid w:val="00AB3D4C"/>
    <w:rsid w:val="00AB3EE6"/>
    <w:rsid w:val="00AB4158"/>
    <w:rsid w:val="00AB4D4A"/>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3182"/>
    <w:rsid w:val="00AC40A4"/>
    <w:rsid w:val="00AC4D0E"/>
    <w:rsid w:val="00AC5900"/>
    <w:rsid w:val="00AC5EFA"/>
    <w:rsid w:val="00AC6587"/>
    <w:rsid w:val="00AC6A7C"/>
    <w:rsid w:val="00AC6B2D"/>
    <w:rsid w:val="00AC6BC2"/>
    <w:rsid w:val="00AC6DC4"/>
    <w:rsid w:val="00AC766E"/>
    <w:rsid w:val="00AC7691"/>
    <w:rsid w:val="00AD001F"/>
    <w:rsid w:val="00AD083D"/>
    <w:rsid w:val="00AD0A49"/>
    <w:rsid w:val="00AD117A"/>
    <w:rsid w:val="00AD147E"/>
    <w:rsid w:val="00AD1745"/>
    <w:rsid w:val="00AD18FB"/>
    <w:rsid w:val="00AD19F6"/>
    <w:rsid w:val="00AD1E39"/>
    <w:rsid w:val="00AD200D"/>
    <w:rsid w:val="00AD2496"/>
    <w:rsid w:val="00AD2AF9"/>
    <w:rsid w:val="00AD2D64"/>
    <w:rsid w:val="00AD2DD2"/>
    <w:rsid w:val="00AD3106"/>
    <w:rsid w:val="00AD32A1"/>
    <w:rsid w:val="00AD35AE"/>
    <w:rsid w:val="00AD3B25"/>
    <w:rsid w:val="00AD3B38"/>
    <w:rsid w:val="00AD3B42"/>
    <w:rsid w:val="00AD4455"/>
    <w:rsid w:val="00AD45F1"/>
    <w:rsid w:val="00AD46A4"/>
    <w:rsid w:val="00AD4712"/>
    <w:rsid w:val="00AD55FC"/>
    <w:rsid w:val="00AD57D7"/>
    <w:rsid w:val="00AD60E9"/>
    <w:rsid w:val="00AE004C"/>
    <w:rsid w:val="00AE00A1"/>
    <w:rsid w:val="00AE0241"/>
    <w:rsid w:val="00AE02C9"/>
    <w:rsid w:val="00AE03FB"/>
    <w:rsid w:val="00AE077A"/>
    <w:rsid w:val="00AE0BC1"/>
    <w:rsid w:val="00AE1B6C"/>
    <w:rsid w:val="00AE2912"/>
    <w:rsid w:val="00AE3126"/>
    <w:rsid w:val="00AE3495"/>
    <w:rsid w:val="00AE3FDB"/>
    <w:rsid w:val="00AE4643"/>
    <w:rsid w:val="00AE4A62"/>
    <w:rsid w:val="00AE58AA"/>
    <w:rsid w:val="00AE5B81"/>
    <w:rsid w:val="00AE5EE3"/>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76D"/>
    <w:rsid w:val="00AF3AD2"/>
    <w:rsid w:val="00AF3AE1"/>
    <w:rsid w:val="00AF3FCA"/>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9B3"/>
    <w:rsid w:val="00B05B88"/>
    <w:rsid w:val="00B05DC7"/>
    <w:rsid w:val="00B065F3"/>
    <w:rsid w:val="00B066BB"/>
    <w:rsid w:val="00B06C36"/>
    <w:rsid w:val="00B10A8F"/>
    <w:rsid w:val="00B10A94"/>
    <w:rsid w:val="00B10FCF"/>
    <w:rsid w:val="00B11556"/>
    <w:rsid w:val="00B11F3E"/>
    <w:rsid w:val="00B128A3"/>
    <w:rsid w:val="00B12F83"/>
    <w:rsid w:val="00B13621"/>
    <w:rsid w:val="00B1372B"/>
    <w:rsid w:val="00B139B4"/>
    <w:rsid w:val="00B13ADA"/>
    <w:rsid w:val="00B14233"/>
    <w:rsid w:val="00B143C0"/>
    <w:rsid w:val="00B14672"/>
    <w:rsid w:val="00B14BE3"/>
    <w:rsid w:val="00B15041"/>
    <w:rsid w:val="00B152A1"/>
    <w:rsid w:val="00B15E8B"/>
    <w:rsid w:val="00B160FB"/>
    <w:rsid w:val="00B16699"/>
    <w:rsid w:val="00B166CB"/>
    <w:rsid w:val="00B16A51"/>
    <w:rsid w:val="00B16AC6"/>
    <w:rsid w:val="00B16D82"/>
    <w:rsid w:val="00B16E91"/>
    <w:rsid w:val="00B171D5"/>
    <w:rsid w:val="00B178D7"/>
    <w:rsid w:val="00B17AA3"/>
    <w:rsid w:val="00B17B1A"/>
    <w:rsid w:val="00B17F18"/>
    <w:rsid w:val="00B203A9"/>
    <w:rsid w:val="00B20CE8"/>
    <w:rsid w:val="00B210E8"/>
    <w:rsid w:val="00B212E6"/>
    <w:rsid w:val="00B21495"/>
    <w:rsid w:val="00B21DE1"/>
    <w:rsid w:val="00B221AD"/>
    <w:rsid w:val="00B222B1"/>
    <w:rsid w:val="00B22D1B"/>
    <w:rsid w:val="00B23634"/>
    <w:rsid w:val="00B23AEE"/>
    <w:rsid w:val="00B24751"/>
    <w:rsid w:val="00B2488E"/>
    <w:rsid w:val="00B24AC3"/>
    <w:rsid w:val="00B24BE3"/>
    <w:rsid w:val="00B24D63"/>
    <w:rsid w:val="00B250EA"/>
    <w:rsid w:val="00B25106"/>
    <w:rsid w:val="00B2527A"/>
    <w:rsid w:val="00B2547D"/>
    <w:rsid w:val="00B25A1D"/>
    <w:rsid w:val="00B26B68"/>
    <w:rsid w:val="00B27044"/>
    <w:rsid w:val="00B3023D"/>
    <w:rsid w:val="00B312AA"/>
    <w:rsid w:val="00B31621"/>
    <w:rsid w:val="00B3191E"/>
    <w:rsid w:val="00B31D70"/>
    <w:rsid w:val="00B32A64"/>
    <w:rsid w:val="00B3321D"/>
    <w:rsid w:val="00B34039"/>
    <w:rsid w:val="00B344A9"/>
    <w:rsid w:val="00B3486D"/>
    <w:rsid w:val="00B35131"/>
    <w:rsid w:val="00B3541C"/>
    <w:rsid w:val="00B3696D"/>
    <w:rsid w:val="00B37097"/>
    <w:rsid w:val="00B373B7"/>
    <w:rsid w:val="00B3785E"/>
    <w:rsid w:val="00B37F02"/>
    <w:rsid w:val="00B37FFC"/>
    <w:rsid w:val="00B40020"/>
    <w:rsid w:val="00B40F35"/>
    <w:rsid w:val="00B41689"/>
    <w:rsid w:val="00B4182D"/>
    <w:rsid w:val="00B42638"/>
    <w:rsid w:val="00B42937"/>
    <w:rsid w:val="00B43ED3"/>
    <w:rsid w:val="00B44D40"/>
    <w:rsid w:val="00B4508B"/>
    <w:rsid w:val="00B45714"/>
    <w:rsid w:val="00B460D2"/>
    <w:rsid w:val="00B460F4"/>
    <w:rsid w:val="00B46D1D"/>
    <w:rsid w:val="00B46F83"/>
    <w:rsid w:val="00B4709F"/>
    <w:rsid w:val="00B4751E"/>
    <w:rsid w:val="00B50054"/>
    <w:rsid w:val="00B503D7"/>
    <w:rsid w:val="00B50C1D"/>
    <w:rsid w:val="00B5122E"/>
    <w:rsid w:val="00B51788"/>
    <w:rsid w:val="00B51D75"/>
    <w:rsid w:val="00B52347"/>
    <w:rsid w:val="00B52390"/>
    <w:rsid w:val="00B523E1"/>
    <w:rsid w:val="00B53582"/>
    <w:rsid w:val="00B5373A"/>
    <w:rsid w:val="00B53796"/>
    <w:rsid w:val="00B53ABA"/>
    <w:rsid w:val="00B542D1"/>
    <w:rsid w:val="00B54B23"/>
    <w:rsid w:val="00B54E6E"/>
    <w:rsid w:val="00B54F44"/>
    <w:rsid w:val="00B56185"/>
    <w:rsid w:val="00B5759B"/>
    <w:rsid w:val="00B57AA9"/>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42"/>
    <w:rsid w:val="00B717BD"/>
    <w:rsid w:val="00B72F63"/>
    <w:rsid w:val="00B73102"/>
    <w:rsid w:val="00B736FA"/>
    <w:rsid w:val="00B7393E"/>
    <w:rsid w:val="00B74440"/>
    <w:rsid w:val="00B745E7"/>
    <w:rsid w:val="00B7470F"/>
    <w:rsid w:val="00B74782"/>
    <w:rsid w:val="00B75359"/>
    <w:rsid w:val="00B756D8"/>
    <w:rsid w:val="00B75A9E"/>
    <w:rsid w:val="00B75C11"/>
    <w:rsid w:val="00B760B9"/>
    <w:rsid w:val="00B767E1"/>
    <w:rsid w:val="00B76C21"/>
    <w:rsid w:val="00B7733C"/>
    <w:rsid w:val="00B77910"/>
    <w:rsid w:val="00B7797C"/>
    <w:rsid w:val="00B77E23"/>
    <w:rsid w:val="00B77E3E"/>
    <w:rsid w:val="00B800BB"/>
    <w:rsid w:val="00B80D4C"/>
    <w:rsid w:val="00B810F0"/>
    <w:rsid w:val="00B811D2"/>
    <w:rsid w:val="00B814B7"/>
    <w:rsid w:val="00B81905"/>
    <w:rsid w:val="00B8255E"/>
    <w:rsid w:val="00B82FF5"/>
    <w:rsid w:val="00B836B4"/>
    <w:rsid w:val="00B84E84"/>
    <w:rsid w:val="00B85166"/>
    <w:rsid w:val="00B8529A"/>
    <w:rsid w:val="00B85304"/>
    <w:rsid w:val="00B85526"/>
    <w:rsid w:val="00B85890"/>
    <w:rsid w:val="00B85C60"/>
    <w:rsid w:val="00B85D02"/>
    <w:rsid w:val="00B86210"/>
    <w:rsid w:val="00B8677B"/>
    <w:rsid w:val="00B86EC8"/>
    <w:rsid w:val="00B8730A"/>
    <w:rsid w:val="00B87613"/>
    <w:rsid w:val="00B87638"/>
    <w:rsid w:val="00B87870"/>
    <w:rsid w:val="00B87AB1"/>
    <w:rsid w:val="00B91584"/>
    <w:rsid w:val="00B92FB2"/>
    <w:rsid w:val="00B93782"/>
    <w:rsid w:val="00B94549"/>
    <w:rsid w:val="00B9455F"/>
    <w:rsid w:val="00B945DA"/>
    <w:rsid w:val="00B948DB"/>
    <w:rsid w:val="00B950F6"/>
    <w:rsid w:val="00B95386"/>
    <w:rsid w:val="00B95A14"/>
    <w:rsid w:val="00B95A90"/>
    <w:rsid w:val="00B95E89"/>
    <w:rsid w:val="00B95EDC"/>
    <w:rsid w:val="00B963CF"/>
    <w:rsid w:val="00B9667E"/>
    <w:rsid w:val="00B967D1"/>
    <w:rsid w:val="00B96BA7"/>
    <w:rsid w:val="00B97049"/>
    <w:rsid w:val="00B97199"/>
    <w:rsid w:val="00B97A22"/>
    <w:rsid w:val="00BA03B0"/>
    <w:rsid w:val="00BA156D"/>
    <w:rsid w:val="00BA15DC"/>
    <w:rsid w:val="00BA1AAB"/>
    <w:rsid w:val="00BA1CCD"/>
    <w:rsid w:val="00BA1EA5"/>
    <w:rsid w:val="00BA21C5"/>
    <w:rsid w:val="00BA2C5F"/>
    <w:rsid w:val="00BA300A"/>
    <w:rsid w:val="00BA3067"/>
    <w:rsid w:val="00BA3409"/>
    <w:rsid w:val="00BA40B0"/>
    <w:rsid w:val="00BA41C4"/>
    <w:rsid w:val="00BA4492"/>
    <w:rsid w:val="00BA4BA0"/>
    <w:rsid w:val="00BA5823"/>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BD"/>
    <w:rsid w:val="00BB1BC6"/>
    <w:rsid w:val="00BB1DF1"/>
    <w:rsid w:val="00BB1FD5"/>
    <w:rsid w:val="00BB2640"/>
    <w:rsid w:val="00BB2BBB"/>
    <w:rsid w:val="00BB2EFB"/>
    <w:rsid w:val="00BB30EA"/>
    <w:rsid w:val="00BB36BA"/>
    <w:rsid w:val="00BB3FAB"/>
    <w:rsid w:val="00BB4546"/>
    <w:rsid w:val="00BB4651"/>
    <w:rsid w:val="00BB465E"/>
    <w:rsid w:val="00BB4E28"/>
    <w:rsid w:val="00BB56D1"/>
    <w:rsid w:val="00BB56DF"/>
    <w:rsid w:val="00BB6515"/>
    <w:rsid w:val="00BB6621"/>
    <w:rsid w:val="00BB6664"/>
    <w:rsid w:val="00BB6AF6"/>
    <w:rsid w:val="00BB739D"/>
    <w:rsid w:val="00BB73E3"/>
    <w:rsid w:val="00BB7DC3"/>
    <w:rsid w:val="00BC0104"/>
    <w:rsid w:val="00BC041E"/>
    <w:rsid w:val="00BC0491"/>
    <w:rsid w:val="00BC0CCE"/>
    <w:rsid w:val="00BC0FB2"/>
    <w:rsid w:val="00BC1571"/>
    <w:rsid w:val="00BC1E9B"/>
    <w:rsid w:val="00BC2009"/>
    <w:rsid w:val="00BC21E1"/>
    <w:rsid w:val="00BC2412"/>
    <w:rsid w:val="00BC278B"/>
    <w:rsid w:val="00BC291C"/>
    <w:rsid w:val="00BC2A9E"/>
    <w:rsid w:val="00BC3125"/>
    <w:rsid w:val="00BC36A6"/>
    <w:rsid w:val="00BC3F26"/>
    <w:rsid w:val="00BC43D0"/>
    <w:rsid w:val="00BC4AA4"/>
    <w:rsid w:val="00BC4DCA"/>
    <w:rsid w:val="00BC51A4"/>
    <w:rsid w:val="00BC56DD"/>
    <w:rsid w:val="00BC59CA"/>
    <w:rsid w:val="00BC5E54"/>
    <w:rsid w:val="00BC5F9A"/>
    <w:rsid w:val="00BC63BD"/>
    <w:rsid w:val="00BC64C6"/>
    <w:rsid w:val="00BC6569"/>
    <w:rsid w:val="00BC66F6"/>
    <w:rsid w:val="00BC6A5B"/>
    <w:rsid w:val="00BC6B2F"/>
    <w:rsid w:val="00BC7092"/>
    <w:rsid w:val="00BC7287"/>
    <w:rsid w:val="00BC7794"/>
    <w:rsid w:val="00BC7B29"/>
    <w:rsid w:val="00BC7CC1"/>
    <w:rsid w:val="00BC7FC0"/>
    <w:rsid w:val="00BD04EE"/>
    <w:rsid w:val="00BD0722"/>
    <w:rsid w:val="00BD0A0B"/>
    <w:rsid w:val="00BD0BE3"/>
    <w:rsid w:val="00BD0C6B"/>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2A4"/>
    <w:rsid w:val="00BD57A3"/>
    <w:rsid w:val="00BD5F4B"/>
    <w:rsid w:val="00BD6258"/>
    <w:rsid w:val="00BD6267"/>
    <w:rsid w:val="00BD69C2"/>
    <w:rsid w:val="00BD69F7"/>
    <w:rsid w:val="00BD719E"/>
    <w:rsid w:val="00BD74FB"/>
    <w:rsid w:val="00BD755B"/>
    <w:rsid w:val="00BD7E94"/>
    <w:rsid w:val="00BE15E4"/>
    <w:rsid w:val="00BE1BF6"/>
    <w:rsid w:val="00BE1E27"/>
    <w:rsid w:val="00BE2BF1"/>
    <w:rsid w:val="00BE2D71"/>
    <w:rsid w:val="00BE318B"/>
    <w:rsid w:val="00BE31C6"/>
    <w:rsid w:val="00BE31F9"/>
    <w:rsid w:val="00BE344B"/>
    <w:rsid w:val="00BE37F8"/>
    <w:rsid w:val="00BE4125"/>
    <w:rsid w:val="00BE4178"/>
    <w:rsid w:val="00BE4278"/>
    <w:rsid w:val="00BE456B"/>
    <w:rsid w:val="00BE5197"/>
    <w:rsid w:val="00BE52A6"/>
    <w:rsid w:val="00BE53C3"/>
    <w:rsid w:val="00BE553B"/>
    <w:rsid w:val="00BE5840"/>
    <w:rsid w:val="00BE5F55"/>
    <w:rsid w:val="00BE6302"/>
    <w:rsid w:val="00BE68D2"/>
    <w:rsid w:val="00BE6A98"/>
    <w:rsid w:val="00BE7C5B"/>
    <w:rsid w:val="00BE7CD9"/>
    <w:rsid w:val="00BE7DEE"/>
    <w:rsid w:val="00BE7FCD"/>
    <w:rsid w:val="00BF0B90"/>
    <w:rsid w:val="00BF10E7"/>
    <w:rsid w:val="00BF1451"/>
    <w:rsid w:val="00BF1591"/>
    <w:rsid w:val="00BF1D0A"/>
    <w:rsid w:val="00BF1D1B"/>
    <w:rsid w:val="00BF2101"/>
    <w:rsid w:val="00BF270B"/>
    <w:rsid w:val="00BF2AE2"/>
    <w:rsid w:val="00BF2C86"/>
    <w:rsid w:val="00BF34B4"/>
    <w:rsid w:val="00BF3581"/>
    <w:rsid w:val="00BF362D"/>
    <w:rsid w:val="00BF3641"/>
    <w:rsid w:val="00BF3E32"/>
    <w:rsid w:val="00BF463D"/>
    <w:rsid w:val="00BF4F62"/>
    <w:rsid w:val="00BF55B2"/>
    <w:rsid w:val="00BF599D"/>
    <w:rsid w:val="00BF5B8D"/>
    <w:rsid w:val="00BF6980"/>
    <w:rsid w:val="00BF7398"/>
    <w:rsid w:val="00BF7A75"/>
    <w:rsid w:val="00BF7F64"/>
    <w:rsid w:val="00C00127"/>
    <w:rsid w:val="00C01144"/>
    <w:rsid w:val="00C019C7"/>
    <w:rsid w:val="00C01ACA"/>
    <w:rsid w:val="00C02149"/>
    <w:rsid w:val="00C023B9"/>
    <w:rsid w:val="00C027C0"/>
    <w:rsid w:val="00C02934"/>
    <w:rsid w:val="00C02C51"/>
    <w:rsid w:val="00C02E9D"/>
    <w:rsid w:val="00C031A2"/>
    <w:rsid w:val="00C0356A"/>
    <w:rsid w:val="00C038B7"/>
    <w:rsid w:val="00C042F3"/>
    <w:rsid w:val="00C05BF3"/>
    <w:rsid w:val="00C05D72"/>
    <w:rsid w:val="00C060D1"/>
    <w:rsid w:val="00C06285"/>
    <w:rsid w:val="00C06975"/>
    <w:rsid w:val="00C069AC"/>
    <w:rsid w:val="00C06CD4"/>
    <w:rsid w:val="00C06F32"/>
    <w:rsid w:val="00C07275"/>
    <w:rsid w:val="00C072F3"/>
    <w:rsid w:val="00C07469"/>
    <w:rsid w:val="00C0748B"/>
    <w:rsid w:val="00C1008E"/>
    <w:rsid w:val="00C104C9"/>
    <w:rsid w:val="00C10593"/>
    <w:rsid w:val="00C105AC"/>
    <w:rsid w:val="00C10614"/>
    <w:rsid w:val="00C112F9"/>
    <w:rsid w:val="00C11764"/>
    <w:rsid w:val="00C11DF2"/>
    <w:rsid w:val="00C12706"/>
    <w:rsid w:val="00C127BC"/>
    <w:rsid w:val="00C1445B"/>
    <w:rsid w:val="00C14712"/>
    <w:rsid w:val="00C14E52"/>
    <w:rsid w:val="00C14E6E"/>
    <w:rsid w:val="00C1578A"/>
    <w:rsid w:val="00C162B9"/>
    <w:rsid w:val="00C17F25"/>
    <w:rsid w:val="00C2004E"/>
    <w:rsid w:val="00C200FC"/>
    <w:rsid w:val="00C204F6"/>
    <w:rsid w:val="00C206D6"/>
    <w:rsid w:val="00C20DA6"/>
    <w:rsid w:val="00C20F7B"/>
    <w:rsid w:val="00C2161C"/>
    <w:rsid w:val="00C21A77"/>
    <w:rsid w:val="00C2345C"/>
    <w:rsid w:val="00C23485"/>
    <w:rsid w:val="00C237E7"/>
    <w:rsid w:val="00C2418A"/>
    <w:rsid w:val="00C248AC"/>
    <w:rsid w:val="00C24907"/>
    <w:rsid w:val="00C24999"/>
    <w:rsid w:val="00C24C00"/>
    <w:rsid w:val="00C24EC9"/>
    <w:rsid w:val="00C25541"/>
    <w:rsid w:val="00C25AA4"/>
    <w:rsid w:val="00C27011"/>
    <w:rsid w:val="00C270D0"/>
    <w:rsid w:val="00C276B2"/>
    <w:rsid w:val="00C278A0"/>
    <w:rsid w:val="00C3013A"/>
    <w:rsid w:val="00C30467"/>
    <w:rsid w:val="00C30799"/>
    <w:rsid w:val="00C30C60"/>
    <w:rsid w:val="00C32035"/>
    <w:rsid w:val="00C32500"/>
    <w:rsid w:val="00C326FE"/>
    <w:rsid w:val="00C32E11"/>
    <w:rsid w:val="00C33258"/>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4EA"/>
    <w:rsid w:val="00C5158E"/>
    <w:rsid w:val="00C51AE8"/>
    <w:rsid w:val="00C52535"/>
    <w:rsid w:val="00C52AF6"/>
    <w:rsid w:val="00C52DAF"/>
    <w:rsid w:val="00C52F46"/>
    <w:rsid w:val="00C52FAB"/>
    <w:rsid w:val="00C530F3"/>
    <w:rsid w:val="00C53295"/>
    <w:rsid w:val="00C540BA"/>
    <w:rsid w:val="00C542A6"/>
    <w:rsid w:val="00C543EA"/>
    <w:rsid w:val="00C54AAA"/>
    <w:rsid w:val="00C553B4"/>
    <w:rsid w:val="00C55816"/>
    <w:rsid w:val="00C561BD"/>
    <w:rsid w:val="00C5705E"/>
    <w:rsid w:val="00C5765A"/>
    <w:rsid w:val="00C57735"/>
    <w:rsid w:val="00C60534"/>
    <w:rsid w:val="00C60574"/>
    <w:rsid w:val="00C60B60"/>
    <w:rsid w:val="00C61364"/>
    <w:rsid w:val="00C61575"/>
    <w:rsid w:val="00C61DEB"/>
    <w:rsid w:val="00C62299"/>
    <w:rsid w:val="00C62870"/>
    <w:rsid w:val="00C631CC"/>
    <w:rsid w:val="00C63CC4"/>
    <w:rsid w:val="00C645EF"/>
    <w:rsid w:val="00C64DDC"/>
    <w:rsid w:val="00C64F8D"/>
    <w:rsid w:val="00C6599B"/>
    <w:rsid w:val="00C659B7"/>
    <w:rsid w:val="00C65B7E"/>
    <w:rsid w:val="00C65E19"/>
    <w:rsid w:val="00C65E56"/>
    <w:rsid w:val="00C65FE5"/>
    <w:rsid w:val="00C66A15"/>
    <w:rsid w:val="00C66DA9"/>
    <w:rsid w:val="00C703B3"/>
    <w:rsid w:val="00C70422"/>
    <w:rsid w:val="00C7080D"/>
    <w:rsid w:val="00C71A61"/>
    <w:rsid w:val="00C72007"/>
    <w:rsid w:val="00C72107"/>
    <w:rsid w:val="00C72840"/>
    <w:rsid w:val="00C7358A"/>
    <w:rsid w:val="00C73948"/>
    <w:rsid w:val="00C757C4"/>
    <w:rsid w:val="00C75807"/>
    <w:rsid w:val="00C75DC7"/>
    <w:rsid w:val="00C761D8"/>
    <w:rsid w:val="00C76F73"/>
    <w:rsid w:val="00C7717F"/>
    <w:rsid w:val="00C77210"/>
    <w:rsid w:val="00C77550"/>
    <w:rsid w:val="00C77D03"/>
    <w:rsid w:val="00C77FA7"/>
    <w:rsid w:val="00C80001"/>
    <w:rsid w:val="00C803DD"/>
    <w:rsid w:val="00C806A2"/>
    <w:rsid w:val="00C8115D"/>
    <w:rsid w:val="00C8157E"/>
    <w:rsid w:val="00C8176D"/>
    <w:rsid w:val="00C817A6"/>
    <w:rsid w:val="00C819E8"/>
    <w:rsid w:val="00C81F79"/>
    <w:rsid w:val="00C82019"/>
    <w:rsid w:val="00C82080"/>
    <w:rsid w:val="00C8294C"/>
    <w:rsid w:val="00C829B2"/>
    <w:rsid w:val="00C82BA6"/>
    <w:rsid w:val="00C82EE1"/>
    <w:rsid w:val="00C82F14"/>
    <w:rsid w:val="00C8324B"/>
    <w:rsid w:val="00C83454"/>
    <w:rsid w:val="00C83850"/>
    <w:rsid w:val="00C8394A"/>
    <w:rsid w:val="00C83C83"/>
    <w:rsid w:val="00C84052"/>
    <w:rsid w:val="00C844DA"/>
    <w:rsid w:val="00C844E2"/>
    <w:rsid w:val="00C845EF"/>
    <w:rsid w:val="00C84A23"/>
    <w:rsid w:val="00C85200"/>
    <w:rsid w:val="00C8523D"/>
    <w:rsid w:val="00C8538C"/>
    <w:rsid w:val="00C85B76"/>
    <w:rsid w:val="00C85BFF"/>
    <w:rsid w:val="00C85C3F"/>
    <w:rsid w:val="00C85F47"/>
    <w:rsid w:val="00C86036"/>
    <w:rsid w:val="00C86244"/>
    <w:rsid w:val="00C86276"/>
    <w:rsid w:val="00C865C4"/>
    <w:rsid w:val="00C8683B"/>
    <w:rsid w:val="00C86B36"/>
    <w:rsid w:val="00C86BC6"/>
    <w:rsid w:val="00C8708D"/>
    <w:rsid w:val="00C90056"/>
    <w:rsid w:val="00C908AB"/>
    <w:rsid w:val="00C90EFD"/>
    <w:rsid w:val="00C9146E"/>
    <w:rsid w:val="00C918AA"/>
    <w:rsid w:val="00C91D2F"/>
    <w:rsid w:val="00C92E29"/>
    <w:rsid w:val="00C92E67"/>
    <w:rsid w:val="00C93B13"/>
    <w:rsid w:val="00C95436"/>
    <w:rsid w:val="00C95829"/>
    <w:rsid w:val="00C95977"/>
    <w:rsid w:val="00C974B6"/>
    <w:rsid w:val="00C97974"/>
    <w:rsid w:val="00CA0A7E"/>
    <w:rsid w:val="00CA0B8B"/>
    <w:rsid w:val="00CA0FA0"/>
    <w:rsid w:val="00CA1682"/>
    <w:rsid w:val="00CA2EF4"/>
    <w:rsid w:val="00CA2FE9"/>
    <w:rsid w:val="00CA3319"/>
    <w:rsid w:val="00CA3BFC"/>
    <w:rsid w:val="00CA3CAD"/>
    <w:rsid w:val="00CA3EB6"/>
    <w:rsid w:val="00CA4063"/>
    <w:rsid w:val="00CA4ACD"/>
    <w:rsid w:val="00CA51B8"/>
    <w:rsid w:val="00CA5600"/>
    <w:rsid w:val="00CA5706"/>
    <w:rsid w:val="00CA5899"/>
    <w:rsid w:val="00CA729E"/>
    <w:rsid w:val="00CA73F8"/>
    <w:rsid w:val="00CA770C"/>
    <w:rsid w:val="00CA7E01"/>
    <w:rsid w:val="00CB000D"/>
    <w:rsid w:val="00CB0396"/>
    <w:rsid w:val="00CB05AB"/>
    <w:rsid w:val="00CB0637"/>
    <w:rsid w:val="00CB10A1"/>
    <w:rsid w:val="00CB1607"/>
    <w:rsid w:val="00CB1F90"/>
    <w:rsid w:val="00CB2093"/>
    <w:rsid w:val="00CB21DC"/>
    <w:rsid w:val="00CB23C9"/>
    <w:rsid w:val="00CB25C1"/>
    <w:rsid w:val="00CB2D71"/>
    <w:rsid w:val="00CB3381"/>
    <w:rsid w:val="00CB34CA"/>
    <w:rsid w:val="00CB44F1"/>
    <w:rsid w:val="00CB453B"/>
    <w:rsid w:val="00CB4AEB"/>
    <w:rsid w:val="00CB5002"/>
    <w:rsid w:val="00CB54C6"/>
    <w:rsid w:val="00CB5551"/>
    <w:rsid w:val="00CB5C16"/>
    <w:rsid w:val="00CB61C9"/>
    <w:rsid w:val="00CB63CB"/>
    <w:rsid w:val="00CB72A4"/>
    <w:rsid w:val="00CC00A7"/>
    <w:rsid w:val="00CC00E8"/>
    <w:rsid w:val="00CC012E"/>
    <w:rsid w:val="00CC019A"/>
    <w:rsid w:val="00CC01B1"/>
    <w:rsid w:val="00CC0653"/>
    <w:rsid w:val="00CC0859"/>
    <w:rsid w:val="00CC092F"/>
    <w:rsid w:val="00CC0E7E"/>
    <w:rsid w:val="00CC12D8"/>
    <w:rsid w:val="00CC18C6"/>
    <w:rsid w:val="00CC1FF3"/>
    <w:rsid w:val="00CC2BEA"/>
    <w:rsid w:val="00CC3413"/>
    <w:rsid w:val="00CC341A"/>
    <w:rsid w:val="00CC34A2"/>
    <w:rsid w:val="00CC3B24"/>
    <w:rsid w:val="00CC4763"/>
    <w:rsid w:val="00CC47CE"/>
    <w:rsid w:val="00CC4EC2"/>
    <w:rsid w:val="00CC5323"/>
    <w:rsid w:val="00CC571C"/>
    <w:rsid w:val="00CC574F"/>
    <w:rsid w:val="00CC5D7B"/>
    <w:rsid w:val="00CC6021"/>
    <w:rsid w:val="00CC6A64"/>
    <w:rsid w:val="00CC6E2B"/>
    <w:rsid w:val="00CC7017"/>
    <w:rsid w:val="00CC7531"/>
    <w:rsid w:val="00CC7B7E"/>
    <w:rsid w:val="00CC7E2D"/>
    <w:rsid w:val="00CD0281"/>
    <w:rsid w:val="00CD0710"/>
    <w:rsid w:val="00CD0816"/>
    <w:rsid w:val="00CD0A63"/>
    <w:rsid w:val="00CD1234"/>
    <w:rsid w:val="00CD1276"/>
    <w:rsid w:val="00CD1702"/>
    <w:rsid w:val="00CD196F"/>
    <w:rsid w:val="00CD1AF0"/>
    <w:rsid w:val="00CD1FD9"/>
    <w:rsid w:val="00CD21F0"/>
    <w:rsid w:val="00CD2451"/>
    <w:rsid w:val="00CD285E"/>
    <w:rsid w:val="00CD2887"/>
    <w:rsid w:val="00CD307A"/>
    <w:rsid w:val="00CD3165"/>
    <w:rsid w:val="00CD3864"/>
    <w:rsid w:val="00CD3B73"/>
    <w:rsid w:val="00CD3D68"/>
    <w:rsid w:val="00CD43E4"/>
    <w:rsid w:val="00CD479A"/>
    <w:rsid w:val="00CD4D6B"/>
    <w:rsid w:val="00CD5264"/>
    <w:rsid w:val="00CD54F0"/>
    <w:rsid w:val="00CD5B64"/>
    <w:rsid w:val="00CD5FB0"/>
    <w:rsid w:val="00CD6295"/>
    <w:rsid w:val="00CD6F26"/>
    <w:rsid w:val="00CD71F4"/>
    <w:rsid w:val="00CD78E0"/>
    <w:rsid w:val="00CD79DC"/>
    <w:rsid w:val="00CD7AD3"/>
    <w:rsid w:val="00CD7B98"/>
    <w:rsid w:val="00CD7E87"/>
    <w:rsid w:val="00CE0942"/>
    <w:rsid w:val="00CE15CB"/>
    <w:rsid w:val="00CE18A4"/>
    <w:rsid w:val="00CE1DCB"/>
    <w:rsid w:val="00CE317B"/>
    <w:rsid w:val="00CE3780"/>
    <w:rsid w:val="00CE3A58"/>
    <w:rsid w:val="00CE3E2E"/>
    <w:rsid w:val="00CE3F4F"/>
    <w:rsid w:val="00CE4917"/>
    <w:rsid w:val="00CE4993"/>
    <w:rsid w:val="00CE4FDC"/>
    <w:rsid w:val="00CE666A"/>
    <w:rsid w:val="00CE6961"/>
    <w:rsid w:val="00CE77F8"/>
    <w:rsid w:val="00CE7A14"/>
    <w:rsid w:val="00CF0736"/>
    <w:rsid w:val="00CF0FAB"/>
    <w:rsid w:val="00CF12F8"/>
    <w:rsid w:val="00CF138F"/>
    <w:rsid w:val="00CF1464"/>
    <w:rsid w:val="00CF15C7"/>
    <w:rsid w:val="00CF2621"/>
    <w:rsid w:val="00CF279B"/>
    <w:rsid w:val="00CF2B2F"/>
    <w:rsid w:val="00CF30CD"/>
    <w:rsid w:val="00CF318B"/>
    <w:rsid w:val="00CF324F"/>
    <w:rsid w:val="00CF3383"/>
    <w:rsid w:val="00CF3447"/>
    <w:rsid w:val="00CF3A39"/>
    <w:rsid w:val="00CF3E79"/>
    <w:rsid w:val="00CF3EBF"/>
    <w:rsid w:val="00CF3F56"/>
    <w:rsid w:val="00CF3FEE"/>
    <w:rsid w:val="00CF446F"/>
    <w:rsid w:val="00CF5C36"/>
    <w:rsid w:val="00CF6791"/>
    <w:rsid w:val="00CF6E72"/>
    <w:rsid w:val="00CF717B"/>
    <w:rsid w:val="00CF73B5"/>
    <w:rsid w:val="00D02388"/>
    <w:rsid w:val="00D02BDF"/>
    <w:rsid w:val="00D02CA1"/>
    <w:rsid w:val="00D03283"/>
    <w:rsid w:val="00D03516"/>
    <w:rsid w:val="00D043C1"/>
    <w:rsid w:val="00D044D3"/>
    <w:rsid w:val="00D04A37"/>
    <w:rsid w:val="00D05A03"/>
    <w:rsid w:val="00D05BDC"/>
    <w:rsid w:val="00D06015"/>
    <w:rsid w:val="00D0651D"/>
    <w:rsid w:val="00D06B72"/>
    <w:rsid w:val="00D07B15"/>
    <w:rsid w:val="00D07DF2"/>
    <w:rsid w:val="00D07FBB"/>
    <w:rsid w:val="00D10A48"/>
    <w:rsid w:val="00D117B9"/>
    <w:rsid w:val="00D11B53"/>
    <w:rsid w:val="00D11D68"/>
    <w:rsid w:val="00D11E33"/>
    <w:rsid w:val="00D12796"/>
    <w:rsid w:val="00D13768"/>
    <w:rsid w:val="00D143B3"/>
    <w:rsid w:val="00D145DC"/>
    <w:rsid w:val="00D1489B"/>
    <w:rsid w:val="00D14BD2"/>
    <w:rsid w:val="00D14F0C"/>
    <w:rsid w:val="00D154D9"/>
    <w:rsid w:val="00D1619D"/>
    <w:rsid w:val="00D163F5"/>
    <w:rsid w:val="00D16674"/>
    <w:rsid w:val="00D16B0F"/>
    <w:rsid w:val="00D16B2E"/>
    <w:rsid w:val="00D16BAD"/>
    <w:rsid w:val="00D2019E"/>
    <w:rsid w:val="00D20369"/>
    <w:rsid w:val="00D2069F"/>
    <w:rsid w:val="00D208C5"/>
    <w:rsid w:val="00D2130E"/>
    <w:rsid w:val="00D21683"/>
    <w:rsid w:val="00D21938"/>
    <w:rsid w:val="00D21C17"/>
    <w:rsid w:val="00D21DED"/>
    <w:rsid w:val="00D221E2"/>
    <w:rsid w:val="00D225F7"/>
    <w:rsid w:val="00D22A57"/>
    <w:rsid w:val="00D22BA4"/>
    <w:rsid w:val="00D22CA8"/>
    <w:rsid w:val="00D22F47"/>
    <w:rsid w:val="00D22FD3"/>
    <w:rsid w:val="00D23180"/>
    <w:rsid w:val="00D23C87"/>
    <w:rsid w:val="00D24DC4"/>
    <w:rsid w:val="00D257FF"/>
    <w:rsid w:val="00D259CD"/>
    <w:rsid w:val="00D2601F"/>
    <w:rsid w:val="00D2681B"/>
    <w:rsid w:val="00D26D29"/>
    <w:rsid w:val="00D27AE5"/>
    <w:rsid w:val="00D309F1"/>
    <w:rsid w:val="00D30CE3"/>
    <w:rsid w:val="00D30F27"/>
    <w:rsid w:val="00D313F0"/>
    <w:rsid w:val="00D31674"/>
    <w:rsid w:val="00D317B2"/>
    <w:rsid w:val="00D31F7F"/>
    <w:rsid w:val="00D31FA8"/>
    <w:rsid w:val="00D323B7"/>
    <w:rsid w:val="00D32C06"/>
    <w:rsid w:val="00D32C6C"/>
    <w:rsid w:val="00D32F37"/>
    <w:rsid w:val="00D33661"/>
    <w:rsid w:val="00D341CD"/>
    <w:rsid w:val="00D343B3"/>
    <w:rsid w:val="00D3453D"/>
    <w:rsid w:val="00D349E0"/>
    <w:rsid w:val="00D34A10"/>
    <w:rsid w:val="00D359F1"/>
    <w:rsid w:val="00D35EF3"/>
    <w:rsid w:val="00D35FA1"/>
    <w:rsid w:val="00D36DB0"/>
    <w:rsid w:val="00D3784D"/>
    <w:rsid w:val="00D37EEA"/>
    <w:rsid w:val="00D409E3"/>
    <w:rsid w:val="00D4171C"/>
    <w:rsid w:val="00D41906"/>
    <w:rsid w:val="00D41C09"/>
    <w:rsid w:val="00D422D0"/>
    <w:rsid w:val="00D424E6"/>
    <w:rsid w:val="00D426AB"/>
    <w:rsid w:val="00D426D7"/>
    <w:rsid w:val="00D434DD"/>
    <w:rsid w:val="00D43536"/>
    <w:rsid w:val="00D43575"/>
    <w:rsid w:val="00D435B3"/>
    <w:rsid w:val="00D44595"/>
    <w:rsid w:val="00D44AA8"/>
    <w:rsid w:val="00D4519C"/>
    <w:rsid w:val="00D456C1"/>
    <w:rsid w:val="00D45D0B"/>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787"/>
    <w:rsid w:val="00D5380A"/>
    <w:rsid w:val="00D53F78"/>
    <w:rsid w:val="00D54ADF"/>
    <w:rsid w:val="00D54C45"/>
    <w:rsid w:val="00D54C9F"/>
    <w:rsid w:val="00D5554F"/>
    <w:rsid w:val="00D55654"/>
    <w:rsid w:val="00D558F8"/>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430"/>
    <w:rsid w:val="00D656D8"/>
    <w:rsid w:val="00D65CE2"/>
    <w:rsid w:val="00D65D06"/>
    <w:rsid w:val="00D6607E"/>
    <w:rsid w:val="00D66545"/>
    <w:rsid w:val="00D66DC2"/>
    <w:rsid w:val="00D6767B"/>
    <w:rsid w:val="00D676F7"/>
    <w:rsid w:val="00D6780A"/>
    <w:rsid w:val="00D67BBD"/>
    <w:rsid w:val="00D709A2"/>
    <w:rsid w:val="00D716D5"/>
    <w:rsid w:val="00D71814"/>
    <w:rsid w:val="00D718E9"/>
    <w:rsid w:val="00D71F03"/>
    <w:rsid w:val="00D72027"/>
    <w:rsid w:val="00D72B09"/>
    <w:rsid w:val="00D72B5F"/>
    <w:rsid w:val="00D72FAC"/>
    <w:rsid w:val="00D731B6"/>
    <w:rsid w:val="00D7364D"/>
    <w:rsid w:val="00D73B1C"/>
    <w:rsid w:val="00D73CB8"/>
    <w:rsid w:val="00D741C8"/>
    <w:rsid w:val="00D74497"/>
    <w:rsid w:val="00D746A4"/>
    <w:rsid w:val="00D74744"/>
    <w:rsid w:val="00D74BA2"/>
    <w:rsid w:val="00D74ED0"/>
    <w:rsid w:val="00D74F32"/>
    <w:rsid w:val="00D7511D"/>
    <w:rsid w:val="00D75325"/>
    <w:rsid w:val="00D75454"/>
    <w:rsid w:val="00D75978"/>
    <w:rsid w:val="00D759BC"/>
    <w:rsid w:val="00D75A68"/>
    <w:rsid w:val="00D768F9"/>
    <w:rsid w:val="00D76DF7"/>
    <w:rsid w:val="00D77404"/>
    <w:rsid w:val="00D80F68"/>
    <w:rsid w:val="00D8140B"/>
    <w:rsid w:val="00D8274F"/>
    <w:rsid w:val="00D82773"/>
    <w:rsid w:val="00D82C54"/>
    <w:rsid w:val="00D84009"/>
    <w:rsid w:val="00D84646"/>
    <w:rsid w:val="00D84743"/>
    <w:rsid w:val="00D855ED"/>
    <w:rsid w:val="00D8591C"/>
    <w:rsid w:val="00D861CC"/>
    <w:rsid w:val="00D8629D"/>
    <w:rsid w:val="00D86395"/>
    <w:rsid w:val="00D865E0"/>
    <w:rsid w:val="00D866D1"/>
    <w:rsid w:val="00D86E85"/>
    <w:rsid w:val="00D86ECA"/>
    <w:rsid w:val="00D86FFA"/>
    <w:rsid w:val="00D8753E"/>
    <w:rsid w:val="00D9085D"/>
    <w:rsid w:val="00D90F23"/>
    <w:rsid w:val="00D91C8E"/>
    <w:rsid w:val="00D91CEC"/>
    <w:rsid w:val="00D9209E"/>
    <w:rsid w:val="00D921B9"/>
    <w:rsid w:val="00D92294"/>
    <w:rsid w:val="00D923AB"/>
    <w:rsid w:val="00D92672"/>
    <w:rsid w:val="00D929B7"/>
    <w:rsid w:val="00D92A88"/>
    <w:rsid w:val="00D92BAC"/>
    <w:rsid w:val="00D93507"/>
    <w:rsid w:val="00D93A79"/>
    <w:rsid w:val="00D93B41"/>
    <w:rsid w:val="00D93C18"/>
    <w:rsid w:val="00D94822"/>
    <w:rsid w:val="00D94A51"/>
    <w:rsid w:val="00D953B7"/>
    <w:rsid w:val="00D95BCB"/>
    <w:rsid w:val="00D95C3E"/>
    <w:rsid w:val="00D95D62"/>
    <w:rsid w:val="00D95E6D"/>
    <w:rsid w:val="00D960A5"/>
    <w:rsid w:val="00D96D1F"/>
    <w:rsid w:val="00D97081"/>
    <w:rsid w:val="00D97400"/>
    <w:rsid w:val="00D974FF"/>
    <w:rsid w:val="00D978BD"/>
    <w:rsid w:val="00D97AD2"/>
    <w:rsid w:val="00D97D73"/>
    <w:rsid w:val="00DA00D1"/>
    <w:rsid w:val="00DA0B56"/>
    <w:rsid w:val="00DA0BBA"/>
    <w:rsid w:val="00DA1289"/>
    <w:rsid w:val="00DA1674"/>
    <w:rsid w:val="00DA17AC"/>
    <w:rsid w:val="00DA2010"/>
    <w:rsid w:val="00DA2BC8"/>
    <w:rsid w:val="00DA2D75"/>
    <w:rsid w:val="00DA302B"/>
    <w:rsid w:val="00DA31AD"/>
    <w:rsid w:val="00DA3755"/>
    <w:rsid w:val="00DA3946"/>
    <w:rsid w:val="00DA40DC"/>
    <w:rsid w:val="00DA4F50"/>
    <w:rsid w:val="00DA5503"/>
    <w:rsid w:val="00DA5F44"/>
    <w:rsid w:val="00DA60DB"/>
    <w:rsid w:val="00DA6133"/>
    <w:rsid w:val="00DA6A19"/>
    <w:rsid w:val="00DA7296"/>
    <w:rsid w:val="00DB0FE5"/>
    <w:rsid w:val="00DB12E1"/>
    <w:rsid w:val="00DB1A2F"/>
    <w:rsid w:val="00DB1F30"/>
    <w:rsid w:val="00DB27D5"/>
    <w:rsid w:val="00DB344D"/>
    <w:rsid w:val="00DB35BC"/>
    <w:rsid w:val="00DB3611"/>
    <w:rsid w:val="00DB38F4"/>
    <w:rsid w:val="00DB3ADC"/>
    <w:rsid w:val="00DB423F"/>
    <w:rsid w:val="00DB45A4"/>
    <w:rsid w:val="00DB4B8F"/>
    <w:rsid w:val="00DB4E2D"/>
    <w:rsid w:val="00DB5757"/>
    <w:rsid w:val="00DB5A63"/>
    <w:rsid w:val="00DB5AD4"/>
    <w:rsid w:val="00DB5E41"/>
    <w:rsid w:val="00DB5FF6"/>
    <w:rsid w:val="00DB6899"/>
    <w:rsid w:val="00DB6CA0"/>
    <w:rsid w:val="00DB74D6"/>
    <w:rsid w:val="00DB75ED"/>
    <w:rsid w:val="00DB7941"/>
    <w:rsid w:val="00DB7BBE"/>
    <w:rsid w:val="00DB7D32"/>
    <w:rsid w:val="00DC0369"/>
    <w:rsid w:val="00DC0D53"/>
    <w:rsid w:val="00DC1249"/>
    <w:rsid w:val="00DC161F"/>
    <w:rsid w:val="00DC1680"/>
    <w:rsid w:val="00DC16D6"/>
    <w:rsid w:val="00DC1A7E"/>
    <w:rsid w:val="00DC1B4B"/>
    <w:rsid w:val="00DC2035"/>
    <w:rsid w:val="00DC2765"/>
    <w:rsid w:val="00DC30A3"/>
    <w:rsid w:val="00DC4352"/>
    <w:rsid w:val="00DC445A"/>
    <w:rsid w:val="00DC4B04"/>
    <w:rsid w:val="00DC4B91"/>
    <w:rsid w:val="00DC4BBE"/>
    <w:rsid w:val="00DC5FE3"/>
    <w:rsid w:val="00DC60BD"/>
    <w:rsid w:val="00DC6193"/>
    <w:rsid w:val="00DC662B"/>
    <w:rsid w:val="00DC675B"/>
    <w:rsid w:val="00DC6AB6"/>
    <w:rsid w:val="00DC7020"/>
    <w:rsid w:val="00DC7452"/>
    <w:rsid w:val="00DD0012"/>
    <w:rsid w:val="00DD077C"/>
    <w:rsid w:val="00DD13AB"/>
    <w:rsid w:val="00DD1646"/>
    <w:rsid w:val="00DD1C87"/>
    <w:rsid w:val="00DD22F0"/>
    <w:rsid w:val="00DD2582"/>
    <w:rsid w:val="00DD2E2F"/>
    <w:rsid w:val="00DD303A"/>
    <w:rsid w:val="00DD39F1"/>
    <w:rsid w:val="00DD3B5D"/>
    <w:rsid w:val="00DD3CAB"/>
    <w:rsid w:val="00DD3D2F"/>
    <w:rsid w:val="00DD3F33"/>
    <w:rsid w:val="00DD4983"/>
    <w:rsid w:val="00DD4A2B"/>
    <w:rsid w:val="00DD4C5C"/>
    <w:rsid w:val="00DD4D2D"/>
    <w:rsid w:val="00DD4E9A"/>
    <w:rsid w:val="00DD5199"/>
    <w:rsid w:val="00DD5A3A"/>
    <w:rsid w:val="00DD5A48"/>
    <w:rsid w:val="00DD5ECA"/>
    <w:rsid w:val="00DD5F03"/>
    <w:rsid w:val="00DD61A0"/>
    <w:rsid w:val="00DD7554"/>
    <w:rsid w:val="00DD7C4B"/>
    <w:rsid w:val="00DD7CE7"/>
    <w:rsid w:val="00DE0CCC"/>
    <w:rsid w:val="00DE1306"/>
    <w:rsid w:val="00DE17CC"/>
    <w:rsid w:val="00DE2605"/>
    <w:rsid w:val="00DE2A07"/>
    <w:rsid w:val="00DE367A"/>
    <w:rsid w:val="00DE42A7"/>
    <w:rsid w:val="00DE45FC"/>
    <w:rsid w:val="00DE46D0"/>
    <w:rsid w:val="00DE47D6"/>
    <w:rsid w:val="00DE47FA"/>
    <w:rsid w:val="00DE484C"/>
    <w:rsid w:val="00DE4B04"/>
    <w:rsid w:val="00DE4BC9"/>
    <w:rsid w:val="00DE4E1F"/>
    <w:rsid w:val="00DE4FFF"/>
    <w:rsid w:val="00DE5467"/>
    <w:rsid w:val="00DE5960"/>
    <w:rsid w:val="00DE5B71"/>
    <w:rsid w:val="00DE5BBE"/>
    <w:rsid w:val="00DE5DA0"/>
    <w:rsid w:val="00DE5F29"/>
    <w:rsid w:val="00DE609B"/>
    <w:rsid w:val="00DE6702"/>
    <w:rsid w:val="00DE6A96"/>
    <w:rsid w:val="00DE6C99"/>
    <w:rsid w:val="00DF072C"/>
    <w:rsid w:val="00DF0A76"/>
    <w:rsid w:val="00DF0F82"/>
    <w:rsid w:val="00DF10F2"/>
    <w:rsid w:val="00DF12D1"/>
    <w:rsid w:val="00DF172D"/>
    <w:rsid w:val="00DF21C5"/>
    <w:rsid w:val="00DF2600"/>
    <w:rsid w:val="00DF278B"/>
    <w:rsid w:val="00DF2A4C"/>
    <w:rsid w:val="00DF30F5"/>
    <w:rsid w:val="00DF3740"/>
    <w:rsid w:val="00DF37DE"/>
    <w:rsid w:val="00DF3912"/>
    <w:rsid w:val="00DF3FB6"/>
    <w:rsid w:val="00DF42F9"/>
    <w:rsid w:val="00DF44C4"/>
    <w:rsid w:val="00DF4A03"/>
    <w:rsid w:val="00DF5653"/>
    <w:rsid w:val="00DF5DBA"/>
    <w:rsid w:val="00DF68E8"/>
    <w:rsid w:val="00DF7494"/>
    <w:rsid w:val="00DF7766"/>
    <w:rsid w:val="00DF782D"/>
    <w:rsid w:val="00DF7A45"/>
    <w:rsid w:val="00E00271"/>
    <w:rsid w:val="00E00482"/>
    <w:rsid w:val="00E00E96"/>
    <w:rsid w:val="00E013C3"/>
    <w:rsid w:val="00E0171D"/>
    <w:rsid w:val="00E01BC9"/>
    <w:rsid w:val="00E02007"/>
    <w:rsid w:val="00E026E6"/>
    <w:rsid w:val="00E03995"/>
    <w:rsid w:val="00E045EC"/>
    <w:rsid w:val="00E04629"/>
    <w:rsid w:val="00E0474D"/>
    <w:rsid w:val="00E049D4"/>
    <w:rsid w:val="00E04EEB"/>
    <w:rsid w:val="00E051A3"/>
    <w:rsid w:val="00E0545A"/>
    <w:rsid w:val="00E061D7"/>
    <w:rsid w:val="00E063A2"/>
    <w:rsid w:val="00E0649C"/>
    <w:rsid w:val="00E07BAA"/>
    <w:rsid w:val="00E1007F"/>
    <w:rsid w:val="00E1087F"/>
    <w:rsid w:val="00E108B5"/>
    <w:rsid w:val="00E10B3F"/>
    <w:rsid w:val="00E113C4"/>
    <w:rsid w:val="00E115C4"/>
    <w:rsid w:val="00E12081"/>
    <w:rsid w:val="00E12F28"/>
    <w:rsid w:val="00E13370"/>
    <w:rsid w:val="00E138BC"/>
    <w:rsid w:val="00E138DA"/>
    <w:rsid w:val="00E1416B"/>
    <w:rsid w:val="00E142C7"/>
    <w:rsid w:val="00E151AE"/>
    <w:rsid w:val="00E15CAA"/>
    <w:rsid w:val="00E15F91"/>
    <w:rsid w:val="00E16723"/>
    <w:rsid w:val="00E16C0A"/>
    <w:rsid w:val="00E17A66"/>
    <w:rsid w:val="00E17F7C"/>
    <w:rsid w:val="00E20E63"/>
    <w:rsid w:val="00E2113A"/>
    <w:rsid w:val="00E21661"/>
    <w:rsid w:val="00E22191"/>
    <w:rsid w:val="00E22C3E"/>
    <w:rsid w:val="00E22D13"/>
    <w:rsid w:val="00E2449C"/>
    <w:rsid w:val="00E24FE8"/>
    <w:rsid w:val="00E252C8"/>
    <w:rsid w:val="00E256AA"/>
    <w:rsid w:val="00E25D9A"/>
    <w:rsid w:val="00E26D38"/>
    <w:rsid w:val="00E2758D"/>
    <w:rsid w:val="00E278E4"/>
    <w:rsid w:val="00E27B55"/>
    <w:rsid w:val="00E300C8"/>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D56"/>
    <w:rsid w:val="00E42E99"/>
    <w:rsid w:val="00E42FFD"/>
    <w:rsid w:val="00E433AE"/>
    <w:rsid w:val="00E4405F"/>
    <w:rsid w:val="00E44804"/>
    <w:rsid w:val="00E45550"/>
    <w:rsid w:val="00E45FED"/>
    <w:rsid w:val="00E47949"/>
    <w:rsid w:val="00E47B9F"/>
    <w:rsid w:val="00E507B1"/>
    <w:rsid w:val="00E50CDD"/>
    <w:rsid w:val="00E50E8E"/>
    <w:rsid w:val="00E516CA"/>
    <w:rsid w:val="00E518A8"/>
    <w:rsid w:val="00E51EF6"/>
    <w:rsid w:val="00E52409"/>
    <w:rsid w:val="00E5265B"/>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6F60"/>
    <w:rsid w:val="00E670D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81F"/>
    <w:rsid w:val="00E74C0C"/>
    <w:rsid w:val="00E7505A"/>
    <w:rsid w:val="00E75CC4"/>
    <w:rsid w:val="00E76273"/>
    <w:rsid w:val="00E76588"/>
    <w:rsid w:val="00E76992"/>
    <w:rsid w:val="00E76CB8"/>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446"/>
    <w:rsid w:val="00E839B1"/>
    <w:rsid w:val="00E84009"/>
    <w:rsid w:val="00E842D8"/>
    <w:rsid w:val="00E84703"/>
    <w:rsid w:val="00E849C3"/>
    <w:rsid w:val="00E849D3"/>
    <w:rsid w:val="00E850CA"/>
    <w:rsid w:val="00E85491"/>
    <w:rsid w:val="00E85554"/>
    <w:rsid w:val="00E85A6C"/>
    <w:rsid w:val="00E85B65"/>
    <w:rsid w:val="00E85CDA"/>
    <w:rsid w:val="00E8612B"/>
    <w:rsid w:val="00E86386"/>
    <w:rsid w:val="00E869B6"/>
    <w:rsid w:val="00E869C8"/>
    <w:rsid w:val="00E86F1B"/>
    <w:rsid w:val="00E8734C"/>
    <w:rsid w:val="00E878C3"/>
    <w:rsid w:val="00E879D2"/>
    <w:rsid w:val="00E9032A"/>
    <w:rsid w:val="00E908B1"/>
    <w:rsid w:val="00E90C60"/>
    <w:rsid w:val="00E9186D"/>
    <w:rsid w:val="00E91DA9"/>
    <w:rsid w:val="00E91F13"/>
    <w:rsid w:val="00E92C18"/>
    <w:rsid w:val="00E92CD8"/>
    <w:rsid w:val="00E9307E"/>
    <w:rsid w:val="00E93DD5"/>
    <w:rsid w:val="00E93F08"/>
    <w:rsid w:val="00E9432A"/>
    <w:rsid w:val="00E94333"/>
    <w:rsid w:val="00E94570"/>
    <w:rsid w:val="00E948ED"/>
    <w:rsid w:val="00E94DB2"/>
    <w:rsid w:val="00E95133"/>
    <w:rsid w:val="00E95ABB"/>
    <w:rsid w:val="00E95BC8"/>
    <w:rsid w:val="00E95D65"/>
    <w:rsid w:val="00E95DD2"/>
    <w:rsid w:val="00E95EB2"/>
    <w:rsid w:val="00E95FA5"/>
    <w:rsid w:val="00E9620F"/>
    <w:rsid w:val="00E9677A"/>
    <w:rsid w:val="00E974B1"/>
    <w:rsid w:val="00E97B3B"/>
    <w:rsid w:val="00EA0603"/>
    <w:rsid w:val="00EA0822"/>
    <w:rsid w:val="00EA1027"/>
    <w:rsid w:val="00EA1251"/>
    <w:rsid w:val="00EA180A"/>
    <w:rsid w:val="00EA1C1C"/>
    <w:rsid w:val="00EA2162"/>
    <w:rsid w:val="00EA2775"/>
    <w:rsid w:val="00EA2AAE"/>
    <w:rsid w:val="00EA33BF"/>
    <w:rsid w:val="00EA377C"/>
    <w:rsid w:val="00EA40AE"/>
    <w:rsid w:val="00EA41FA"/>
    <w:rsid w:val="00EA42A4"/>
    <w:rsid w:val="00EA4AB6"/>
    <w:rsid w:val="00EA4C2E"/>
    <w:rsid w:val="00EA579D"/>
    <w:rsid w:val="00EA6C48"/>
    <w:rsid w:val="00EA6EA0"/>
    <w:rsid w:val="00EA7DB8"/>
    <w:rsid w:val="00EA7FF3"/>
    <w:rsid w:val="00EB00D8"/>
    <w:rsid w:val="00EB083E"/>
    <w:rsid w:val="00EB0D86"/>
    <w:rsid w:val="00EB0FEC"/>
    <w:rsid w:val="00EB1BB4"/>
    <w:rsid w:val="00EB2856"/>
    <w:rsid w:val="00EB2987"/>
    <w:rsid w:val="00EB2B16"/>
    <w:rsid w:val="00EB2F43"/>
    <w:rsid w:val="00EB35EF"/>
    <w:rsid w:val="00EB36BD"/>
    <w:rsid w:val="00EB38AD"/>
    <w:rsid w:val="00EB3971"/>
    <w:rsid w:val="00EB3BDB"/>
    <w:rsid w:val="00EB408D"/>
    <w:rsid w:val="00EB474A"/>
    <w:rsid w:val="00EB51C1"/>
    <w:rsid w:val="00EB5379"/>
    <w:rsid w:val="00EB53A2"/>
    <w:rsid w:val="00EB54AA"/>
    <w:rsid w:val="00EB6477"/>
    <w:rsid w:val="00EB679A"/>
    <w:rsid w:val="00EB7789"/>
    <w:rsid w:val="00EB79A2"/>
    <w:rsid w:val="00EB7B88"/>
    <w:rsid w:val="00EC0FAB"/>
    <w:rsid w:val="00EC1069"/>
    <w:rsid w:val="00EC128A"/>
    <w:rsid w:val="00EC224A"/>
    <w:rsid w:val="00EC29E7"/>
    <w:rsid w:val="00EC2A0B"/>
    <w:rsid w:val="00EC32A6"/>
    <w:rsid w:val="00EC33E7"/>
    <w:rsid w:val="00EC3C58"/>
    <w:rsid w:val="00EC401C"/>
    <w:rsid w:val="00EC51F2"/>
    <w:rsid w:val="00EC5ABC"/>
    <w:rsid w:val="00EC5C23"/>
    <w:rsid w:val="00EC6075"/>
    <w:rsid w:val="00EC687A"/>
    <w:rsid w:val="00EC78A0"/>
    <w:rsid w:val="00EC796D"/>
    <w:rsid w:val="00EC7E2F"/>
    <w:rsid w:val="00ED00C3"/>
    <w:rsid w:val="00ED021C"/>
    <w:rsid w:val="00ED0268"/>
    <w:rsid w:val="00ED0A11"/>
    <w:rsid w:val="00ED0AAC"/>
    <w:rsid w:val="00ED27AF"/>
    <w:rsid w:val="00ED27C3"/>
    <w:rsid w:val="00ED3577"/>
    <w:rsid w:val="00ED381B"/>
    <w:rsid w:val="00ED3EB5"/>
    <w:rsid w:val="00ED4116"/>
    <w:rsid w:val="00ED4579"/>
    <w:rsid w:val="00ED49C7"/>
    <w:rsid w:val="00ED4AE0"/>
    <w:rsid w:val="00ED60D0"/>
    <w:rsid w:val="00ED6525"/>
    <w:rsid w:val="00ED673A"/>
    <w:rsid w:val="00ED6CCE"/>
    <w:rsid w:val="00ED6F45"/>
    <w:rsid w:val="00ED78C0"/>
    <w:rsid w:val="00ED7B5F"/>
    <w:rsid w:val="00ED7C0F"/>
    <w:rsid w:val="00ED7F13"/>
    <w:rsid w:val="00EE0A49"/>
    <w:rsid w:val="00EE0CA6"/>
    <w:rsid w:val="00EE0FBA"/>
    <w:rsid w:val="00EE14D8"/>
    <w:rsid w:val="00EE19FF"/>
    <w:rsid w:val="00EE2AA4"/>
    <w:rsid w:val="00EE2D8E"/>
    <w:rsid w:val="00EE3B3A"/>
    <w:rsid w:val="00EE3C62"/>
    <w:rsid w:val="00EE3E4E"/>
    <w:rsid w:val="00EE41FE"/>
    <w:rsid w:val="00EE455B"/>
    <w:rsid w:val="00EE524F"/>
    <w:rsid w:val="00EE549A"/>
    <w:rsid w:val="00EE55E1"/>
    <w:rsid w:val="00EE58B8"/>
    <w:rsid w:val="00EE5F55"/>
    <w:rsid w:val="00EE60B0"/>
    <w:rsid w:val="00EE6438"/>
    <w:rsid w:val="00EE6B7E"/>
    <w:rsid w:val="00EE6FFE"/>
    <w:rsid w:val="00EE72AD"/>
    <w:rsid w:val="00EE74D8"/>
    <w:rsid w:val="00EE7C1C"/>
    <w:rsid w:val="00EF0BC4"/>
    <w:rsid w:val="00EF0C40"/>
    <w:rsid w:val="00EF0DEC"/>
    <w:rsid w:val="00EF0FD2"/>
    <w:rsid w:val="00EF1106"/>
    <w:rsid w:val="00EF12B4"/>
    <w:rsid w:val="00EF16B2"/>
    <w:rsid w:val="00EF18AC"/>
    <w:rsid w:val="00EF21EF"/>
    <w:rsid w:val="00EF238A"/>
    <w:rsid w:val="00EF2488"/>
    <w:rsid w:val="00EF27FA"/>
    <w:rsid w:val="00EF3762"/>
    <w:rsid w:val="00EF3A8C"/>
    <w:rsid w:val="00EF4825"/>
    <w:rsid w:val="00EF483A"/>
    <w:rsid w:val="00EF486B"/>
    <w:rsid w:val="00EF5A5E"/>
    <w:rsid w:val="00EF5F4C"/>
    <w:rsid w:val="00EF6207"/>
    <w:rsid w:val="00EF66F6"/>
    <w:rsid w:val="00EF68CB"/>
    <w:rsid w:val="00EF6AE9"/>
    <w:rsid w:val="00EF713D"/>
    <w:rsid w:val="00EF75EE"/>
    <w:rsid w:val="00F00CDC"/>
    <w:rsid w:val="00F00E62"/>
    <w:rsid w:val="00F01090"/>
    <w:rsid w:val="00F01639"/>
    <w:rsid w:val="00F01B41"/>
    <w:rsid w:val="00F0245A"/>
    <w:rsid w:val="00F026F6"/>
    <w:rsid w:val="00F03638"/>
    <w:rsid w:val="00F03662"/>
    <w:rsid w:val="00F03BCA"/>
    <w:rsid w:val="00F04147"/>
    <w:rsid w:val="00F04656"/>
    <w:rsid w:val="00F0470C"/>
    <w:rsid w:val="00F04BD6"/>
    <w:rsid w:val="00F04CC7"/>
    <w:rsid w:val="00F04E91"/>
    <w:rsid w:val="00F054CB"/>
    <w:rsid w:val="00F056CD"/>
    <w:rsid w:val="00F05A23"/>
    <w:rsid w:val="00F0641C"/>
    <w:rsid w:val="00F0691B"/>
    <w:rsid w:val="00F07326"/>
    <w:rsid w:val="00F07D09"/>
    <w:rsid w:val="00F07D5B"/>
    <w:rsid w:val="00F07EFE"/>
    <w:rsid w:val="00F1050B"/>
    <w:rsid w:val="00F10812"/>
    <w:rsid w:val="00F110AE"/>
    <w:rsid w:val="00F118A0"/>
    <w:rsid w:val="00F1194C"/>
    <w:rsid w:val="00F11EB2"/>
    <w:rsid w:val="00F11F55"/>
    <w:rsid w:val="00F12F85"/>
    <w:rsid w:val="00F1327E"/>
    <w:rsid w:val="00F1367B"/>
    <w:rsid w:val="00F14350"/>
    <w:rsid w:val="00F14796"/>
    <w:rsid w:val="00F147B2"/>
    <w:rsid w:val="00F14AA0"/>
    <w:rsid w:val="00F15120"/>
    <w:rsid w:val="00F1606F"/>
    <w:rsid w:val="00F16542"/>
    <w:rsid w:val="00F16865"/>
    <w:rsid w:val="00F169F5"/>
    <w:rsid w:val="00F17760"/>
    <w:rsid w:val="00F17B5E"/>
    <w:rsid w:val="00F17BC9"/>
    <w:rsid w:val="00F17FE5"/>
    <w:rsid w:val="00F20232"/>
    <w:rsid w:val="00F2109F"/>
    <w:rsid w:val="00F211CA"/>
    <w:rsid w:val="00F21AB8"/>
    <w:rsid w:val="00F21C0D"/>
    <w:rsid w:val="00F21E10"/>
    <w:rsid w:val="00F2307D"/>
    <w:rsid w:val="00F230C5"/>
    <w:rsid w:val="00F23E5A"/>
    <w:rsid w:val="00F2434B"/>
    <w:rsid w:val="00F2513A"/>
    <w:rsid w:val="00F2541E"/>
    <w:rsid w:val="00F25F43"/>
    <w:rsid w:val="00F26092"/>
    <w:rsid w:val="00F2612B"/>
    <w:rsid w:val="00F2628B"/>
    <w:rsid w:val="00F26C87"/>
    <w:rsid w:val="00F26DCA"/>
    <w:rsid w:val="00F2781A"/>
    <w:rsid w:val="00F27908"/>
    <w:rsid w:val="00F30D29"/>
    <w:rsid w:val="00F31B02"/>
    <w:rsid w:val="00F31DCC"/>
    <w:rsid w:val="00F32757"/>
    <w:rsid w:val="00F32E78"/>
    <w:rsid w:val="00F330BE"/>
    <w:rsid w:val="00F33271"/>
    <w:rsid w:val="00F332CF"/>
    <w:rsid w:val="00F33FB4"/>
    <w:rsid w:val="00F3446F"/>
    <w:rsid w:val="00F346BC"/>
    <w:rsid w:val="00F3493A"/>
    <w:rsid w:val="00F34E66"/>
    <w:rsid w:val="00F350D3"/>
    <w:rsid w:val="00F3695D"/>
    <w:rsid w:val="00F36CA5"/>
    <w:rsid w:val="00F36ED3"/>
    <w:rsid w:val="00F377C2"/>
    <w:rsid w:val="00F40934"/>
    <w:rsid w:val="00F40DF4"/>
    <w:rsid w:val="00F40F45"/>
    <w:rsid w:val="00F416F9"/>
    <w:rsid w:val="00F418DA"/>
    <w:rsid w:val="00F43484"/>
    <w:rsid w:val="00F436A7"/>
    <w:rsid w:val="00F436EF"/>
    <w:rsid w:val="00F43908"/>
    <w:rsid w:val="00F43D5F"/>
    <w:rsid w:val="00F44150"/>
    <w:rsid w:val="00F442AD"/>
    <w:rsid w:val="00F44E3D"/>
    <w:rsid w:val="00F45088"/>
    <w:rsid w:val="00F45468"/>
    <w:rsid w:val="00F45661"/>
    <w:rsid w:val="00F45701"/>
    <w:rsid w:val="00F462A1"/>
    <w:rsid w:val="00F462D4"/>
    <w:rsid w:val="00F46347"/>
    <w:rsid w:val="00F46744"/>
    <w:rsid w:val="00F46897"/>
    <w:rsid w:val="00F46BA9"/>
    <w:rsid w:val="00F46CA9"/>
    <w:rsid w:val="00F46FBA"/>
    <w:rsid w:val="00F47B5D"/>
    <w:rsid w:val="00F47EF7"/>
    <w:rsid w:val="00F5025E"/>
    <w:rsid w:val="00F504C6"/>
    <w:rsid w:val="00F50715"/>
    <w:rsid w:val="00F50A32"/>
    <w:rsid w:val="00F5129D"/>
    <w:rsid w:val="00F52118"/>
    <w:rsid w:val="00F52CE2"/>
    <w:rsid w:val="00F52DFE"/>
    <w:rsid w:val="00F535F1"/>
    <w:rsid w:val="00F536DD"/>
    <w:rsid w:val="00F53CB6"/>
    <w:rsid w:val="00F54B6B"/>
    <w:rsid w:val="00F54FCB"/>
    <w:rsid w:val="00F552E0"/>
    <w:rsid w:val="00F5537A"/>
    <w:rsid w:val="00F5548B"/>
    <w:rsid w:val="00F55A45"/>
    <w:rsid w:val="00F55B6B"/>
    <w:rsid w:val="00F55BE3"/>
    <w:rsid w:val="00F55D9A"/>
    <w:rsid w:val="00F56146"/>
    <w:rsid w:val="00F566A2"/>
    <w:rsid w:val="00F57AE3"/>
    <w:rsid w:val="00F57C98"/>
    <w:rsid w:val="00F6045C"/>
    <w:rsid w:val="00F605C3"/>
    <w:rsid w:val="00F605D8"/>
    <w:rsid w:val="00F60976"/>
    <w:rsid w:val="00F61312"/>
    <w:rsid w:val="00F61ACB"/>
    <w:rsid w:val="00F61D07"/>
    <w:rsid w:val="00F61EAF"/>
    <w:rsid w:val="00F6229A"/>
    <w:rsid w:val="00F62450"/>
    <w:rsid w:val="00F627A5"/>
    <w:rsid w:val="00F62C99"/>
    <w:rsid w:val="00F636D9"/>
    <w:rsid w:val="00F63B6B"/>
    <w:rsid w:val="00F63E43"/>
    <w:rsid w:val="00F63EB6"/>
    <w:rsid w:val="00F63F3D"/>
    <w:rsid w:val="00F644F2"/>
    <w:rsid w:val="00F646E8"/>
    <w:rsid w:val="00F64D54"/>
    <w:rsid w:val="00F6506E"/>
    <w:rsid w:val="00F65391"/>
    <w:rsid w:val="00F6552A"/>
    <w:rsid w:val="00F65593"/>
    <w:rsid w:val="00F65963"/>
    <w:rsid w:val="00F65BF4"/>
    <w:rsid w:val="00F65DBC"/>
    <w:rsid w:val="00F666B9"/>
    <w:rsid w:val="00F667B5"/>
    <w:rsid w:val="00F669A6"/>
    <w:rsid w:val="00F67345"/>
    <w:rsid w:val="00F7019E"/>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84A"/>
    <w:rsid w:val="00F80A73"/>
    <w:rsid w:val="00F80AE8"/>
    <w:rsid w:val="00F8143C"/>
    <w:rsid w:val="00F81935"/>
    <w:rsid w:val="00F81DAD"/>
    <w:rsid w:val="00F81F0E"/>
    <w:rsid w:val="00F829C0"/>
    <w:rsid w:val="00F82BFC"/>
    <w:rsid w:val="00F82FB0"/>
    <w:rsid w:val="00F830E4"/>
    <w:rsid w:val="00F83395"/>
    <w:rsid w:val="00F8365A"/>
    <w:rsid w:val="00F83D62"/>
    <w:rsid w:val="00F842F2"/>
    <w:rsid w:val="00F84425"/>
    <w:rsid w:val="00F84954"/>
    <w:rsid w:val="00F84EF9"/>
    <w:rsid w:val="00F8532A"/>
    <w:rsid w:val="00F858A9"/>
    <w:rsid w:val="00F8696F"/>
    <w:rsid w:val="00F874F1"/>
    <w:rsid w:val="00F87BFE"/>
    <w:rsid w:val="00F904BB"/>
    <w:rsid w:val="00F90541"/>
    <w:rsid w:val="00F90612"/>
    <w:rsid w:val="00F90E96"/>
    <w:rsid w:val="00F91320"/>
    <w:rsid w:val="00F91FAF"/>
    <w:rsid w:val="00F92493"/>
    <w:rsid w:val="00F92F33"/>
    <w:rsid w:val="00F9373D"/>
    <w:rsid w:val="00F93C04"/>
    <w:rsid w:val="00F93FD4"/>
    <w:rsid w:val="00F94878"/>
    <w:rsid w:val="00F94929"/>
    <w:rsid w:val="00F953FA"/>
    <w:rsid w:val="00F959FB"/>
    <w:rsid w:val="00F96250"/>
    <w:rsid w:val="00F96A01"/>
    <w:rsid w:val="00F96B80"/>
    <w:rsid w:val="00F96E9C"/>
    <w:rsid w:val="00F97BC9"/>
    <w:rsid w:val="00FA0F9B"/>
    <w:rsid w:val="00FA1DA9"/>
    <w:rsid w:val="00FA1E49"/>
    <w:rsid w:val="00FA24AD"/>
    <w:rsid w:val="00FA26FA"/>
    <w:rsid w:val="00FA292F"/>
    <w:rsid w:val="00FA3045"/>
    <w:rsid w:val="00FA33E7"/>
    <w:rsid w:val="00FA3553"/>
    <w:rsid w:val="00FA5554"/>
    <w:rsid w:val="00FA5968"/>
    <w:rsid w:val="00FA5998"/>
    <w:rsid w:val="00FA60A0"/>
    <w:rsid w:val="00FA6273"/>
    <w:rsid w:val="00FA63E7"/>
    <w:rsid w:val="00FA65A5"/>
    <w:rsid w:val="00FA6908"/>
    <w:rsid w:val="00FA6A2A"/>
    <w:rsid w:val="00FA761E"/>
    <w:rsid w:val="00FA7E6A"/>
    <w:rsid w:val="00FB049C"/>
    <w:rsid w:val="00FB162A"/>
    <w:rsid w:val="00FB21A9"/>
    <w:rsid w:val="00FB2743"/>
    <w:rsid w:val="00FB2858"/>
    <w:rsid w:val="00FB288D"/>
    <w:rsid w:val="00FB2E5C"/>
    <w:rsid w:val="00FB32C1"/>
    <w:rsid w:val="00FB3395"/>
    <w:rsid w:val="00FB44F4"/>
    <w:rsid w:val="00FB460B"/>
    <w:rsid w:val="00FB6151"/>
    <w:rsid w:val="00FB691A"/>
    <w:rsid w:val="00FB6A38"/>
    <w:rsid w:val="00FB6FA0"/>
    <w:rsid w:val="00FB7503"/>
    <w:rsid w:val="00FB7527"/>
    <w:rsid w:val="00FB78EA"/>
    <w:rsid w:val="00FB7E3F"/>
    <w:rsid w:val="00FB7EE0"/>
    <w:rsid w:val="00FC1054"/>
    <w:rsid w:val="00FC12B5"/>
    <w:rsid w:val="00FC154E"/>
    <w:rsid w:val="00FC1658"/>
    <w:rsid w:val="00FC16DF"/>
    <w:rsid w:val="00FC2187"/>
    <w:rsid w:val="00FC249F"/>
    <w:rsid w:val="00FC2A1E"/>
    <w:rsid w:val="00FC2FDD"/>
    <w:rsid w:val="00FC37D6"/>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4383"/>
    <w:rsid w:val="00FD52FA"/>
    <w:rsid w:val="00FD616E"/>
    <w:rsid w:val="00FD6DE0"/>
    <w:rsid w:val="00FD7363"/>
    <w:rsid w:val="00FD7645"/>
    <w:rsid w:val="00FD7A7A"/>
    <w:rsid w:val="00FE05DF"/>
    <w:rsid w:val="00FE079B"/>
    <w:rsid w:val="00FE0F40"/>
    <w:rsid w:val="00FE1193"/>
    <w:rsid w:val="00FE15DD"/>
    <w:rsid w:val="00FE1D10"/>
    <w:rsid w:val="00FE2503"/>
    <w:rsid w:val="00FE30FF"/>
    <w:rsid w:val="00FE321B"/>
    <w:rsid w:val="00FE46A6"/>
    <w:rsid w:val="00FE4975"/>
    <w:rsid w:val="00FE4B63"/>
    <w:rsid w:val="00FE4DDF"/>
    <w:rsid w:val="00FE4EA8"/>
    <w:rsid w:val="00FE5ABC"/>
    <w:rsid w:val="00FE5FE6"/>
    <w:rsid w:val="00FE6A4B"/>
    <w:rsid w:val="00FE7366"/>
    <w:rsid w:val="00FE77F6"/>
    <w:rsid w:val="00FE7F57"/>
    <w:rsid w:val="00FF02E9"/>
    <w:rsid w:val="00FF07B0"/>
    <w:rsid w:val="00FF0F6E"/>
    <w:rsid w:val="00FF1578"/>
    <w:rsid w:val="00FF1634"/>
    <w:rsid w:val="00FF1B5B"/>
    <w:rsid w:val="00FF222E"/>
    <w:rsid w:val="00FF3799"/>
    <w:rsid w:val="00FF3A97"/>
    <w:rsid w:val="00FF4470"/>
    <w:rsid w:val="00FF4519"/>
    <w:rsid w:val="00FF479A"/>
    <w:rsid w:val="00FF4A40"/>
    <w:rsid w:val="00FF57A3"/>
    <w:rsid w:val="00FF5B78"/>
    <w:rsid w:val="00FF5CF2"/>
    <w:rsid w:val="00FF65CC"/>
    <w:rsid w:val="00FF6E7C"/>
    <w:rsid w:val="00FF7529"/>
    <w:rsid w:val="00FF79D0"/>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D11E33"/>
    <w:pPr>
      <w:tabs>
        <w:tab w:val="left" w:pos="440"/>
        <w:tab w:val="right" w:leader="dot" w:pos="9010"/>
      </w:tabs>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customStyle="1" w:styleId="UnresolvedMention1">
    <w:name w:val="Unresolved Mention1"/>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 w:type="paragraph" w:styleId="FootnoteText">
    <w:name w:val="footnote text"/>
    <w:basedOn w:val="Normal"/>
    <w:link w:val="FootnoteTextChar"/>
    <w:uiPriority w:val="99"/>
    <w:semiHidden/>
    <w:unhideWhenUsed/>
    <w:rsid w:val="00FD438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4383"/>
    <w:rPr>
      <w:rFonts w:ascii="Calibri" w:eastAsia="Calibri" w:hAnsi="Calibri" w:cs="Times New Roman"/>
      <w:sz w:val="20"/>
      <w:szCs w:val="20"/>
      <w:lang w:val="en-GB"/>
    </w:rPr>
  </w:style>
  <w:style w:type="character" w:styleId="FootnoteReference">
    <w:name w:val="footnote reference"/>
    <w:basedOn w:val="DefaultParagraphFont"/>
    <w:uiPriority w:val="99"/>
    <w:semiHidden/>
    <w:unhideWhenUsed/>
    <w:rsid w:val="00FD4383"/>
    <w:rPr>
      <w:vertAlign w:val="superscript"/>
    </w:rPr>
  </w:style>
  <w:style w:type="paragraph" w:styleId="EndnoteText">
    <w:name w:val="endnote text"/>
    <w:basedOn w:val="Normal"/>
    <w:link w:val="EndnoteTextChar"/>
    <w:uiPriority w:val="99"/>
    <w:semiHidden/>
    <w:unhideWhenUsed/>
    <w:rsid w:val="00C615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61575"/>
    <w:rPr>
      <w:rFonts w:ascii="Calibri" w:eastAsia="Calibri" w:hAnsi="Calibri" w:cs="Times New Roman"/>
      <w:sz w:val="20"/>
      <w:szCs w:val="20"/>
      <w:lang w:val="en-GB"/>
    </w:rPr>
  </w:style>
  <w:style w:type="character" w:styleId="EndnoteReference">
    <w:name w:val="endnote reference"/>
    <w:basedOn w:val="DefaultParagraphFont"/>
    <w:uiPriority w:val="99"/>
    <w:semiHidden/>
    <w:unhideWhenUsed/>
    <w:rsid w:val="00C61575"/>
    <w:rPr>
      <w:vertAlign w:val="superscript"/>
    </w:rPr>
  </w:style>
  <w:style w:type="table" w:customStyle="1" w:styleId="TableGrid1">
    <w:name w:val="Table Grid1"/>
    <w:basedOn w:val="TableNormal"/>
    <w:next w:val="TableGrid"/>
    <w:uiPriority w:val="39"/>
    <w:rsid w:val="002F1F61"/>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6675AE"/>
    <w:pPr>
      <w:spacing w:after="240" w:line="240" w:lineRule="atLeast"/>
      <w:ind w:firstLine="720"/>
      <w:jc w:val="both"/>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6675AE"/>
    <w:rPr>
      <w:rFonts w:ascii="Arial" w:eastAsia="MS Mincho" w:hAnsi="Arial" w:cs="Times New Roman"/>
      <w:color w:val="000000" w:themeColor="text1"/>
      <w:kern w:val="18"/>
      <w:sz w:val="22"/>
      <w:szCs w:val="20"/>
      <w:lang w:val="en-GB"/>
    </w:rPr>
  </w:style>
  <w:style w:type="character" w:styleId="PlaceholderText">
    <w:name w:val="Placeholder Text"/>
    <w:basedOn w:val="DefaultParagraphFont"/>
    <w:uiPriority w:val="99"/>
    <w:semiHidden/>
    <w:rsid w:val="006675A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05926678">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3_Seasonality/Seasonality%25202019%252004%252027.docx" TargetMode="External"/><Relationship Id="rId13" Type="http://schemas.openxmlformats.org/officeDocument/2006/relationships/hyperlink" Target="file:////Users/rmiparks/git/mortality/USA/state/write_ups/99_thesis/03_Seasonality/Seasonality%25202019%252004%252027.docx" TargetMode="External"/><Relationship Id="rId18" Type="http://schemas.openxmlformats.org/officeDocument/2006/relationships/hyperlink" Target="file:////Users/rmiparks/git/mortality/USA/state/write_ups/99_thesis/03_Seasonality/Seasonality%25202019%252004%252027.docx" TargetMode="External"/><Relationship Id="rId26" Type="http://schemas.microsoft.com/office/2016/09/relationships/commentsIds" Target="commentsIds.xml"/><Relationship Id="rId3" Type="http://schemas.openxmlformats.org/officeDocument/2006/relationships/styles" Target="styles.xml"/><Relationship Id="rId21" Type="http://schemas.openxmlformats.org/officeDocument/2006/relationships/hyperlink" Target="file:////Users/rmiparks/git/mortality/USA/state/write_ups/99_thesis/03_Seasonality/Seasonality%25202019%252004%252027.docx" TargetMode="External"/><Relationship Id="rId7" Type="http://schemas.openxmlformats.org/officeDocument/2006/relationships/endnotes" Target="endnotes.xml"/><Relationship Id="rId12" Type="http://schemas.openxmlformats.org/officeDocument/2006/relationships/hyperlink" Target="file:////Users/rmiparks/git/mortality/USA/state/write_ups/99_thesis/03_Seasonality/Seasonality%25202019%252004%252027.docx" TargetMode="External"/><Relationship Id="rId17" Type="http://schemas.openxmlformats.org/officeDocument/2006/relationships/hyperlink" Target="file:////Users/rmiparks/git/mortality/USA/state/write_ups/99_thesis/03_Seasonality/Seasonality%25202019%252004%252027.docx" TargetMode="External"/><Relationship Id="rId25"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hyperlink" Target="file:////Users/rmiparks/git/mortality/USA/state/write_ups/99_thesis/03_Seasonality/Seasonality%25202019%252004%252027.docx" TargetMode="External"/><Relationship Id="rId20" Type="http://schemas.openxmlformats.org/officeDocument/2006/relationships/hyperlink" Target="file:////Users/rmiparks/git/mortality/USA/state/write_ups/99_thesis/03_Seasonality/Seasonality%25202019%252004%252027.docx"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miparks/git/mortality/USA/state/write_ups/99_thesis/03_Seasonality/Seasonality%25202019%252004%252027.docx" TargetMode="External"/><Relationship Id="rId24"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yperlink" Target="file:////Users/rmiparks/git/mortality/USA/state/write_ups/99_thesis/03_Seasonality/Seasonality%25202019%252004%252027.docx" TargetMode="External"/><Relationship Id="rId23" Type="http://schemas.openxmlformats.org/officeDocument/2006/relationships/hyperlink" Target="file:////Users/rmiparks/git/mortality/USA/state/write_ups/99_thesis/03_Seasonality/Seasonality%25202019%252004%252027.docx" TargetMode="External"/><Relationship Id="rId28" Type="http://schemas.openxmlformats.org/officeDocument/2006/relationships/footer" Target="footer2.xml"/><Relationship Id="rId10" Type="http://schemas.openxmlformats.org/officeDocument/2006/relationships/hyperlink" Target="file:////Users/rmiparks/git/mortality/USA/state/write_ups/99_thesis/03_Seasonality/Seasonality%25202019%252004%252027.docx" TargetMode="External"/><Relationship Id="rId19" Type="http://schemas.openxmlformats.org/officeDocument/2006/relationships/hyperlink" Target="file:////Users/rmiparks/git/mortality/USA/state/write_ups/99_thesis/03_Seasonality/Seasonality%25202019%252004%252027.docx"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Users/rmiparks/git/mortality/USA/state/write_ups/99_thesis/03_Seasonality/Seasonality%25202019%252004%252027.docx" TargetMode="External"/><Relationship Id="rId14" Type="http://schemas.openxmlformats.org/officeDocument/2006/relationships/hyperlink" Target="file:////Users/rmiparks/git/mortality/USA/state/write_ups/99_thesis/03_Seasonality/Seasonality%25202019%252004%252027.docx" TargetMode="External"/><Relationship Id="rId22" Type="http://schemas.openxmlformats.org/officeDocument/2006/relationships/hyperlink" Target="file:////Users/rmiparks/git/mortality/USA/state/write_ups/99_thesis/03_Seasonality/Seasonality%25202019%252004%252027.docx" TargetMode="External"/><Relationship Id="rId27" Type="http://schemas.openxmlformats.org/officeDocument/2006/relationships/footer" Target="footer1.xml"/><Relationship Id="rId30"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www.cdc.gov/nchs/nvss/dvs_data_releas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E2216714-DAF7-474C-8C46-483A8DB41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22846</Words>
  <Characters>130227</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cp:revision>
  <cp:lastPrinted>2019-04-05T14:52:00Z</cp:lastPrinted>
  <dcterms:created xsi:type="dcterms:W3CDTF">2019-04-30T11:31:00Z</dcterms:created>
  <dcterms:modified xsi:type="dcterms:W3CDTF">2019-04-30T11:31:00Z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