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0.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SuRGE stats paper</w:t>
      </w:r>
    </w:p>
    <w:bookmarkStart w:id="20" w:name="introduction"/>
    <w:p>
      <w:pPr>
        <w:pStyle w:val="Heading2"/>
      </w:pPr>
      <w:r>
        <w:t xml:space="preserve">Introduction</w:t>
      </w:r>
    </w:p>
    <w:p>
      <w:pPr>
        <w:pStyle w:val="FirstParagraph"/>
      </w:pPr>
      <w:r>
        <w:t xml:space="preserve">Hello</w:t>
      </w:r>
    </w:p>
    <w:bookmarkEnd w:id="20"/>
    <w:bookmarkStart w:id="23" w:name="methods"/>
    <w:p>
      <w:pPr>
        <w:pStyle w:val="Heading2"/>
      </w:pPr>
      <w:r>
        <w:t xml:space="preserve">Methods</w:t>
      </w:r>
    </w:p>
    <w:bookmarkStart w:id="21" w:name="data-sources"/>
    <w:p>
      <w:pPr>
        <w:pStyle w:val="Heading3"/>
      </w:pPr>
      <w:r>
        <w:t xml:space="preserve">Data sources</w:t>
      </w:r>
    </w:p>
    <w:p>
      <w:pPr>
        <w:pStyle w:val="FirstParagraph"/>
      </w:pPr>
      <w:r>
        <w:t xml:space="preserve">We used a data set from the Survey of Reservoir Greenhouse gas Emissions (SuRGE) project containing methane emission rates measured at 13 to 55 locations within 146 US reservoirs</w:t>
      </w:r>
      <w:r>
        <w:t xml:space="preserve"> </w:t>
      </w:r>
      <w:r>
        <w:t xml:space="preserve">(Beaulieu and others 2026)</w:t>
      </w:r>
      <w:r>
        <w:t xml:space="preserve">. One hundred and eight reservoirs were selected using a generalized random-tessellation (GRTS) design</w:t>
      </w:r>
      <w:r>
        <w:t xml:space="preserve"> </w:t>
      </w:r>
      <w:r>
        <w:t xml:space="preserve">(Stevens and Olsen 2004)</w:t>
      </w:r>
      <w:r>
        <w:t xml:space="preserve"> </w:t>
      </w:r>
      <w:r>
        <w:t xml:space="preserve">and represent a spatially balanced and representative sample of reservoirs across the conterminous United States (CONUS). Thirty two of the reservoirs were selected to encompass a land use and maximum depth gradient across Ohio, Kentucky, and Indiana</w:t>
      </w:r>
      <w:r>
        <w:t xml:space="preserve"> </w:t>
      </w:r>
      <w:r>
        <w:t xml:space="preserve">(Beaulieu and others 2020)</w:t>
      </w:r>
      <w:r>
        <w:t xml:space="preserve">. The remaining 6 reservoirs were selected based on special interest (e.g. reference sites, location of related research). Sampling sites within each reservoir were selected using a GRTS design. In some cases the GRTS design included stratification to ensure the placement of sampling sites in areas where high emission rates were expected (e.g. river inflow regions). All reservoirs were sampled once during the summers of 2016-2023, with 4 reservoirs revisited a second time.</w:t>
      </w:r>
    </w:p>
    <w:p>
      <w:pPr>
        <w:pStyle w:val="BodyText"/>
      </w:pPr>
      <w:r>
        <w:t xml:space="preserve">Diffusive CH</w:t>
      </w:r>
      <w:r>
        <w:rPr>
          <w:vertAlign w:val="subscript"/>
        </w:rPr>
        <w:t xml:space="preserve">4</w:t>
      </w:r>
      <w:r>
        <w:t xml:space="preserve"> </w:t>
      </w:r>
      <w:r>
        <w:t xml:space="preserve">emission rates were measured using short-term (30 - 720 seconds) floating chamber deployments. Ebullitive CH</w:t>
      </w:r>
      <w:r>
        <w:rPr>
          <w:vertAlign w:val="subscript"/>
        </w:rPr>
        <w:t xml:space="preserve">4</w:t>
      </w:r>
      <w:r>
        <w:t xml:space="preserve"> </w:t>
      </w:r>
      <w:r>
        <w:t xml:space="preserve">emissions were measured using inverted funnels deployed for 13.5 - 63.7 hours. Vertically resolved temperature and dissolved oxygen profiles, nutrient concentrations (nitrogen, phosphorus, carbon, sulfate), and chlorophyll-</w:t>
      </w:r>
      <w:r>
        <w:rPr>
          <w:i/>
          <w:iCs/>
        </w:rPr>
        <w:t xml:space="preserve">a</w:t>
      </w:r>
      <w:r>
        <w:t xml:space="preserve"> </w:t>
      </w:r>
      <w:r>
        <w:t xml:space="preserve">(extraction-based) were measured at the deepest sampling site in each reservoir. Basic physicochemistry parameters (temperature, dissolved oxygen, pH, optical sensor based chlorophyll-</w:t>
      </w:r>
      <w:r>
        <w:rPr>
          <w:i/>
          <w:iCs/>
        </w:rPr>
        <w:t xml:space="preserve">a</w:t>
      </w:r>
      <w:r>
        <w:t xml:space="preserve">) and water depth were measured at all sites. See Beaulieu et al (2026) for full methodological details.</w:t>
      </w:r>
    </w:p>
    <w:p>
      <w:pPr>
        <w:pStyle w:val="BodyText"/>
      </w:pPr>
      <w:r>
        <w:t xml:space="preserve">In addition to variables measured during the sampling campaign, the SuRGE dataset contains numerous predictor variables derived from external sources. Reservoir age was derived from the National Inventory of Dams</w:t>
      </w:r>
      <w:r>
        <w:t xml:space="preserve"> </w:t>
      </w:r>
      <w:r>
        <w:t xml:space="preserve">(U.S. Army Corps of Engineers 2025)</w:t>
      </w:r>
      <w:r>
        <w:t xml:space="preserve">, sediment carbon content and water residence time were retrieved from the 2017 National Lakes Assessment</w:t>
      </w:r>
      <w:r>
        <w:t xml:space="preserve"> </w:t>
      </w:r>
      <w:r>
        <w:t xml:space="preserve">(U.S. Environmental Protection Agency 2022)</w:t>
      </w:r>
      <w:r>
        <w:t xml:space="preserve">, landscape and mean annual climate variables (e.g. watershed size, soil organic matter content, mean annual precipitation) were retrieved from lakeCat</w:t>
      </w:r>
      <w:r>
        <w:t xml:space="preserve"> </w:t>
      </w:r>
      <w:r>
        <w:t xml:space="preserve">(Hill and others 2018)</w:t>
      </w:r>
      <w:r>
        <w:t xml:space="preserve">, meteorology variables corresponding to the time and location of the emission rate observation were retrieved from ERA5</w:t>
      </w:r>
      <w:r>
        <w:t xml:space="preserve"> </w:t>
      </w:r>
      <w:r>
        <w:t xml:space="preserve">(Muñoz-Sabater and others 2021)</w:t>
      </w:r>
      <w:r>
        <w:t xml:space="preserve">, and remotely sensed trophic status estimates were retrieved from LAGOS</w:t>
      </w:r>
      <w:r>
        <w:t xml:space="preserve"> </w:t>
      </w:r>
      <w:r>
        <w:t xml:space="preserve">(Hanly and others 2025)</w:t>
      </w:r>
      <w:r>
        <w:t xml:space="preserve">.</w:t>
      </w:r>
    </w:p>
    <w:p>
      <w:pPr>
        <w:pStyle w:val="BodyText"/>
      </w:pPr>
      <w:r>
        <w:t xml:space="preserve">While sulfate and chlorophyll-</w:t>
      </w:r>
      <w:r>
        <w:rPr>
          <w:i/>
          <w:iCs/>
        </w:rPr>
        <w:t xml:space="preserve">a</w:t>
      </w:r>
      <w:r>
        <w:t xml:space="preserve"> </w:t>
      </w:r>
      <w:r>
        <w:t xml:space="preserve">samples were collected for the majority of national SuRGE reservoirs, sulfate was not collected in the 2016 regional survey nor in the early (2020) national survey sites, and chlorophyll-</w:t>
      </w:r>
      <w:r>
        <w:rPr>
          <w:i/>
          <w:iCs/>
        </w:rPr>
        <w:t xml:space="preserve">a</w:t>
      </w:r>
      <w:r>
        <w:t xml:space="preserve"> </w:t>
      </w:r>
      <w:r>
        <w:t xml:space="preserve">was not measured at a subset of the 2016 regional survey sites. Because missingness would limit our statistical power, and because early analysis suggested that both of these variables may be important predictors, we imputed missing sulfate (n = 64) and extraction-based chlorophyll-</w:t>
      </w:r>
      <w:r>
        <w:rPr>
          <w:i/>
          <w:iCs/>
        </w:rPr>
        <w:t xml:space="preserve">a</w:t>
      </w:r>
      <w:r>
        <w:t xml:space="preserve"> </w:t>
      </w:r>
      <w:r>
        <w:t xml:space="preserve">(n = 22) concentrations with values obtained from state (e.g. Ohio Department of Natural Resources) or federal (US Army Corps of Engineers, EPA’s National Lakes Assessment) monitoring programs. Preference was given to values measured during the same month and year of the emission rate measurements, else the mean of all available data was used. Potential error from imputing missing observations with values from external data sources was assessed by comparing values measured during the SuRGE campaign to those measured during the 2017 and 2022 National Lakes Assessments [</w:t>
      </w:r>
      <w:r>
        <w:t xml:space="preserve">U.S. Environmental Protection Agency (2022)</w:t>
      </w:r>
      <w:r>
        <w:t xml:space="preserve">;</w:t>
      </w:r>
      <w:r>
        <w:t xml:space="preserve"> </w:t>
      </w:r>
      <w:r>
        <w:t xml:space="preserve">U.S. Environmental Protection Agency (2024)</w:t>
      </w:r>
      <w:r>
        <w:t xml:space="preserve">. The pearson correlation coefficient (</w:t>
      </w:r>
      <w:r>
        <w:rPr>
          <w:i/>
          <w:iCs/>
        </w:rPr>
        <w:t xml:space="preserve">r</w:t>
      </w:r>
      <w:r>
        <w:t xml:space="preserve">) among chlorophyll-</w:t>
      </w:r>
      <w:r>
        <w:rPr>
          <w:i/>
          <w:iCs/>
        </w:rPr>
        <w:t xml:space="preserve">a</w:t>
      </w:r>
      <w:r>
        <w:t xml:space="preserve"> </w:t>
      </w:r>
      <w:r>
        <w:t xml:space="preserve">measurements was 0.53. Sulfate showed much less temporal variability with an</w:t>
      </w:r>
      <w:r>
        <w:t xml:space="preserve"> </w:t>
      </w:r>
      <w:r>
        <w:rPr>
          <w:i/>
          <w:iCs/>
        </w:rPr>
        <w:t xml:space="preserve">r</w:t>
      </w:r>
      <w:r>
        <w:t xml:space="preserve"> </w:t>
      </w:r>
      <w:r>
        <w:t xml:space="preserve">value of 0.83.</w:t>
      </w:r>
    </w:p>
    <w:bookmarkEnd w:id="21"/>
    <w:bookmarkStart w:id="22" w:name="X9fbd6f8476dca2392f8c225d1cd86b988d929b2"/>
    <w:p>
      <w:pPr>
        <w:pStyle w:val="Heading3"/>
      </w:pPr>
      <w:r>
        <w:t xml:space="preserve">Predictor variables and modeling approach</w:t>
      </w:r>
    </w:p>
    <w:p>
      <w:pPr>
        <w:pStyle w:val="FirstParagraph"/>
      </w:pPr>
      <w:r>
        <w:t xml:space="preserve">Predictor variables representing reservoir morphometry, tropic status, climate, hydrology, watershed, and chemical patterns were selected for use in modeling</w:t>
      </w:r>
      <w:r>
        <w:t xml:space="preserve"> </w:t>
      </w:r>
      <w:r>
        <w:rPr>
          <w:b/>
          <w:bCs/>
        </w:rPr>
        <w:t xml:space="preserve">(Table 1)</w:t>
      </w:r>
      <w:r>
        <w:t xml:space="preserve">. Variables within each group were assessed for collinearity using variance inflation factor (VIF) values [a]</w:t>
      </w:r>
      <w:r>
        <w:t xml:space="preserve">(Montgomery and Peck 1992)</w:t>
      </w:r>
      <w:r>
        <w:t xml:space="preserve">. Variables with the greatest VIF were removed until all variables had a VIF less than three. The final collection of variables used in each model were screened for collinearity using the same approach. Several morphological variables were collinear and we chose</w:t>
      </w:r>
      <w:r>
        <w:t xml:space="preserve"> </w:t>
      </w:r>
      <w:r>
        <w:rPr>
          <w:i/>
          <w:iCs/>
        </w:rPr>
        <w:t xml:space="preserve">a priori</w:t>
      </w:r>
      <w:r>
        <w:t xml:space="preserve"> </w:t>
      </w:r>
      <w:r>
        <w:t xml:space="preserve">to include surface area as a predictor while omitting all other morphological variables with a VIF &gt; 3 including dynamic ratio and shoreline complexity. We also excluded circularity as a predictor, despite its relatively low VIF value, given counterintuitive relationships where partial dependence plots showed emissions increasing with circularity. We expect this prediction was likely due to the negative relationship between circularity and surface area (pearson correlation coefficient = 0.5; smaller reservoirs are more round), as has been reported elsewhere</w:t>
      </w:r>
      <w:r>
        <w:t xml:space="preserve"> </w:t>
      </w:r>
      <w:r>
        <w:t xml:space="preserve">(Casas-Ruiz and others 2021)</w:t>
      </w:r>
      <w:r>
        <w:t xml:space="preserve">. The final set of variables used in the models are presented in</w:t>
      </w:r>
      <w:r>
        <w:t xml:space="preserve"> </w:t>
      </w:r>
      <w:r>
        <w:rPr>
          <w:b/>
          <w:bCs/>
        </w:rPr>
        <w:t xml:space="preserve">Table 1</w:t>
      </w:r>
      <w:r>
        <w:t xml:space="preserve">.</w:t>
      </w:r>
    </w:p>
    <w:p>
      <w:pPr>
        <w:pStyle w:val="BodyText"/>
      </w:pPr>
      <w:r>
        <w:t xml:space="preserve">Models were constructed for each response variable (diffusive, ebullitive, and total CH</w:t>
      </w:r>
      <w:r>
        <w:rPr>
          <w:vertAlign w:val="subscript"/>
        </w:rPr>
        <w:t xml:space="preserve">4</w:t>
      </w:r>
      <w:r>
        <w:t xml:space="preserve"> </w:t>
      </w:r>
      <w:r>
        <w:t xml:space="preserve">emission rates) using predictors that are consistently available in national databases. Another set of models were constructed that supplemented, or replaced, the national predictors with those directly measured during the sampling campaign. For example, the national model included remote sensing estimates of chlorophyll-</w:t>
      </w:r>
      <w:r>
        <w:rPr>
          <w:i/>
          <w:iCs/>
        </w:rPr>
        <w:t xml:space="preserve">a</w:t>
      </w:r>
      <w:r>
        <w:t xml:space="preserve">, which are widely available for the US</w:t>
      </w:r>
      <w:r>
        <w:t xml:space="preserve"> </w:t>
      </w:r>
      <w:r>
        <w:t xml:space="preserve">(Hanly and others 2025)</w:t>
      </w:r>
      <w:r>
        <w:t xml:space="preserve">, whereas the local-measurement model used direct measurements of chlorophyll-</w:t>
      </w:r>
      <w:r>
        <w:rPr>
          <w:i/>
          <w:iCs/>
        </w:rPr>
        <w:t xml:space="preserve">a</w:t>
      </w:r>
      <w:r>
        <w:t xml:space="preserve">. Comparison of these two sets of models was used to determine how much prediction accuracy improves when investigators expend the resources to conduct an</w:t>
      </w:r>
      <w:r>
        <w:t xml:space="preserve"> </w:t>
      </w:r>
      <w:r>
        <w:t xml:space="preserve">“on the ground”</w:t>
      </w:r>
      <w:r>
        <w:t xml:space="preserve"> </w:t>
      </w:r>
      <w:r>
        <w:t xml:space="preserve">investigation, rather than relying exclusively on widely available data.</w:t>
      </w:r>
      <w:r>
        <w:t xml:space="preserve"> </w:t>
      </w:r>
      <w:r>
        <w:rPr>
          <w:b/>
          <w:bCs/>
        </w:rPr>
        <w:t xml:space="preserve">Table 2</w:t>
      </w:r>
      <w:r>
        <w:t xml:space="preserve"> </w:t>
      </w:r>
      <w:r>
        <w:t xml:space="preserve">reports the total number of observations included in each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52"/>
        <w:gridCol w:w="3982"/>
        <w:gridCol w:w="1511"/>
        <w:gridCol w:w="2637"/>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Variable_Group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Scale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Response</w:t>
            </w:r>
          </w:p>
        </w:tc>
      </w:tr>
      <w:tr>
        <w:trPr>
          <w:trHeight w:val="617" w:hRule="auto"/>
        </w:trPr>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morphometry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buoyancy frequency</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local</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diffusion/ebullition/total</w:t>
            </w: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site_depth</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circularity</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local/global</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dynamic_ratio</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littoral_fraction</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max_depth</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max_length</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max_width</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mean_depth</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mean_width</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shoreline_development</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shoreline_length</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surface_area</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volume</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2"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temp_deep</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local</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temp_shallow</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precipitation_chamber</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diffusion</w:t>
            </w:r>
          </w:p>
        </w:tc>
      </w:tr>
      <w:tr>
        <w:trPr>
          <w:trHeight w:val="61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precipitation_trap</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ebullition</w:t>
            </w:r>
          </w:p>
        </w:tc>
      </w:tr>
      <w:tr>
        <w:trPr>
          <w:trHeight w:val="61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wind_speed_chamber</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diffusion</w:t>
            </w:r>
          </w:p>
        </w:tc>
      </w:tr>
      <w:tr>
        <w:trPr>
          <w:trHeight w:val="61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wind_speed_trap</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ebullition</w:t>
            </w:r>
          </w:p>
        </w:tc>
      </w:tr>
      <w:tr>
        <w:trPr>
          <w:trHeight w:val="61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delta_bp_ebu</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5"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delta_bp_diff</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diffusion</w:t>
            </w:r>
          </w:p>
        </w:tc>
      </w:tr>
      <w:tr>
        <w:trPr>
          <w:trHeight w:val="615"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shortwave_radiation_sum_mj_m2</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precip8110cat</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global</w:t>
            </w: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diffusion/ebullition/total</w:t>
            </w: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precip8110ws</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runoffcat</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runoffws</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max temperature 1981 - 2010</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2"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trophic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chla_lab_shallow</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local</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3"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no2_3_shallow</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tp_shallow</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tn_shallow</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op_shallow</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toc_shallow</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chla_sonde_shallow</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3"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nla17_sed_c</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chl_predicted_sample_month_visit1</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global</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doc_predicted_sample_month_visit1</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5"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hydrology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evaporation:inflow</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local</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sidence_time</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landscape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wsareasqkm</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local/global</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rda</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kffactcat</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global</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omcat</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scat</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pctcrop2019cat</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wsareasqkm</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nitrogencat</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agkffactcat</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elevcat</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chemistry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NH4+</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local</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SO42-</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TOC</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5"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DO deep</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DO shallow</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4" w:hRule="auto"/>
        </w:trPr>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reservoir age</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r>
        <w:trPr>
          <w:trHeight w:val="617" w:hRule="auto"/>
        </w:trPr>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ecoregion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local/global</w:t>
            </w: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r>
    </w:tbl>
    <w:p>
      <w:pPr>
        <w:pStyle w:val="BodyText"/>
      </w:pPr>
      <w:r>
        <w:t xml:space="preserve">Random forests</w:t>
      </w:r>
      <w:r>
        <w:t xml:space="preserve"> </w:t>
      </w:r>
      <w:r>
        <w:t xml:space="preserve">(Breiman 2001)</w:t>
      </w:r>
      <w:r>
        <w:t xml:space="preserve">, a machine learning technique, were used to relate CH</w:t>
      </w:r>
      <w:r>
        <w:rPr>
          <w:vertAlign w:val="subscript"/>
        </w:rPr>
        <w:t xml:space="preserve">4</w:t>
      </w:r>
      <w:r>
        <w:t xml:space="preserve"> </w:t>
      </w:r>
      <w:r>
        <w:t xml:space="preserve">emission rates (diffusive, ebullitive, total) to predictor variables</w:t>
      </w:r>
      <w:r>
        <w:t xml:space="preserve"> </w:t>
      </w:r>
      <w:r>
        <w:rPr>
          <w:b/>
          <w:bCs/>
        </w:rPr>
        <w:t xml:space="preserve">(Table 1)</w:t>
      </w:r>
      <w:r>
        <w:t xml:space="preserve">. This method was chosen because it can accommodate non-linear relationships, interactions, and collinearity among predictor variables, all of which are present in the data. Random forests are a collection of regression trees, where each tree is trained on a bootstrapped sample of the data and predictors. Predictions from the random forest model are an average of the predictions across the individual trees. Model error for each tree in the random forest is quantified by comparing the observations that were withheld from each tree by the bootstrap sampling procedure, to the value predicted for those observations. These prediction errors are averaged across the ensemble of trees and reported as the out-of-bag (OOB) model error.</w:t>
      </w:r>
    </w:p>
    <w:p>
      <w:pPr>
        <w:pStyle w:val="BodyText"/>
      </w:pPr>
      <w:r>
        <w:t xml:space="preserve">The relative importance of predictor variables was ranked using the permutation variable importance method</w:t>
      </w:r>
      <w:r>
        <w:t xml:space="preserve"> </w:t>
      </w:r>
      <w:r>
        <w:t xml:space="preserve">(Breiman 2001; Wright and others 2016)</w:t>
      </w:r>
      <w:r>
        <w:t xml:space="preserve">. Permutation variable importance is calculated using a two-step method. In the first step, the OOB performance is calculated for each tree. In the second step, the values for the predictor variable of interest are randomly permuted, and the OOB performance recalculated. The difference between the two OOB values is the permuted importance for the variable of interest. This procedure is repeated for each variable and the permuted importance values averaged across all trees. Relationships between response and predictor values were further investigated using partial dependence plots (PDPs) which show the marginal effect of a single predictor on the response while accounting for the average effect of the other predictors in the model</w:t>
      </w:r>
      <w:r>
        <w:t xml:space="preserve"> </w:t>
      </w:r>
      <w:r>
        <w:t xml:space="preserve">(Friedman 2001)</w:t>
      </w:r>
      <w:r>
        <w:t xml:space="preserve">. Model prediction error was assessed using the coefficient of determination (r</w:t>
      </w:r>
      <w:r>
        <w:rPr>
          <w:vertAlign w:val="superscript"/>
        </w:rPr>
        <w:t xml:space="preserve">2</w:t>
      </w:r>
      <w:r>
        <w:t xml:space="preserve">) between observed and predicted values, mean square error (MSE) and root mean square error (RMSE). We also calculate the mean absolute error (MAE) because it is less influenced by outliers than MSE and RMSE. All estimates of prediction error were calculated using OOB predictions.</w:t>
      </w:r>
    </w:p>
    <w:p>
      <w:pPr>
        <w:pStyle w:val="BodyText"/>
      </w:pPr>
      <w:r>
        <w:t xml:space="preserve">Response variables were log transformed to optimize model fitting and prediction because non-constant variation across regression tree residuals gives greater weight to higher variance data</w:t>
      </w:r>
      <w:r>
        <w:t xml:space="preserve"> </w:t>
      </w:r>
      <w:r>
        <w:t xml:space="preserve">(De’ath and Fabricius 2000)</w:t>
      </w:r>
      <w:r>
        <w:t xml:space="preserve">. Random forest modeling was conducted using the ranger package</w:t>
      </w:r>
      <w:r>
        <w:t xml:space="preserve"> </w:t>
      </w:r>
      <w:r>
        <w:t xml:space="preserve">(Wright and Ziegler 2017)</w:t>
      </w:r>
      <w:r>
        <w:t xml:space="preserve"> </w:t>
      </w:r>
      <w:r>
        <w:t xml:space="preserve">in R</w:t>
      </w:r>
      <w:r>
        <w:t xml:space="preserve"> </w:t>
      </w:r>
      <w:r>
        <w:t xml:space="preserve">(R Core Team 2025)</w:t>
      </w:r>
      <w:r>
        <w:t xml:space="preserve"> </w:t>
      </w:r>
      <w:r>
        <w:t xml:space="preserve">with four predictor variables randomly sampled at each split (mtry argument), a minimum of five observations per node (min.node.size argument), and a total of 500 trees per random forest (num.trees argument).</w:t>
      </w:r>
    </w:p>
    <w:bookmarkEnd w:id="22"/>
    <w:bookmarkEnd w:id="23"/>
    <w:bookmarkStart w:id="36" w:name="results"/>
    <w:p>
      <w:pPr>
        <w:pStyle w:val="Heading2"/>
      </w:pPr>
      <w:r>
        <w:t xml:space="preserve">Results</w:t>
      </w:r>
    </w:p>
    <w:p>
      <w:pPr>
        <w:pStyle w:val="FirstParagraph"/>
      </w:pPr>
      <w:r>
        <w:t xml:space="preserve">The OOB r</w:t>
      </w:r>
      <w:r>
        <w:rPr>
          <w:vertAlign w:val="superscript"/>
        </w:rPr>
        <w:t xml:space="preserve">2</w:t>
      </w:r>
      <w:r>
        <w:t xml:space="preserve"> </w:t>
      </w:r>
      <w:r>
        <w:t xml:space="preserve">of the local random forest models, when evaluated on the log10 response scale, range from 0.51 to 0.68 and were, on average, 0.1 greater than the corresponding national model</w:t>
      </w:r>
      <w:r>
        <w:t xml:space="preserve"> </w:t>
      </w:r>
      <w:r>
        <w:rPr>
          <w:b/>
          <w:bCs/>
        </w:rPr>
        <w:t xml:space="preserve">(table 2)</w:t>
      </w:r>
      <w:r>
        <w:t xml:space="preserve">. When the OOB predictions were backtransformed to the linear scale and compared to the observations, the OOB r</w:t>
      </w:r>
      <w:r>
        <w:rPr>
          <w:vertAlign w:val="superscript"/>
        </w:rPr>
        <w:t xml:space="preserve">2</w:t>
      </w:r>
      <w:r>
        <w:t xml:space="preserve"> </w:t>
      </w:r>
      <w:r>
        <w:t xml:space="preserve">were considerably lower for both local (mean r</w:t>
      </w:r>
      <w:r>
        <w:rPr>
          <w:vertAlign w:val="superscript"/>
        </w:rPr>
        <w:t xml:space="preserve">2</w:t>
      </w:r>
      <w:r>
        <w:t xml:space="preserve"> </w:t>
      </w:r>
      <w:r>
        <w:t xml:space="preserve">= 0.13) and national (0.1) models</w:t>
      </w:r>
      <w:r>
        <w:t xml:space="preserve"> </w:t>
      </w:r>
      <w:r>
        <w:rPr>
          <w:b/>
          <w:bCs/>
        </w:rPr>
        <w:t xml:space="preserve">(figure 2)</w:t>
      </w:r>
      <w:r>
        <w:t xml:space="preserve">. Measures of prediction error (MSE, RMSE, MAE) for the global model, when based on log10 predictions, were greater than those for the local models, but were very similar, and in some cases even lower than those for the local model, when assessed at the scale of the untransformed response.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23"/>
        <w:gridCol w:w="1193"/>
        <w:gridCol w:w="749"/>
        <w:gridCol w:w="802"/>
        <w:gridCol w:w="758"/>
        <w:gridCol w:w="900"/>
        <w:gridCol w:w="927"/>
        <w:gridCol w:w="980"/>
        <w:gridCol w:w="936"/>
        <w:gridCol w:w="1078"/>
        <w:gridCol w:w="544"/>
      </w:tblGrid>
      <w:tr>
        <w:trPr>
          <w:trHeight w:val="29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model_var_set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mse_log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rmse_log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mae_log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OOB 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log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mse_linear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rmse_linear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mae_linear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OOB 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linear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nobs</w:t>
            </w:r>
          </w:p>
        </w:tc>
      </w:tr>
      <w:tr>
        <w:trPr>
          <w:trHeight w:val="292" w:hRule="auto"/>
        </w:trPr>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ch4_diffusion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global_vars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405,981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1,993</w:t>
            </w:r>
          </w:p>
        </w:tc>
      </w:tr>
      <w:tr>
        <w:trPr>
          <w:trHeight w:val="292" w:hRule="auto"/>
        </w:trPr>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local_vars_all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0.669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591,191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769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1,353</w:t>
            </w:r>
          </w:p>
        </w:tc>
      </w:tr>
      <w:tr>
        <w:trPr>
          <w:trHeight w:val="292" w:hRule="auto"/>
        </w:trPr>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ch4_ebullition</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global_vars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1.622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1.235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52,372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2,171</w:t>
            </w:r>
          </w:p>
        </w:tc>
      </w:tr>
      <w:tr>
        <w:trPr>
          <w:trHeight w:val="290" w:hRule="auto"/>
        </w:trPr>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local_vars_all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1.987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1.410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33,882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1,460</w:t>
            </w:r>
          </w:p>
        </w:tc>
      </w:tr>
      <w:tr>
        <w:trPr>
          <w:trHeight w:val="292" w:hRule="auto"/>
        </w:trPr>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ch4_total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global_vars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0.918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455,069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1,922</w:t>
            </w:r>
          </w:p>
        </w:tc>
      </w:tr>
      <w:tr>
        <w:trPr>
          <w:trHeight w:val="290" w:hRule="auto"/>
        </w:trPr>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local_vars_all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0.841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653,807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1,293</w:t>
            </w:r>
          </w:p>
        </w:tc>
      </w:tr>
    </w:tbl>
    <w:p>
      <w:pPr>
        <w:pStyle w:val="CaptionedFigure"/>
      </w:pPr>
      <w:r>
        <w:drawing>
          <wp:inline>
            <wp:extent cx="4267200" cy="2133600"/>
            <wp:effectExtent b="0" l="0" r="0" t="0"/>
            <wp:docPr descr="Figure 2. Predicted versus observed diffusive emission rates in A) log and b) linear scales." title="" id="25" name="Picture"/>
            <a:graphic>
              <a:graphicData uri="http://schemas.openxmlformats.org/drawingml/2006/picture">
                <pic:pic>
                  <pic:nvPicPr>
                    <pic:cNvPr descr="SuRGE_stats_paper_files/figure-docx/pred_obs-1.png" id="26" name="Picture"/>
                    <pic:cNvPicPr>
                      <a:picLocks noChangeArrowheads="1" noChangeAspect="1"/>
                    </pic:cNvPicPr>
                  </pic:nvPicPr>
                  <pic:blipFill>
                    <a:blip r:embed="rId24"/>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Figure 2. Predicted versus observed diffusive emission rates in A) log and b) linear scales.</w:t>
      </w:r>
    </w:p>
    <w:p>
      <w:pPr>
        <w:pStyle w:val="BodyText"/>
      </w:pPr>
      <w:r>
        <w:t xml:space="preserve">Variable importance plots</w:t>
      </w:r>
    </w:p>
    <w:p>
      <w:pPr>
        <w:pStyle w:val="CaptionedFigure"/>
      </w:pPr>
      <w:r>
        <w:drawing>
          <wp:inline>
            <wp:extent cx="4267200" cy="2666999"/>
            <wp:effectExtent b="0" l="0" r="0" t="0"/>
            <wp:docPr descr="Figure 3. Relative variable importance for random forest models for CH[4] total, CH[4] diffusion, and CH[4] ebullition." title="" id="28" name="Picture"/>
            <a:graphic>
              <a:graphicData uri="http://schemas.openxmlformats.org/drawingml/2006/picture">
                <pic:pic>
                  <pic:nvPicPr>
                    <pic:cNvPr descr="SuRGE_stats_paper_files/figure-docx/var_imp-1.png" id="29" name="Picture"/>
                    <pic:cNvPicPr>
                      <a:picLocks noChangeArrowheads="1" noChangeAspect="1"/>
                    </pic:cNvPicPr>
                  </pic:nvPicPr>
                  <pic:blipFill>
                    <a:blip r:embed="rId27"/>
                    <a:stretch>
                      <a:fillRect/>
                    </a:stretch>
                  </pic:blipFill>
                  <pic:spPr bwMode="auto">
                    <a:xfrm>
                      <a:off x="0" y="0"/>
                      <a:ext cx="4267200" cy="2666999"/>
                    </a:xfrm>
                    <a:prstGeom prst="rect">
                      <a:avLst/>
                    </a:prstGeom>
                    <a:noFill/>
                    <a:ln w="9525">
                      <a:noFill/>
                      <a:headEnd/>
                      <a:tailEnd/>
                    </a:ln>
                  </pic:spPr>
                </pic:pic>
              </a:graphicData>
            </a:graphic>
          </wp:inline>
        </w:drawing>
      </w:r>
    </w:p>
    <w:p>
      <w:pPr>
        <w:pStyle w:val="ImageCaption"/>
      </w:pPr>
      <w:r>
        <w:t xml:space="preserve">Figure 3. Relative variable importance for random forest models for CH[4] total, CH[4] diffusion, and CH[4] ebullition.</w:t>
      </w:r>
    </w:p>
    <w:p>
      <w:pPr>
        <w:pStyle w:val="BodyText"/>
      </w:pPr>
      <w:r>
        <w:t xml:space="preserve">Partial dependence plots</w:t>
      </w:r>
    </w:p>
    <w:p>
      <w:pPr>
        <w:pStyle w:val="CaptionedFigure"/>
      </w:pPr>
      <w:r>
        <w:drawing>
          <wp:inline>
            <wp:extent cx="4267200" cy="1600199"/>
            <wp:effectExtent b="0" l="0" r="0" t="0"/>
            <wp:docPr descr="Figure 4. Partial dependence plots for most important explanatory variables for CH[4] total (purple), CH[4] diffusion (green), and CH[4] ebullition (orange)." title="" id="31" name="Picture"/>
            <a:graphic>
              <a:graphicData uri="http://schemas.openxmlformats.org/drawingml/2006/picture">
                <pic:pic>
                  <pic:nvPicPr>
                    <pic:cNvPr descr="SuRGE_stats_paper_files/figure-docx/pdp-1.png" id="32" name="Picture"/>
                    <pic:cNvPicPr>
                      <a:picLocks noChangeArrowheads="1" noChangeAspect="1"/>
                    </pic:cNvPicPr>
                  </pic:nvPicPr>
                  <pic:blipFill>
                    <a:blip r:embed="rId30"/>
                    <a:stretch>
                      <a:fillRect/>
                    </a:stretch>
                  </pic:blipFill>
                  <pic:spPr bwMode="auto">
                    <a:xfrm>
                      <a:off x="0" y="0"/>
                      <a:ext cx="4267200" cy="1600199"/>
                    </a:xfrm>
                    <a:prstGeom prst="rect">
                      <a:avLst/>
                    </a:prstGeom>
                    <a:noFill/>
                    <a:ln w="9525">
                      <a:noFill/>
                      <a:headEnd/>
                      <a:tailEnd/>
                    </a:ln>
                  </pic:spPr>
                </pic:pic>
              </a:graphicData>
            </a:graphic>
          </wp:inline>
        </w:drawing>
      </w:r>
    </w:p>
    <w:p>
      <w:pPr>
        <w:pStyle w:val="ImageCaption"/>
      </w:pPr>
      <w:r>
        <w:t xml:space="preserve">Figure 4. Partial dependence plots for most important explanatory variables for CH[4] total (purple), CH[4] diffusion (green), and CH[4] ebullition (orange).</w:t>
      </w:r>
    </w:p>
    <w:p>
      <w:pPr>
        <w:pStyle w:val="BodyText"/>
      </w:pPr>
      <w:r>
        <w:t xml:space="preserve">Interaction plots</w:t>
      </w:r>
    </w:p>
    <w:p>
      <w:pPr>
        <w:pStyle w:val="CaptionedFigure"/>
      </w:pPr>
      <w:r>
        <w:drawing>
          <wp:inline>
            <wp:extent cx="4267200" cy="1422399"/>
            <wp:effectExtent b="0" l="0" r="0" t="0"/>
            <wp:docPr descr="Figure 5. Interaction plots for top variables for CH[4] total." title="" id="34" name="Picture"/>
            <a:graphic>
              <a:graphicData uri="http://schemas.openxmlformats.org/drawingml/2006/picture">
                <pic:pic>
                  <pic:nvPicPr>
                    <pic:cNvPr descr="SuRGE_stats_paper_files/figure-docx/interaction_plots-1.png" id="35" name="Picture"/>
                    <pic:cNvPicPr>
                      <a:picLocks noChangeArrowheads="1" noChangeAspect="1"/>
                    </pic:cNvPicPr>
                  </pic:nvPicPr>
                  <pic:blipFill>
                    <a:blip r:embed="rId33"/>
                    <a:stretch>
                      <a:fillRect/>
                    </a:stretch>
                  </pic:blipFill>
                  <pic:spPr bwMode="auto">
                    <a:xfrm>
                      <a:off x="0" y="0"/>
                      <a:ext cx="4267200" cy="1422399"/>
                    </a:xfrm>
                    <a:prstGeom prst="rect">
                      <a:avLst/>
                    </a:prstGeom>
                    <a:noFill/>
                    <a:ln w="9525">
                      <a:noFill/>
                      <a:headEnd/>
                      <a:tailEnd/>
                    </a:ln>
                  </pic:spPr>
                </pic:pic>
              </a:graphicData>
            </a:graphic>
          </wp:inline>
        </w:drawing>
      </w:r>
    </w:p>
    <w:p>
      <w:pPr>
        <w:pStyle w:val="ImageCaption"/>
      </w:pPr>
      <w:r>
        <w:t xml:space="preserve">Figure 5. Interaction plots for top variables for CH[4] total.</w:t>
      </w:r>
    </w:p>
    <w:bookmarkEnd w:id="36"/>
    <w:bookmarkStart w:id="41" w:name="discussion"/>
    <w:p>
      <w:pPr>
        <w:pStyle w:val="Heading2"/>
      </w:pPr>
      <w:r>
        <w:t xml:space="preserve">Discussion</w:t>
      </w:r>
    </w:p>
    <w:bookmarkStart w:id="37" w:name="morphometry"/>
    <w:p>
      <w:pPr>
        <w:pStyle w:val="Heading3"/>
      </w:pPr>
      <w:r>
        <w:t xml:space="preserve">Morphometry</w:t>
      </w:r>
    </w:p>
    <w:p>
      <w:pPr>
        <w:pStyle w:val="FirstParagraph"/>
      </w:pPr>
      <w:r>
        <w:t xml:space="preserve">Measures of reservoir morphometry were important predictors of CH</w:t>
      </w:r>
      <w:r>
        <w:rPr>
          <w:vertAlign w:val="subscript"/>
        </w:rPr>
        <w:t xml:space="preserve">4</w:t>
      </w:r>
      <w:r>
        <w:t xml:space="preserve"> </w:t>
      </w:r>
      <w:r>
        <w:t xml:space="preserve">emission rates across all models, which is consistent with previous work at global</w:t>
      </w:r>
      <w:r>
        <w:t xml:space="preserve"> </w:t>
      </w:r>
      <w:r>
        <w:t xml:space="preserve">(Deemer and Holgerson 2021)</w:t>
      </w:r>
      <w:r>
        <w:t xml:space="preserve">, regional</w:t>
      </w:r>
      <w:r>
        <w:t xml:space="preserve"> </w:t>
      </w:r>
      <w:r>
        <w:t xml:space="preserve">(West and others 2016)</w:t>
      </w:r>
      <w:r>
        <w:t xml:space="preserve">, and site-specific scales</w:t>
      </w:r>
      <w:r>
        <w:t xml:space="preserve"> </w:t>
      </w:r>
      <w:r>
        <w:t xml:space="preserve">(Desrosiers and others 2022)</w:t>
      </w:r>
      <w:r>
        <w:t xml:space="preserve">. The models utilizing predictors measured on-site (</w:t>
      </w:r>
      <w:r>
        <w:t xml:space="preserve">“local models”</w:t>
      </w:r>
      <w:r>
        <w:t xml:space="preserve"> </w:t>
      </w:r>
      <w:r>
        <w:t xml:space="preserve">hereafter) identified mean reservoir depth as the second most important predictor</w:t>
      </w:r>
      <w:r>
        <w:t xml:space="preserve"> </w:t>
      </w:r>
      <w:r>
        <w:rPr>
          <w:b/>
          <w:bCs/>
        </w:rPr>
        <w:t xml:space="preserve">[CITE VIP PLOTS HERE]</w:t>
      </w:r>
      <w:r>
        <w:t xml:space="preserve">, with all emission pathways (diffusion, ebullition, total) exhibiting a steep, non-linear decline in emission rates with increasing depth. Diffusive emission rates fell sharply as mean reservoir depth increased from a minimum of 1, the shallowest waterbody in the dataset, to about 2.5 m, with very low emission rates beyond depths of about 12 m</w:t>
      </w:r>
      <w:r>
        <w:t xml:space="preserve"> </w:t>
      </w:r>
      <w:r>
        <w:rPr>
          <w:b/>
          <w:bCs/>
        </w:rPr>
        <w:t xml:space="preserve">(CITE PDP FIG HERE)</w:t>
      </w:r>
      <w:r>
        <w:t xml:space="preserve">. These depth thresholds roughly align with a recent global study that estimated 85% of diffusive CH</w:t>
      </w:r>
      <w:r>
        <w:rPr>
          <w:vertAlign w:val="subscript"/>
        </w:rPr>
        <w:t xml:space="preserve">4</w:t>
      </w:r>
      <w:r>
        <w:t xml:space="preserve"> </w:t>
      </w:r>
      <w:r>
        <w:t xml:space="preserve">fluxes originate from lakes with a mean depth &lt;5 m</w:t>
      </w:r>
      <w:r>
        <w:t xml:space="preserve"> </w:t>
      </w:r>
      <w:r>
        <w:t xml:space="preserve">(Mingxu Li and others 2020)</w:t>
      </w:r>
      <w:r>
        <w:t xml:space="preserve">. This pattern may reflect the relatively greater abundance of vegetated littoral zones, a known hot spot for CH</w:t>
      </w:r>
      <w:r>
        <w:rPr>
          <w:vertAlign w:val="subscript"/>
        </w:rPr>
        <w:t xml:space="preserve">4</w:t>
      </w:r>
      <w:r>
        <w:t xml:space="preserve"> </w:t>
      </w:r>
      <w:r>
        <w:t xml:space="preserve">production</w:t>
      </w:r>
      <w:r>
        <w:t xml:space="preserve"> </w:t>
      </w:r>
      <w:r>
        <w:rPr>
          <w:b/>
          <w:bCs/>
        </w:rPr>
        <w:t xml:space="preserve">[CITATION]</w:t>
      </w:r>
      <w:r>
        <w:t xml:space="preserve">, in shallower reservoirs</w:t>
      </w:r>
      <w:r>
        <w:t xml:space="preserve"> </w:t>
      </w:r>
      <w:r>
        <w:t xml:space="preserve">(DelSontro and others 2018; Desrosiers and others 2022)</w:t>
      </w:r>
      <w:r>
        <w:t xml:space="preserve">. This explanation is supported by the random forest models which identified the fraction of the waterbody &lt;3 m deep, a functional definition of the littoral zone, as the single most important predictor of CH</w:t>
      </w:r>
      <w:r>
        <w:rPr>
          <w:vertAlign w:val="subscript"/>
        </w:rPr>
        <w:t xml:space="preserve">4</w:t>
      </w:r>
      <w:r>
        <w:t xml:space="preserve"> </w:t>
      </w:r>
      <w:r>
        <w:t xml:space="preserve">emission rates. [b][c]While mean reservoir depth was an important predictor of diffusive emission rates, site-specific depth measurements were not. This may be because dissolved CH</w:t>
      </w:r>
      <w:r>
        <w:rPr>
          <w:vertAlign w:val="subscript"/>
        </w:rPr>
        <w:t xml:space="preserve">4</w:t>
      </w:r>
      <w:r>
        <w:t xml:space="preserve">, which drives diffusive emissions, can be widely advected throughout a waterbody. For example, CH</w:t>
      </w:r>
      <w:r>
        <w:rPr>
          <w:vertAlign w:val="subscript"/>
        </w:rPr>
        <w:t xml:space="preserve">4</w:t>
      </w:r>
      <w:r>
        <w:t xml:space="preserve"> </w:t>
      </w:r>
      <w:r>
        <w:t xml:space="preserve">produced in littoral sediment can be advected to the center of deep waterbodies before diffusing across the air-water interface</w:t>
      </w:r>
      <w:r>
        <w:t xml:space="preserve"> </w:t>
      </w:r>
      <w:r>
        <w:t xml:space="preserve">(DelSontro and others 2018)</w:t>
      </w:r>
      <w:r>
        <w:t xml:space="preserve">, thereby decoupling the depth of CH</w:t>
      </w:r>
      <w:r>
        <w:rPr>
          <w:vertAlign w:val="subscript"/>
        </w:rPr>
        <w:t xml:space="preserve">4</w:t>
      </w:r>
      <w:r>
        <w:t xml:space="preserve"> </w:t>
      </w:r>
      <w:r>
        <w:t xml:space="preserve">production from the depth of CH</w:t>
      </w:r>
      <w:r>
        <w:rPr>
          <w:vertAlign w:val="subscript"/>
        </w:rPr>
        <w:t xml:space="preserve">4</w:t>
      </w:r>
      <w:r>
        <w:t xml:space="preserve"> </w:t>
      </w:r>
      <w:r>
        <w:t xml:space="preserve">emission. By contrast, ebullitive emissions occur at the site of CH</w:t>
      </w:r>
      <w:r>
        <w:rPr>
          <w:vertAlign w:val="subscript"/>
        </w:rPr>
        <w:t xml:space="preserve">4</w:t>
      </w:r>
      <w:r>
        <w:t xml:space="preserve"> </w:t>
      </w:r>
      <w:r>
        <w:t xml:space="preserve">production and the random forest identified site-depth as the third most important predictor for this emission pathway. Deeper depths result in more methane dissolution as bubbles rise further distances before eventually reaching the atmosphere. Together with initial bubble size, the water depth determines the fraction of methane in the original bubble that ultimately reaches the atmosphere</w:t>
      </w:r>
      <w:r>
        <w:t xml:space="preserve"> </w:t>
      </w:r>
      <w:r>
        <w:t xml:space="preserve">(McGinnis and others 2006)</w:t>
      </w:r>
      <w:r>
        <w:t xml:space="preserve">. The random forest predicts a steep decline in ebullition, with very minimal bubbling at depths deeper than ~10m.</w:t>
      </w:r>
    </w:p>
    <w:p>
      <w:pPr>
        <w:pStyle w:val="BodyText"/>
      </w:pPr>
      <w:r>
        <w:t xml:space="preserve">Total CH</w:t>
      </w:r>
      <w:r>
        <w:rPr>
          <w:vertAlign w:val="subscript"/>
        </w:rPr>
        <w:t xml:space="preserve">4</w:t>
      </w:r>
      <w:r>
        <w:t xml:space="preserve"> </w:t>
      </w:r>
      <w:r>
        <w:t xml:space="preserve">emission rates reflect the sum of diffusive and ebullitive emission rates, thus the factors controlling total emission rates are a blend of those controlling diffusion and ebullition. Site depth was not identified as an important predictor of total CH</w:t>
      </w:r>
      <w:r>
        <w:rPr>
          <w:vertAlign w:val="subscript"/>
        </w:rPr>
        <w:t xml:space="preserve">4</w:t>
      </w:r>
      <w:r>
        <w:t xml:space="preserve"> </w:t>
      </w:r>
      <w:r>
        <w:t xml:space="preserve">emission rates, likely because, on average, diffusion contributed more to total emissions than ebullition</w:t>
      </w:r>
      <w:r>
        <w:t xml:space="preserve"> </w:t>
      </w:r>
      <w:r>
        <w:rPr>
          <w:b/>
          <w:bCs/>
        </w:rPr>
        <w:t xml:space="preserve">[VERIFY THIS]</w:t>
      </w:r>
      <w:r>
        <w:t xml:space="preserve">. Our random forest model predicts a steep decline in total emission rates as depth increases to approximately 5 m. 5 m was recently proposed as a threshold above or below which lakes, ponds and wetlands show non-linear changes in a variety of ecosystem metrics, although no such threshold was found for methane</w:t>
      </w:r>
      <w:r>
        <w:t xml:space="preserve"> </w:t>
      </w:r>
      <w:r>
        <w:t xml:space="preserve">(Richardson and others 2022)</w:t>
      </w:r>
      <w:r>
        <w:t xml:space="preserve">.</w:t>
      </w:r>
    </w:p>
    <w:p>
      <w:pPr>
        <w:pStyle w:val="BodyText"/>
      </w:pPr>
      <w:r>
        <w:t xml:space="preserve">The importance of mean reservoir depth was also apparent in the models restricted to predictor variables that are widely available across the US (</w:t>
      </w:r>
      <w:r>
        <w:t xml:space="preserve">“national model”</w:t>
      </w:r>
      <w:r>
        <w:t xml:space="preserve"> </w:t>
      </w:r>
      <w:r>
        <w:t xml:space="preserve">hereafter). Estimates of mean depth are available for many US waterbodies in the NHDPlusV2 database and across the globe in the GLOBathy data set</w:t>
      </w:r>
      <w:r>
        <w:t xml:space="preserve"> </w:t>
      </w:r>
      <w:r>
        <w:t xml:space="preserve">(Khazaei and others 2022)</w:t>
      </w:r>
      <w:r>
        <w:t xml:space="preserve">. At the global scale, previous work has found maximum depth to be a more informative predictor of total emissions, but this was based on a very small sample size (n=9 reservoirs,</w:t>
      </w:r>
      <w:r>
        <w:t xml:space="preserve"> </w:t>
      </w:r>
      <w:r>
        <w:t xml:space="preserve">(Deemer and Holgerson 2021)</w:t>
      </w:r>
      <w:r>
        <w:t xml:space="preserve">). Due to strong collinearity among morphological variables, maximum depth was excluded from our national models.</w:t>
      </w:r>
    </w:p>
    <w:p>
      <w:pPr>
        <w:pStyle w:val="BodyText"/>
      </w:pPr>
      <w:r>
        <w:t xml:space="preserve">All emission pathways exhibited a non-linear, negative relationship with reservoir surface area, the fourth most important predictor in all local models and the most important predictor in the diffusive emission rate global model. This result reinforces reports from numerous studies showing correlations between surface area and measures of CH</w:t>
      </w:r>
      <w:r>
        <w:rPr>
          <w:vertAlign w:val="subscript"/>
        </w:rPr>
        <w:t xml:space="preserve">4</w:t>
      </w:r>
      <w:r>
        <w:t xml:space="preserve"> </w:t>
      </w:r>
      <w:r>
        <w:t xml:space="preserve">biogeochemistry including emission rates and dissolved concentration</w:t>
      </w:r>
      <w:r>
        <w:t xml:space="preserve"> </w:t>
      </w:r>
      <w:r>
        <w:t xml:space="preserve">(Rasilo and others 2015; Beaulieu and others 2020; Casas-Ruiz and others 2021)</w:t>
      </w:r>
      <w:r>
        <w:t xml:space="preserve">. Attributing a mechanism to this correlation is difficult because of strong collinearity among indices of reservoir size and shape. We decided</w:t>
      </w:r>
      <w:r>
        <w:t xml:space="preserve"> </w:t>
      </w:r>
      <w:r>
        <w:rPr>
          <w:i/>
          <w:iCs/>
        </w:rPr>
        <w:t xml:space="preserve">a priori</w:t>
      </w:r>
      <w:r>
        <w:t xml:space="preserve"> </w:t>
      </w:r>
      <w:r>
        <w:t xml:space="preserve">to include surface area as a predictor in the RF models and excluded all other morphology indices with a VIF &gt; 3; however, replacement of surface area with excluded variables, including shoreline complexity and dynamic ratio, results in models with nearly identical predictive accuracy (</w:t>
      </w:r>
      <w:r>
        <w:rPr>
          <w:b/>
          <w:bCs/>
        </w:rPr>
        <w:t xml:space="preserve">SI TABLE XX</w:t>
      </w:r>
      <w:r>
        <w:t xml:space="preserve">), but different mechanistic interpretations. Surface area therefore serves as a proxy for several morphological indices and the correlation with CH</w:t>
      </w:r>
      <w:r>
        <w:rPr>
          <w:vertAlign w:val="subscript"/>
        </w:rPr>
        <w:t xml:space="preserve">4</w:t>
      </w:r>
      <w:r>
        <w:t xml:space="preserve"> </w:t>
      </w:r>
      <w:r>
        <w:t xml:space="preserve">emission rates is likely driven by a combination of mechanisms including a tendency for smaller reservoirs to be shallower, more likely to develop an anoxic hypoxia due to higher sediment-to-volume ratios, and to have stronger connections between littoral and pelagic zones. The novel contribution of our finding is that it is supported by observations from the largest, most diverse, and most geographically distributed set of reservoirs that has been analyzed to date, demonstrating that reservoir morphology plays a critical role in regulating CH</w:t>
      </w:r>
      <w:r>
        <w:rPr>
          <w:vertAlign w:val="subscript"/>
        </w:rPr>
        <w:t xml:space="preserve">4</w:t>
      </w:r>
      <w:r>
        <w:t xml:space="preserve"> </w:t>
      </w:r>
      <w:r>
        <w:t xml:space="preserve">biogeochemistry.</w:t>
      </w:r>
    </w:p>
    <w:p>
      <w:pPr>
        <w:pStyle w:val="BodyText"/>
      </w:pPr>
      <w:r>
        <w:t xml:space="preserve">Relative drainage area (RDA), calculated as the ratio of watershed to reservoir surface area, serves as a proxy for the per-unit-area loading rate of watershed derived sediment into a reservoir (i.e., g sediment m</w:t>
      </w:r>
      <w:r>
        <w:rPr>
          <w:vertAlign w:val="superscript"/>
        </w:rPr>
        <w:t xml:space="preserve">-2</w:t>
      </w:r>
      <w:r>
        <w:t xml:space="preserve"> </w:t>
      </w:r>
      <w:r>
        <w:t xml:space="preserve">d</w:t>
      </w:r>
      <w:r>
        <w:rPr>
          <w:vertAlign w:val="superscript"/>
        </w:rPr>
        <w:t xml:space="preserve">-1</w:t>
      </w:r>
      <w:r>
        <w:t xml:space="preserve">) and has been shown to correlate with reservoir CH</w:t>
      </w:r>
      <w:r>
        <w:rPr>
          <w:vertAlign w:val="subscript"/>
        </w:rPr>
        <w:t xml:space="preserve">4</w:t>
      </w:r>
      <w:r>
        <w:t xml:space="preserve"> </w:t>
      </w:r>
      <w:r>
        <w:t xml:space="preserve">emission rates</w:t>
      </w:r>
      <w:r>
        <w:t xml:space="preserve"> </w:t>
      </w:r>
      <w:r>
        <w:t xml:space="preserve">(Beaulieu and others 2020)</w:t>
      </w:r>
      <w:r>
        <w:t xml:space="preserve">. RDA was identified as the fourth most important predictor in the global models of CH</w:t>
      </w:r>
      <w:r>
        <w:rPr>
          <w:vertAlign w:val="subscript"/>
        </w:rPr>
        <w:t xml:space="preserve">4</w:t>
      </w:r>
      <w:r>
        <w:t xml:space="preserve"> </w:t>
      </w:r>
      <w:r>
        <w:t xml:space="preserve">total and diffusion, but was not selected as an important variable in any of the local models, possibly because the local models also include measurements of sediment organic matter (third most important predictor in the total and diffusive local models) which may serve as a stronger index of carbon availability than RDA.</w:t>
      </w:r>
    </w:p>
    <w:bookmarkEnd w:id="37"/>
    <w:bookmarkStart w:id="38" w:name="carbon"/>
    <w:p>
      <w:pPr>
        <w:pStyle w:val="Heading3"/>
      </w:pPr>
      <w:r>
        <w:t xml:space="preserve">Carbon</w:t>
      </w:r>
    </w:p>
    <w:p>
      <w:pPr>
        <w:pStyle w:val="FirstParagraph"/>
      </w:pPr>
      <w:r>
        <w:t xml:space="preserve">The relationship between total and diffusive methane emissions and sediment carbon is consistent with the notion that most methane is produced within reservoir sediments</w:t>
      </w:r>
      <w:r>
        <w:t xml:space="preserve"> </w:t>
      </w:r>
      <w:r>
        <w:t xml:space="preserve">(Bastviken and others 2008)</w:t>
      </w:r>
      <w:r>
        <w:t xml:space="preserve"> </w:t>
      </w:r>
      <w:r>
        <w:t xml:space="preserve">and that higher concentrations of sediment carbon will fuel methanogenesis</w:t>
      </w:r>
      <w:r>
        <w:t xml:space="preserve"> </w:t>
      </w:r>
      <w:r>
        <w:t xml:space="preserve">(Bodmer and others 2025)</w:t>
      </w:r>
      <w:r>
        <w:t xml:space="preserve">. One study across 72 aquatic systems found that sediment methane production potential was strongly related to the percent organic carbon in the sediments, while also noting that reservoirs tended to have higher sediment methane production potential than natural lakes</w:t>
      </w:r>
      <w:r>
        <w:t xml:space="preserve"> </w:t>
      </w:r>
      <w:r>
        <w:t xml:space="preserve">(Bodmer and others 2025)</w:t>
      </w:r>
      <w:r>
        <w:t xml:space="preserve">. While sediment C concentrations may be highly variable within a reservoir</w:t>
      </w:r>
      <w:r>
        <w:t xml:space="preserve"> </w:t>
      </w:r>
      <w:r>
        <w:t xml:space="preserve">(Berberich and others 2020)</w:t>
      </w:r>
      <w:r>
        <w:t xml:space="preserve">, the National Lakes Assessment (NLA) measurements used here specified that sediment carbon be collected from the index site, which is defined as the deepest point near the middle of the reservoir &lt;50m. Thus, the NLA sediment C represents a spatially consistent metric of sediment C availability. The response of CH</w:t>
      </w:r>
      <w:r>
        <w:rPr>
          <w:vertAlign w:val="subscript"/>
        </w:rPr>
        <w:t xml:space="preserve">4</w:t>
      </w:r>
      <w:r>
        <w:t xml:space="preserve"> </w:t>
      </w:r>
      <w:r>
        <w:t xml:space="preserve">emission rates to increasing sediment carbon availability is constrained by depth, however, with shallow reservoirs responding more strongly than deep systems[d][e]</w:t>
      </w:r>
      <w:r>
        <w:t xml:space="preserve"> </w:t>
      </w:r>
      <w:r>
        <w:rPr>
          <w:b/>
          <w:bCs/>
        </w:rPr>
        <w:t xml:space="preserve">[insert interaction figure here]</w:t>
      </w:r>
      <w:r>
        <w:t xml:space="preserve">. This is likely because only a fraction of sediment-produced CH</w:t>
      </w:r>
      <w:r>
        <w:rPr>
          <w:vertAlign w:val="subscript"/>
        </w:rPr>
        <w:t xml:space="preserve">4</w:t>
      </w:r>
      <w:r>
        <w:t xml:space="preserve"> </w:t>
      </w:r>
      <w:r>
        <w:t xml:space="preserve">is emitted to the atmosphere, with the balance being oxidized in the water column or stored in the sediment, more readily to occur in deeper lakes due to greater vertical distance and hydrostatic pressure. Presumably, the water residence time of dissolved CH</w:t>
      </w:r>
      <w:r>
        <w:rPr>
          <w:vertAlign w:val="subscript"/>
        </w:rPr>
        <w:t xml:space="preserve">4</w:t>
      </w:r>
      <w:r>
        <w:t xml:space="preserve"> </w:t>
      </w:r>
      <w:r>
        <w:t xml:space="preserve">scales with mean depth, with longer residence times and vertical distance to the water surface allowing for a greater fraction of the dissolved CH</w:t>
      </w:r>
      <w:r>
        <w:rPr>
          <w:vertAlign w:val="subscript"/>
        </w:rPr>
        <w:t xml:space="preserve">4</w:t>
      </w:r>
      <w:r>
        <w:t xml:space="preserve"> </w:t>
      </w:r>
      <w:r>
        <w:t xml:space="preserve">to be oxidized. It is also possible that lower water temperatures in the hypolimnion of deeper reservoirs constrain the response of methanogenesis, a temperature dependent process, to carbon loading</w:t>
      </w:r>
      <w:r>
        <w:t xml:space="preserve"> </w:t>
      </w:r>
      <w:r>
        <w:t xml:space="preserve">(Yvon-Durocher and others 2014)</w:t>
      </w:r>
      <w:r>
        <w:t xml:space="preserve">.</w:t>
      </w:r>
    </w:p>
    <w:p>
      <w:pPr>
        <w:pStyle w:val="BodyText"/>
      </w:pPr>
      <w:r>
        <w:t xml:space="preserve">Phytoplankton biomass can directly and indirectly influence the availability of carbon to methanogens. Algal derived carbon may sink to the sediments where it can be directly converted to CH</w:t>
      </w:r>
      <w:r>
        <w:rPr>
          <w:vertAlign w:val="subscript"/>
        </w:rPr>
        <w:t xml:space="preserve">4</w:t>
      </w:r>
      <w:r>
        <w:t xml:space="preserve"> </w:t>
      </w:r>
      <w:r>
        <w:t xml:space="preserve">via methanogens</w:t>
      </w:r>
      <w:r>
        <w:t xml:space="preserve"> </w:t>
      </w:r>
      <w:r>
        <w:t xml:space="preserve">(West and others 2015)</w:t>
      </w:r>
      <w:r>
        <w:t xml:space="preserve">. Phytoplankton can indirectly promote carbon delivery to sediments by releasing acidic polysaccharides into the water column which bind carbon particulates, both autochthonous and allochthonous, into flocs that settle into the sediment and stimulate methanogenesis</w:t>
      </w:r>
      <w:r>
        <w:t xml:space="preserve"> </w:t>
      </w:r>
      <w:r>
        <w:t xml:space="preserve">(Martínez-García and others 2024)</w:t>
      </w:r>
      <w:r>
        <w:t xml:space="preserve">. Despite the well documented correlation between chlorophyll-</w:t>
      </w:r>
      <w:r>
        <w:rPr>
          <w:i/>
          <w:iCs/>
        </w:rPr>
        <w:t xml:space="preserve">a</w:t>
      </w:r>
      <w:r>
        <w:t xml:space="preserve"> </w:t>
      </w:r>
      <w:r>
        <w:t xml:space="preserve">(Deemer and others 2016; West and others 2016; DelSontro and others 2018)</w:t>
      </w:r>
      <w:r>
        <w:t xml:space="preserve">, a proxy for phytoplankton abundance, and CH</w:t>
      </w:r>
      <w:r>
        <w:rPr>
          <w:vertAlign w:val="subscript"/>
        </w:rPr>
        <w:t xml:space="preserve">4</w:t>
      </w:r>
      <w:r>
        <w:t xml:space="preserve"> </w:t>
      </w:r>
      <w:r>
        <w:t xml:space="preserve">emission rates, the random forest did not identify chlorophyll-</w:t>
      </w:r>
      <w:r>
        <w:rPr>
          <w:i/>
          <w:iCs/>
        </w:rPr>
        <w:t xml:space="preserve">a</w:t>
      </w:r>
      <w:r>
        <w:t xml:space="preserve"> </w:t>
      </w:r>
      <w:r>
        <w:t xml:space="preserve">as an important predictor, despite the broad range of chlorophyll-</w:t>
      </w:r>
      <w:r>
        <w:rPr>
          <w:i/>
          <w:iCs/>
        </w:rPr>
        <w:t xml:space="preserve">a</w:t>
      </w:r>
      <w:r>
        <w:t xml:space="preserve"> </w:t>
      </w:r>
      <w:r>
        <w:t xml:space="preserve">concentrations across the 146 reservoirs in the SuRGE dataset (0.15 - 236.47</w:t>
      </w:r>
      <w:r>
        <w:t xml:space="preserve"> </w:t>
      </w:r>
      <m:oMath>
        <m:r>
          <m:t>μ</m:t>
        </m:r>
      </m:oMath>
      <w:r>
        <w:t xml:space="preserve">g L</w:t>
      </w:r>
      <w:r>
        <w:rPr>
          <w:vertAlign w:val="superscript"/>
        </w:rPr>
        <w:t xml:space="preserve">-1</w:t>
      </w:r>
      <w:r>
        <w:t xml:space="preserve">). This is a surprising finding and may have more to do with temporal variability in chlorophyll-</w:t>
      </w:r>
      <w:r>
        <w:rPr>
          <w:i/>
          <w:iCs/>
        </w:rPr>
        <w:t xml:space="preserve">a</w:t>
      </w:r>
      <w:r>
        <w:t xml:space="preserve"> </w:t>
      </w:r>
      <w:r>
        <w:t xml:space="preserve">abundance than the relationship between methanogenesis and algal derived carbon. Chlorophyll-</w:t>
      </w:r>
      <w:r>
        <w:rPr>
          <w:i/>
          <w:iCs/>
        </w:rPr>
        <w:t xml:space="preserve">a</w:t>
      </w:r>
      <w:r>
        <w:t xml:space="preserve"> </w:t>
      </w:r>
      <w:r>
        <w:t xml:space="preserve">can exhibit strong temporal at the daily time-scale in response to patterns in wind and precipitation that can cause phytoplankton biomass to accumulate near the water surface, where the SuRGE chlorophyll-</w:t>
      </w:r>
      <w:r>
        <w:rPr>
          <w:i/>
          <w:iCs/>
        </w:rPr>
        <w:t xml:space="preserve">a</w:t>
      </w:r>
      <w:r>
        <w:t xml:space="preserve"> </w:t>
      </w:r>
      <w:r>
        <w:t xml:space="preserve">samples were collected, or mix throughout the epilimnion, effectively diluting the chlorophyll-</w:t>
      </w:r>
      <w:r>
        <w:rPr>
          <w:i/>
          <w:iCs/>
        </w:rPr>
        <w:t xml:space="preserve">a</w:t>
      </w:r>
      <w:r>
        <w:t xml:space="preserve"> </w:t>
      </w:r>
      <w:r>
        <w:t xml:space="preserve">concentration near the water surface. The</w:t>
      </w:r>
      <w:r>
        <w:t xml:space="preserve"> </w:t>
      </w:r>
      <w:r>
        <w:t xml:space="preserve">“snapshot-in-time”</w:t>
      </w:r>
      <w:r>
        <w:t xml:space="preserve"> </w:t>
      </w:r>
      <w:r>
        <w:t xml:space="preserve">style of sampling used in the SuRGE project could not account for these patterns and may not reflect the availability of algal derived carbon in the sediments which integrates across the short-term temporal variation in phytoplankton abundance observed at the water surface.</w:t>
      </w:r>
    </w:p>
    <w:bookmarkEnd w:id="38"/>
    <w:bookmarkStart w:id="39" w:name="sulfate"/>
    <w:p>
      <w:pPr>
        <w:pStyle w:val="Heading3"/>
      </w:pPr>
      <w:r>
        <w:t xml:space="preserve">Sulfate</w:t>
      </w:r>
    </w:p>
    <w:p>
      <w:pPr>
        <w:pStyle w:val="FirstParagraph"/>
      </w:pPr>
      <w:r>
        <w:t xml:space="preserve">Methane ebullition rates showed a negative non-linear relationship with sulfate (SO</w:t>
      </w:r>
      <w:r>
        <w:rPr>
          <w:vertAlign w:val="subscript"/>
        </w:rPr>
        <w:t xml:space="preserve">4</w:t>
      </w:r>
      <w:r>
        <w:rPr>
          <w:vertAlign w:val="superscript"/>
        </w:rPr>
        <w:t xml:space="preserve">2-</w:t>
      </w:r>
      <w:r>
        <w:t xml:space="preserve">) concentration, the fourth most important predictor in the local model. This finding joins similar reports from waterbodies in the North American Prairies region</w:t>
      </w:r>
      <w:r>
        <w:t xml:space="preserve"> </w:t>
      </w:r>
      <w:r>
        <w:t xml:space="preserve">(Bansal and others 2023; Soued and others 2024)</w:t>
      </w:r>
      <w:r>
        <w:t xml:space="preserve"> </w:t>
      </w:r>
      <w:r>
        <w:t xml:space="preserve">and is likely linked to competition for labile carbon between methanogens and SO</w:t>
      </w:r>
      <w:r>
        <w:rPr>
          <w:vertAlign w:val="subscript"/>
        </w:rPr>
        <w:t xml:space="preserve">4</w:t>
      </w:r>
      <w:r>
        <w:rPr>
          <w:vertAlign w:val="superscript"/>
        </w:rPr>
        <w:t xml:space="preserve">2-</w:t>
      </w:r>
      <w:r>
        <w:t xml:space="preserve"> </w:t>
      </w:r>
      <w:r>
        <w:t xml:space="preserve">reducers, and/or CH</w:t>
      </w:r>
      <w:r>
        <w:rPr>
          <w:vertAlign w:val="subscript"/>
        </w:rPr>
        <w:t xml:space="preserve">4</w:t>
      </w:r>
      <w:r>
        <w:t xml:space="preserve"> </w:t>
      </w:r>
      <w:r>
        <w:t xml:space="preserve">oxidation coupled with SO</w:t>
      </w:r>
      <w:r>
        <w:rPr>
          <w:vertAlign w:val="subscript"/>
        </w:rPr>
        <w:t xml:space="preserve">4</w:t>
      </w:r>
      <w:r>
        <w:rPr>
          <w:vertAlign w:val="superscript"/>
        </w:rPr>
        <w:t xml:space="preserve">2-</w:t>
      </w:r>
      <w:r>
        <w:t xml:space="preserve"> </w:t>
      </w:r>
      <w:r>
        <w:t xml:space="preserve">reduction</w:t>
      </w:r>
      <w:r>
        <w:t xml:space="preserve"> </w:t>
      </w:r>
      <w:r>
        <w:t xml:space="preserve">(Zhou and others 2024)</w:t>
      </w:r>
      <w:r>
        <w:t xml:space="preserve">. The partial dependence plot reveals that ebullition rates fall rapidly up to approximately 500 mg L</w:t>
      </w:r>
      <w:r>
        <w:rPr>
          <w:vertAlign w:val="superscript"/>
        </w:rPr>
        <w:t xml:space="preserve">-1</w:t>
      </w:r>
      <w:r>
        <w:t xml:space="preserve">, and beyond 1500 mg L</w:t>
      </w:r>
      <w:r>
        <w:rPr>
          <w:vertAlign w:val="superscript"/>
        </w:rPr>
        <w:t xml:space="preserve">-1</w:t>
      </w:r>
      <w:r>
        <w:t xml:space="preserve"> </w:t>
      </w:r>
      <w:r>
        <w:t xml:space="preserve">CH</w:t>
      </w:r>
      <w:r>
        <w:rPr>
          <w:vertAlign w:val="subscript"/>
        </w:rPr>
        <w:t xml:space="preserve">4</w:t>
      </w:r>
      <w:r>
        <w:t xml:space="preserve"> </w:t>
      </w:r>
      <w:r>
        <w:t xml:space="preserve">ebullition is negligible, suggesting that rising SO</w:t>
      </w:r>
      <w:r>
        <w:rPr>
          <w:vertAlign w:val="subscript"/>
        </w:rPr>
        <w:t xml:space="preserve">4</w:t>
      </w:r>
      <w:r>
        <w:rPr>
          <w:vertAlign w:val="superscript"/>
        </w:rPr>
        <w:t xml:space="preserve">2-</w:t>
      </w:r>
      <w:r>
        <w:t xml:space="preserve"> </w:t>
      </w:r>
      <w:r>
        <w:t xml:space="preserve">concentrations in freshwaters, driven by a range of human activities</w:t>
      </w:r>
      <w:r>
        <w:t xml:space="preserve"> </w:t>
      </w:r>
      <w:r>
        <w:t xml:space="preserve">(Zak and others 2021)</w:t>
      </w:r>
      <w:r>
        <w:t xml:space="preserve">, could ameliorate expected increases in future freshwater CH</w:t>
      </w:r>
      <w:r>
        <w:rPr>
          <w:vertAlign w:val="subscript"/>
        </w:rPr>
        <w:t xml:space="preserve">4</w:t>
      </w:r>
      <w:r>
        <w:t xml:space="preserve"> </w:t>
      </w:r>
      <w:r>
        <w:t xml:space="preserve">emissions</w:t>
      </w:r>
      <w:r>
        <w:t xml:space="preserve"> </w:t>
      </w:r>
      <w:r>
        <w:t xml:space="preserve">(Bastviken and Johnson 2025)</w:t>
      </w:r>
      <w:r>
        <w:t xml:space="preserve">.</w:t>
      </w:r>
    </w:p>
    <w:p>
      <w:pPr>
        <w:pStyle w:val="BodyText"/>
      </w:pPr>
      <w:r>
        <w:t xml:space="preserve">The diffusive CH</w:t>
      </w:r>
      <w:r>
        <w:rPr>
          <w:vertAlign w:val="subscript"/>
        </w:rPr>
        <w:t xml:space="preserve">4</w:t>
      </w:r>
      <w:r>
        <w:t xml:space="preserve"> </w:t>
      </w:r>
      <w:r>
        <w:t xml:space="preserve">model did not identify SO</w:t>
      </w:r>
      <w:r>
        <w:rPr>
          <w:vertAlign w:val="subscript"/>
        </w:rPr>
        <w:t xml:space="preserve">4</w:t>
      </w:r>
      <w:r>
        <w:rPr>
          <w:vertAlign w:val="superscript"/>
        </w:rPr>
        <w:t xml:space="preserve">2-</w:t>
      </w:r>
      <w:r>
        <w:t xml:space="preserve"> </w:t>
      </w:r>
      <w:r>
        <w:t xml:space="preserve">as an important predictor, which aligns with reports from the North American Prairies that ebullition rates are far more sensitive to SO</w:t>
      </w:r>
      <w:r>
        <w:rPr>
          <w:vertAlign w:val="subscript"/>
        </w:rPr>
        <w:t xml:space="preserve">4</w:t>
      </w:r>
      <w:r>
        <w:rPr>
          <w:vertAlign w:val="superscript"/>
        </w:rPr>
        <w:t xml:space="preserve">2-</w:t>
      </w:r>
      <w:r>
        <w:t xml:space="preserve"> </w:t>
      </w:r>
      <w:r>
        <w:t xml:space="preserve">than diffusive emission rates</w:t>
      </w:r>
      <w:r>
        <w:t xml:space="preserve"> </w:t>
      </w:r>
      <w:r>
        <w:t xml:space="preserve">(Soued and others 2024)</w:t>
      </w:r>
      <w:r>
        <w:t xml:space="preserve">, likely because ebullition rates are directly linked to CH</w:t>
      </w:r>
      <w:r>
        <w:rPr>
          <w:vertAlign w:val="subscript"/>
        </w:rPr>
        <w:t xml:space="preserve">4</w:t>
      </w:r>
      <w:r>
        <w:t xml:space="preserve"> </w:t>
      </w:r>
      <w:r>
        <w:t xml:space="preserve">production and anaerobic oxidation in the sediments, which can be affected by SO</w:t>
      </w:r>
      <w:r>
        <w:rPr>
          <w:vertAlign w:val="subscript"/>
        </w:rPr>
        <w:t xml:space="preserve">4</w:t>
      </w:r>
      <w:r>
        <w:rPr>
          <w:vertAlign w:val="superscript"/>
        </w:rPr>
        <w:t xml:space="preserve">2-</w:t>
      </w:r>
      <w:r>
        <w:t xml:space="preserve">, whereas the effect of sediment processes on diffusive emission rates may be obscured by thermal stratification, which isolates profundal sediments from the epilimnion, horizontal advection of dissolved methane, and CH</w:t>
      </w:r>
      <w:r>
        <w:rPr>
          <w:vertAlign w:val="subscript"/>
        </w:rPr>
        <w:t xml:space="preserve">4</w:t>
      </w:r>
      <w:r>
        <w:t xml:space="preserve"> </w:t>
      </w:r>
      <w:r>
        <w:t xml:space="preserve">oxidation in the water column.</w:t>
      </w:r>
    </w:p>
    <w:bookmarkEnd w:id="39"/>
    <w:bookmarkStart w:id="40" w:name="reservoir-age"/>
    <w:p>
      <w:pPr>
        <w:pStyle w:val="Heading3"/>
      </w:pPr>
      <w:r>
        <w:t xml:space="preserve">Reservoir age</w:t>
      </w:r>
    </w:p>
    <w:p>
      <w:pPr>
        <w:pStyle w:val="FirstParagraph"/>
      </w:pPr>
      <w:r>
        <w:t xml:space="preserve">The relationships between CH</w:t>
      </w:r>
      <w:r>
        <w:rPr>
          <w:vertAlign w:val="subscript"/>
        </w:rPr>
        <w:t xml:space="preserve">4</w:t>
      </w:r>
      <w:r>
        <w:t xml:space="preserve"> </w:t>
      </w:r>
      <w:r>
        <w:t xml:space="preserve">emission rates and environmental drivers identified by the RF models are consistent with the literature, but a few previously reported relationships were not evident in the SuRGE data. For example, previous work demonstrated that CH</w:t>
      </w:r>
      <w:r>
        <w:rPr>
          <w:vertAlign w:val="subscript"/>
        </w:rPr>
        <w:t xml:space="preserve">4</w:t>
      </w:r>
      <w:r>
        <w:t xml:space="preserve"> </w:t>
      </w:r>
      <w:r>
        <w:t xml:space="preserve">emission rates tend to decline as reservoirs age because terrestrial carbon that was inundated when the dam was built, a potential carbon source for methanogens, is progressively depleted. This pattern has been demonstrated with time-series investigations of individual reservoirs</w:t>
      </w:r>
      <w:r>
        <w:t xml:space="preserve"> </w:t>
      </w:r>
      <w:r>
        <w:t xml:space="preserve">(Prairie and others 2021)</w:t>
      </w:r>
      <w:r>
        <w:t xml:space="preserve">, metanalysis of published data from 89 globally distributed hydroelectric reservoirs</w:t>
      </w:r>
      <w:r>
        <w:t xml:space="preserve"> </w:t>
      </w:r>
      <w:r>
        <w:t xml:space="preserve">(Barros and others 2011)</w:t>
      </w:r>
      <w:r>
        <w:t xml:space="preserve">, and is integrated into a well-known model of reservoir GHG emission rates</w:t>
      </w:r>
      <w:r>
        <w:t xml:space="preserve"> </w:t>
      </w:r>
      <w:r>
        <w:t xml:space="preserve">(Prairie and others 2021)</w:t>
      </w:r>
      <w:r>
        <w:t xml:space="preserve"> </w:t>
      </w:r>
      <w:r>
        <w:t xml:space="preserve">that has been used to construct a timeline of global reservoir GHG emissions from 1900 - 2060</w:t>
      </w:r>
      <w:r>
        <w:t xml:space="preserve"> </w:t>
      </w:r>
      <w:r>
        <w:t xml:space="preserve">(Soued and others 2022)</w:t>
      </w:r>
      <w:r>
        <w:t xml:space="preserve">. While the SuRGE data includes reservoirs built between 27 and 238 years ago, relationships between age and CH</w:t>
      </w:r>
      <w:r>
        <w:rPr>
          <w:vertAlign w:val="subscript"/>
        </w:rPr>
        <w:t xml:space="preserve">4</w:t>
      </w:r>
      <w:r>
        <w:t xml:space="preserve"> </w:t>
      </w:r>
      <w:r>
        <w:t xml:space="preserve">emission rates were extremely weak (pearson correlation coefficient = 0.02, -0.01, and -0.01 for ebullition, diffusion, and total, respectively) and reservoir age was not identified as an important predictor in any of the RF models. It is unclear why this pattern isn’t evident in the SuRGE data, but it may be related to the relative importance of different carbon sources through time. While soil organic matter may fuel methanogenesis immediately after flooding, the progressive loss of this carbon could be offset by sediment loading from the watershed and the production of autochthonous carbon, particularly in systems with high watershed soil-erodibility and reservoir productivity. Projections of future emissions could be improved through a better understanding of the temporal evolution of reservoir CH</w:t>
      </w:r>
      <w:r>
        <w:rPr>
          <w:vertAlign w:val="subscript"/>
        </w:rPr>
        <w:t xml:space="preserve">4</w:t>
      </w:r>
      <w:r>
        <w:t xml:space="preserve"> </w:t>
      </w:r>
      <w:r>
        <w:t xml:space="preserve">emissions.</w:t>
      </w:r>
    </w:p>
    <w:bookmarkEnd w:id="40"/>
    <w:bookmarkEnd w:id="41"/>
    <w:bookmarkStart w:id="47" w:name="section-on-predictive-accuracy"/>
    <w:p>
      <w:pPr>
        <w:pStyle w:val="Heading2"/>
      </w:pPr>
      <w:r>
        <w:t xml:space="preserve">Section on predictive accuracy?</w:t>
      </w:r>
    </w:p>
    <w:bookmarkStart w:id="42" w:name="ebullition-vs-diffusion"/>
    <w:p>
      <w:pPr>
        <w:pStyle w:val="Heading3"/>
      </w:pPr>
      <w:r>
        <w:t xml:space="preserve">ebullition vs diffusion</w:t>
      </w:r>
    </w:p>
    <w:p>
      <w:pPr>
        <w:pStyle w:val="FirstParagraph"/>
      </w:pPr>
      <w:r>
        <w:t xml:space="preserve">Model r</w:t>
      </w:r>
      <w:r>
        <w:rPr>
          <w:vertAlign w:val="superscript"/>
        </w:rPr>
        <w:t xml:space="preserve">2</w:t>
      </w:r>
      <w:r>
        <w:t xml:space="preserve"> </w:t>
      </w:r>
      <w:r>
        <w:t xml:space="preserve">was generally lowest for the ebullition rate models, consistent with the well documented episodic nature of ebullition in both time and space. This is also reflected in the spatial linear models which captured much less spatially dependent error in ebullition rates than diffusion</w:t>
      </w:r>
      <w:r>
        <w:t xml:space="preserve"> </w:t>
      </w:r>
      <w:r>
        <w:rPr>
          <w:b/>
          <w:bCs/>
        </w:rPr>
        <w:t xml:space="preserve">(Table ??)</w:t>
      </w:r>
      <w:r>
        <w:t xml:space="preserve">. Diffusive emissions are derived from CH</w:t>
      </w:r>
      <w:r>
        <w:rPr>
          <w:vertAlign w:val="subscript"/>
        </w:rPr>
        <w:t xml:space="preserve">4</w:t>
      </w:r>
      <w:r>
        <w:t xml:space="preserve"> </w:t>
      </w:r>
      <w:r>
        <w:t xml:space="preserve">that dissolves in the water column and is subject to advection and diffusion, which tends to create broad spatial patterns in dissolved CH</w:t>
      </w:r>
      <w:r>
        <w:rPr>
          <w:vertAlign w:val="subscript"/>
        </w:rPr>
        <w:t xml:space="preserve">4</w:t>
      </w:r>
      <w:r>
        <w:t xml:space="preserve"> </w:t>
      </w:r>
      <w:r>
        <w:t xml:space="preserve">concentrations</w:t>
      </w:r>
      <w:r>
        <w:t xml:space="preserve"> </w:t>
      </w:r>
      <w:r>
        <w:t xml:space="preserve">(Hofmann 2013)</w:t>
      </w:r>
      <w:r>
        <w:t xml:space="preserve">. Spatially dependent model error for total emission rates was intermediate to that of ebullition and diffusion because it is composed of the sum of the two emission pathways and therefore reflects characteristics of each.</w:t>
      </w:r>
    </w:p>
    <w:bookmarkEnd w:id="42"/>
    <w:bookmarkStart w:id="43" w:name="implications-for-survey-designs"/>
    <w:p>
      <w:pPr>
        <w:pStyle w:val="Heading3"/>
      </w:pPr>
      <w:r>
        <w:t xml:space="preserve">implications for survey designs</w:t>
      </w:r>
    </w:p>
    <w:p>
      <w:pPr>
        <w:pStyle w:val="FirstParagraph"/>
      </w:pPr>
      <w:r>
        <w:t xml:space="preserve">Differences in spatial patterning between CH</w:t>
      </w:r>
      <w:r>
        <w:rPr>
          <w:vertAlign w:val="subscript"/>
        </w:rPr>
        <w:t xml:space="preserve">4</w:t>
      </w:r>
      <w:r>
        <w:t xml:space="preserve"> </w:t>
      </w:r>
      <w:r>
        <w:t xml:space="preserve">ebullition and diffusion in reservoirs has implications for optimal survey design specifications. The goal of reservoir CH</w:t>
      </w:r>
      <w:r>
        <w:rPr>
          <w:vertAlign w:val="subscript"/>
        </w:rPr>
        <w:t xml:space="preserve">4</w:t>
      </w:r>
      <w:r>
        <w:t xml:space="preserve"> </w:t>
      </w:r>
      <w:r>
        <w:t xml:space="preserve">emission surveys is to yield a well constrained estimate of the reservoir-scale total CH</w:t>
      </w:r>
      <w:r>
        <w:rPr>
          <w:vertAlign w:val="subscript"/>
        </w:rPr>
        <w:t xml:space="preserve">4</w:t>
      </w:r>
      <w:r>
        <w:t xml:space="preserve"> </w:t>
      </w:r>
      <w:r>
        <w:t xml:space="preserve">emission rate (ebullition + diffusion). Since diffusive emissions exhibit stronger spatial patterning than ebullition, diffusion requires less sampling effort to yield emission estimates with relative confidence intervals similar to that of ebullition. This pattern is rarely reflected in survey designs, however, which typically entail the measurement of ebullition and diffusion at all sampling sites, likely as a matter of convenience</w:t>
      </w:r>
      <w:r>
        <w:t xml:space="preserve"> </w:t>
      </w:r>
      <w:r>
        <w:t xml:space="preserve">(Beaulieu and others 2020; Beaulieu and others 2026)</w:t>
      </w:r>
      <w:r>
        <w:t xml:space="preserve">. To minimize uncertainty in the reservoir-scale total CH</w:t>
      </w:r>
      <w:r>
        <w:rPr>
          <w:vertAlign w:val="subscript"/>
        </w:rPr>
        <w:t xml:space="preserve">4</w:t>
      </w:r>
      <w:r>
        <w:t xml:space="preserve"> </w:t>
      </w:r>
      <w:r>
        <w:t xml:space="preserve">emission rate estimate, investigators should consider the relative importance of diffusion and ebullition when designing surveys. In systems where ebullition is more important than diffusion, the reservoir-scale total emission rate estimate will be more constrained if the survey design specifies that limited sampling resources (e.g. personnel hours) are biased toward more ebullition measurements at the expense of fewer diffusion estimates.</w:t>
      </w:r>
    </w:p>
    <w:bookmarkEnd w:id="43"/>
    <w:bookmarkStart w:id="44" w:name="local-vs-national-models"/>
    <w:p>
      <w:pPr>
        <w:pStyle w:val="Heading3"/>
      </w:pPr>
      <w:r>
        <w:t xml:space="preserve">local vs national models</w:t>
      </w:r>
    </w:p>
    <w:p>
      <w:pPr>
        <w:pStyle w:val="FirstParagraph"/>
      </w:pPr>
      <w:r>
        <w:t xml:space="preserve">Model performance metrics were marginally better for all local models, as compared to national models, when assessed at the log10 scale. At the linear scale of the response variable, differences in performance metrics between local and national models were smaller, and in some cases the national model actually outperformed the local model. These findings suggest that the accuracy of emission rate estimates derived from models that only require widely available data is similar to that of predictions from models which require on-the-ground measurements to quantify predictor variables. We anticipate that the accuracy of models based on nationally available datasets will only improve as new technology makes it possible to estimate aquatic physicochemical parameters with increasing accuracy and spatial resolution</w:t>
      </w:r>
      <w:r>
        <w:t xml:space="preserve"> </w:t>
      </w:r>
      <w:r>
        <w:rPr>
          <w:b/>
          <w:bCs/>
        </w:rPr>
        <w:t xml:space="preserve">[need a citation here. a general one about aquatic remote sensing, or a collection of citations, each of which discusses one metric (e.g. water temp citation, primary prodction, DOC, bathymetry?)]</w:t>
      </w:r>
      <w:r>
        <w:t xml:space="preserve">. Inventory compilers should weigh the costs of generating the data required for local models against the accuracy gain when choosing the most appropriate modeling approach for their application.</w:t>
      </w:r>
    </w:p>
    <w:bookmarkEnd w:id="44"/>
    <w:bookmarkStart w:id="45" w:name="comparison-to-other-models"/>
    <w:p>
      <w:pPr>
        <w:pStyle w:val="Heading3"/>
      </w:pPr>
      <w:r>
        <w:t xml:space="preserve">comparison to other models</w:t>
      </w:r>
    </w:p>
    <w:p>
      <w:pPr>
        <w:pStyle w:val="FirstParagraph"/>
      </w:pPr>
      <w:r>
        <w:t xml:space="preserve">G-Res r2 0.47 diffusion, 0.37 diffusion, 165 reservoirs</w:t>
      </w:r>
      <w:r>
        <w:t xml:space="preserve"> </w:t>
      </w:r>
      <w:r>
        <w:t xml:space="preserve">(Prairie and others 2017)</w:t>
      </w:r>
      <w:r>
        <w:t xml:space="preserve"> </w:t>
      </w:r>
      <w:r>
        <w:t xml:space="preserve">DelSonto r2 0.29 diffusion, 0.317 ebullition, 0.376 total</w:t>
      </w:r>
      <w:r>
        <w:t xml:space="preserve"> </w:t>
      </w:r>
      <w:r>
        <w:t xml:space="preserve">(DelSontro and others 2018)</w:t>
      </w:r>
      <w:r>
        <w:t xml:space="preserve"> </w:t>
      </w:r>
      <w:r>
        <w:t xml:space="preserve">Leon-Palmero r2 0.59, 12 spanish reservoirs.</w:t>
      </w:r>
      <w:r>
        <w:t xml:space="preserve"> </w:t>
      </w:r>
      <w:r>
        <w:t xml:space="preserve">(León-Palmero and others 2020)</w:t>
      </w:r>
      <w:r>
        <w:t xml:space="preserve"> </w:t>
      </w:r>
      <w:r>
        <w:t xml:space="preserve">beaulieu r2 0.90 diffusion, 0.99 ebullition</w:t>
      </w:r>
      <w:r>
        <w:t xml:space="preserve"> </w:t>
      </w:r>
      <w:r>
        <w:t xml:space="preserve">(Beaulieu and others 2020)</w:t>
      </w:r>
      <w:r>
        <w:t xml:space="preserve"> </w:t>
      </w:r>
      <w:r>
        <w:t xml:space="preserve">linear</w:t>
      </w:r>
    </w:p>
    <w:p>
      <w:pPr>
        <w:pStyle w:val="BodyText"/>
      </w:pPr>
      <w:r>
        <w:t xml:space="preserve">Predicted vs observed in log and linear space? Include error bars in plot.</w:t>
      </w:r>
    </w:p>
    <w:p>
      <w:pPr>
        <w:pStyle w:val="BodyText"/>
      </w:pPr>
      <w:r>
        <w:t xml:space="preserve">How much uncertainty in inventory predictions from this model? Is this model good enough? How much better than existing models? Where do we go from here? Does more data mean better models? Are statistical/machine learning models the way to go? Should we be moving toward improved mechanistic models?</w:t>
      </w:r>
    </w:p>
    <w:bookmarkEnd w:id="45"/>
    <w:bookmarkStart w:id="46" w:name="other-ideas"/>
    <w:p>
      <w:pPr>
        <w:pStyle w:val="Heading3"/>
      </w:pPr>
      <w:r>
        <w:t xml:space="preserve">Other ideas</w:t>
      </w:r>
    </w:p>
    <w:p>
      <w:pPr>
        <w:pStyle w:val="FirstParagraph"/>
      </w:pPr>
      <w:r>
        <w:t xml:space="preserve">There were relatively fewer strong predictors of methane ebullition, which is consistent with the episodic nature of ebullition in both time and space.</w:t>
      </w:r>
    </w:p>
    <w:bookmarkEnd w:id="46"/>
    <w:bookmarkEnd w:id="47"/>
    <w:bookmarkStart w:id="134" w:name="references"/>
    <w:p>
      <w:pPr>
        <w:pStyle w:val="Heading2"/>
      </w:pPr>
      <w:r>
        <w:t xml:space="preserve">References</w:t>
      </w:r>
    </w:p>
    <w:p>
      <w:pPr>
        <w:pStyle w:val="FirstParagraph"/>
      </w:pPr>
      <w:r>
        <w:t xml:space="preserve">[a]Bridget Deemer 1:15 PM Mar 13 Didn’t we have a cutoff rho for the other variables that was higher than this? Probably want to include that in this paragraph.</w:t>
      </w:r>
    </w:p>
    <w:p>
      <w:pPr>
        <w:pStyle w:val="BodyText"/>
      </w:pPr>
      <w:r>
        <w:t xml:space="preserve">Bridget Deemer 1:17 PM Mar 13 Also, Rachel suggested maybe we don’t need this text about circularity… but I do kind of like it as it shows an example of how we used our knowledge of the systems we are modeling to not let the random forest give us black box type output. Another way to get at this is a more generic statement that just says that we verified that partial dependence plots were predicting relationships consistent with known mechanisms.</w:t>
      </w:r>
    </w:p>
    <w:p>
      <w:pPr>
        <w:pStyle w:val="BodyText"/>
      </w:pPr>
      <w:r>
        <w:t xml:space="preserve">Jake Beaulieu 7:58 AM Mar 16 We did not adopt a rho threshold. We relied exclusively on the VIF values.</w:t>
      </w:r>
    </w:p>
    <w:p>
      <w:pPr>
        <w:pStyle w:val="BodyText"/>
      </w:pPr>
      <w:r>
        <w:t xml:space="preserve">Jake Beaulieu 8:15 AM Mar 16 I concur with the inclusion of the circularity discussion. Casas-Ruiz investigate CH4~morphology relationships and include similar text in the Methods section.</w:t>
      </w:r>
    </w:p>
    <w:p>
      <w:pPr>
        <w:pStyle w:val="BodyText"/>
      </w:pPr>
      <w:r>
        <w:t xml:space="preserve">Casas-Ruiz, J. P., Jakobsson, J. &amp; del Giorgio, P. A. The role of lake morphometry in modulating surface water carbon concentrations in boreal lakes. Environ. Res. Lett. 16, 074037, doi:10.1088/1748-9326/ac0be3 (2021). [b]Jake Beaulieu 12:55 PM Mar 13</w:t>
      </w:r>
      <w:r>
        <w:t xml:space="preserve"> </w:t>
      </w:r>
      <w:r>
        <w:t xml:space="preserve">(</w:t>
      </w:r>
      <w:r>
        <w:rPr>
          <w:b/>
          <w:bCs/>
        </w:rPr>
        <w:t xml:space="preserve">rachelmpilla?</w:t>
      </w:r>
      <w:r>
        <w:t xml:space="preserve">)</w:t>
      </w:r>
      <w:r>
        <w:t xml:space="preserve">(</w:t>
      </w:r>
      <w:r>
        <w:rPr>
          <w:b/>
          <w:bCs/>
        </w:rPr>
        <w:t xml:space="preserve">gmail.com?</w:t>
      </w:r>
      <w:r>
        <w:t xml:space="preserve">)</w:t>
      </w:r>
    </w:p>
    <w:p>
      <w:pPr>
        <w:pStyle w:val="BodyText"/>
      </w:pPr>
      <w:r>
        <w:t xml:space="preserve">This seems like the natural spot to discuss the littoral fraction x mean depth interaction, but I’m having a tough time coming up with a reasonable explanation. For diffusion, the interaction says that as depth increases, rates will drop more quickly in lakes with lots of littoral vs those with little littoral?</w:t>
      </w:r>
    </w:p>
    <w:p>
      <w:pPr>
        <w:pStyle w:val="BodyText"/>
      </w:pPr>
      <w:r>
        <w:t xml:space="preserve">Rachel Pilla 11:29 AM Yesterday Correct, that’s the right interpretation of the interactions. I haven’t had time to really think about the explanations for these yet, but here’s a go. Lake with high littoral area are mostly &lt;3 m, and we see a pretty fast decline in diffusive emissions by the time mean depth reaches even ~5 m. I think there’s the biggest morphological changes when littoral area is high that influence the production/oxidation/emissions rates (vs when it’s already low to begin with – increasing depth isn’t actually affecting low littoral area that’s already &gt;3 m).</w:t>
      </w:r>
    </w:p>
    <w:p>
      <w:pPr>
        <w:pStyle w:val="BodyText"/>
      </w:pPr>
      <w:r>
        <w:t xml:space="preserve">Rachel Pilla 11:31 AM Yesterday I’m also quite curious now how we might be able to show what lakes with high/low littoral area and shallow/deep mean depths are. The one that’s tripping me up a bit is high littoral area + deep mean depth, perhaps indicating there’s only a small portion of the lake with a deep hole or something?</w:t>
      </w:r>
    </w:p>
    <w:p>
      <w:pPr>
        <w:pStyle w:val="BodyText"/>
      </w:pPr>
      <w:r>
        <w:t xml:space="preserve">Jake Beaulieu 1:47 PM Yesterday Agreed, hard to envision a waterbody that meets these criteria. A plot of mean_depth vs littoral fraction shows a strong negative relationship. The bivariate response surface is extrapolating well beyond the range of our observations. It would be cool to trim the response surface to reflect the range of our observations.</w:t>
      </w:r>
    </w:p>
    <w:p>
      <w:pPr>
        <w:pStyle w:val="BodyText"/>
      </w:pPr>
      <w:r>
        <w:t xml:space="preserve">The extrapolation probably doesn’t invalidate the interaction, however, as most of the action occurs within a range of 0-7.5m of depth. [c]Rachel Pilla I like that idea! Would help us home in on the areas with the most rapid changes in fluxes. Even just for visualization/plots, we can definitely trim the response surface to those within our data range OR even further to specific regions of interest like the 0-7.5 m range</w:t>
      </w:r>
    </w:p>
    <w:p>
      <w:pPr>
        <w:pStyle w:val="BodyText"/>
      </w:pPr>
      <w:r>
        <w:t xml:space="preserve">Jake Beaulieu I think we have a similar issue with reservoirs that have low mean_depth AND low littoral zone. Littoral zone is the proportion less than 2.5m, so how can we have a mean depth of 2m and a small littoral zone?</w:t>
      </w:r>
    </w:p>
    <w:p>
      <w:pPr>
        <w:pStyle w:val="BodyText"/>
      </w:pPr>
      <w:r>
        <w:t xml:space="preserve">Rachel Pilla Do we have lakes that low mean depth + low littoral zone (or with high/high)? Might be useful to look at the bathymetry/morphology of those to wrap our heads around. My gut is that low mean depth + low littoral might have a deeper portion of the lake but that is fairly small, and with steep sides. I think the exact 3 m boundary for littoral zone adds some complexity since it’s discrete despite the littoral fraction being continuous. I may also ask ChatGPT for some help describing these types of unusual lakes 😅 [d]Jake Beaulieu 2:46 PM Yesterday</w:t>
      </w:r>
      <w:r>
        <w:t xml:space="preserve"> </w:t>
      </w:r>
      <w:r>
        <w:t xml:space="preserve">(</w:t>
      </w:r>
      <w:r>
        <w:rPr>
          <w:b/>
          <w:bCs/>
        </w:rPr>
        <w:t xml:space="preserve">rachelmpilla?</w:t>
      </w:r>
      <w:r>
        <w:t xml:space="preserve">)</w:t>
      </w:r>
      <w:r>
        <w:t xml:space="preserve">(</w:t>
      </w:r>
      <w:r>
        <w:rPr>
          <w:b/>
          <w:bCs/>
        </w:rPr>
        <w:t xml:space="preserve">gmail.com?</w:t>
      </w:r>
      <w:r>
        <w:t xml:space="preserve">)</w:t>
      </w:r>
    </w:p>
    <w:p>
      <w:pPr>
        <w:pStyle w:val="BodyText"/>
      </w:pPr>
      <w:r>
        <w:t xml:space="preserve">What do you think of this explanation for the sediment C x mean depth interaction?</w:t>
      </w:r>
    </w:p>
    <w:p>
      <w:pPr>
        <w:pStyle w:val="BodyText"/>
      </w:pPr>
      <w:r>
        <w:t xml:space="preserve">Rachel Pilla 12:39 PM Today Added a couple suggestions, but this makes a lot of sense to me, and follows what I’d generally expect. One other potential explanation might be if sediment C is more readily metabolized into CH4 in shallower lakes due to perhaps warmer bottom temperatures or higher bottom DO? Not sure if there’s evidence to support this per se, but more of that sed C in deeper lakes could be buried before converted to CH4 in cold, anoxic conditions. [e]Bottom temperature isn’t showing up as important predictor in the RF models, so I don’t want to make too much of this idea, although I think it makes perfect sense and I tried to find evidence for it with the gamm. I added a sentence to the end of the paragraph.</w:t>
      </w:r>
    </w:p>
    <w:bookmarkStart w:id="133" w:name="refs"/>
    <w:bookmarkStart w:id="49" w:name="ref-bansal_2023"/>
    <w:p>
      <w:pPr>
        <w:pStyle w:val="Bibliography"/>
      </w:pPr>
      <w:r>
        <w:t xml:space="preserve">Bansal S, Post van der Burg M, Fern RR, Jones JW, Lo R, McKenna OP, Tangen BA, Zhang Z, Gleason RA. 2023. Large increases in methane emissions expected from north america’s largest wetland complex. Science Advances 9:eade1112.</w:t>
      </w:r>
      <w:r>
        <w:t xml:space="preserve"> </w:t>
      </w:r>
      <w:hyperlink r:id="rId48">
        <w:r>
          <w:rPr>
            <w:rStyle w:val="Hyperlink"/>
          </w:rPr>
          <w:t xml:space="preserve">https://www.science.org/doi/abs/10.1126/sciadv.ade1112</w:t>
        </w:r>
      </w:hyperlink>
    </w:p>
    <w:bookmarkEnd w:id="49"/>
    <w:bookmarkStart w:id="51" w:name="ref-barros_2011"/>
    <w:p>
      <w:pPr>
        <w:pStyle w:val="Bibliography"/>
      </w:pPr>
      <w:r>
        <w:t xml:space="preserve">Barros N, Cole JJ, Tranvik LJ, Prairie YT, Bastviken D, Huszar VLM, Giorgio P del, Roland F. 2011. Carbon emission from hydroelectric reservoirs linked to reservoir age and latitude. Nature Geoscience 4:593–6.</w:t>
      </w:r>
      <w:r>
        <w:t xml:space="preserve"> </w:t>
      </w:r>
      <w:hyperlink r:id="rId50">
        <w:r>
          <w:rPr>
            <w:rStyle w:val="Hyperlink"/>
          </w:rPr>
          <w:t xml:space="preserve">&lt;Go to ISI&gt;://WOS:000294452400005</w:t>
        </w:r>
      </w:hyperlink>
    </w:p>
    <w:bookmarkEnd w:id="51"/>
    <w:bookmarkStart w:id="53" w:name="ref-bastviken_2008"/>
    <w:p>
      <w:pPr>
        <w:pStyle w:val="Bibliography"/>
      </w:pPr>
      <w:r>
        <w:t xml:space="preserve">Bastviken D, Cole JJ, Pace ML, Van de Bogert MC. 2008. Fates of methane from different lake habitats: Connecting whole-lake budgets and CH4 emissions. Journal of Geophysical Research: Biogeosciences 113.</w:t>
      </w:r>
      <w:r>
        <w:t xml:space="preserve"> </w:t>
      </w:r>
      <w:hyperlink r:id="rId52">
        <w:r>
          <w:rPr>
            <w:rStyle w:val="Hyperlink"/>
          </w:rPr>
          <w:t xml:space="preserve">https://agupubs.onlinelibrary.wiley.com/doi/abs/10.1029/2007JG000608</w:t>
        </w:r>
      </w:hyperlink>
    </w:p>
    <w:bookmarkEnd w:id="53"/>
    <w:bookmarkStart w:id="55" w:name="ref-bastviken_2025"/>
    <w:p>
      <w:pPr>
        <w:pStyle w:val="Bibliography"/>
      </w:pPr>
      <w:r>
        <w:t xml:space="preserve">Bastviken D, Johnson MS. 2025. Future methane emissions from lakes and reservoirs. Nature Water.</w:t>
      </w:r>
      <w:r>
        <w:t xml:space="preserve"> </w:t>
      </w:r>
      <w:hyperlink r:id="rId54">
        <w:r>
          <w:rPr>
            <w:rStyle w:val="Hyperlink"/>
          </w:rPr>
          <w:t xml:space="preserve">https://doi.org/10.1038/s44221-025-00532-6</w:t>
        </w:r>
        <w:r>
          <w:rPr>
            <w:rStyle w:val="Hyperlink"/>
          </w:rPr>
          <w:t xml:space="preserve"> </w:t>
        </w:r>
        <w:r>
          <w:rPr>
            <w:rStyle w:val="Hyperlink"/>
          </w:rPr>
          <w:t xml:space="preserve">https://www.nature.com/articles/s44221-025-00532-6.pdf</w:t>
        </w:r>
      </w:hyperlink>
    </w:p>
    <w:bookmarkEnd w:id="55"/>
    <w:bookmarkStart w:id="57" w:name="ref-beaulieu_et_al_2026"/>
    <w:p>
      <w:pPr>
        <w:pStyle w:val="Bibliography"/>
      </w:pPr>
      <w:r>
        <w:t xml:space="preserve">Beaulieu JJ, Deemer BR, Pilla RM, Forshay KJ, Hollister JW, Jacobs SA, Walker JT, Leinenbach PT, Griffiths NA, Shivers SD, Tatters AO, Buckler KN, Corra JW, Daly RW, Djurkovic AN, Fulgham SR, Goodwin PL, Herger LG, Jones MW, Jones NJ, Juilfs LA, Langstroth CM, Mitchell ME, Oliveira JR, Richmond BM, Schroeder JW. 2026. Summertime methane and carbon dioxide emission rates and associated variables from a national-scale survey of 146 reservoirs in the united states. Limnology and Oceanography Letters 11:e70080.</w:t>
      </w:r>
      <w:r>
        <w:t xml:space="preserve"> </w:t>
      </w:r>
      <w:hyperlink r:id="rId56">
        <w:r>
          <w:rPr>
            <w:rStyle w:val="Hyperlink"/>
          </w:rPr>
          <w:t xml:space="preserve">https://aslopubs.onlinelibrary.wiley.com/doi/abs/10.1002/lol2.70080</w:t>
        </w:r>
      </w:hyperlink>
    </w:p>
    <w:bookmarkEnd w:id="57"/>
    <w:bookmarkStart w:id="59" w:name="ref-beaulieu_et_al_2020"/>
    <w:p>
      <w:pPr>
        <w:pStyle w:val="Bibliography"/>
      </w:pPr>
      <w:r>
        <w:t xml:space="preserve">Beaulieu JJ, Waldo S, Balz DA, Barnett W, Hall A, Platz MC, White KM. 2020. Methane and carbon dioxide emissions from reservoirs: Controls and upscaling. Journal of Geophysical Research: Biogeosciences 125.</w:t>
      </w:r>
      <w:r>
        <w:t xml:space="preserve"> </w:t>
      </w:r>
      <w:hyperlink r:id="rId58">
        <w:r>
          <w:rPr>
            <w:rStyle w:val="Hyperlink"/>
          </w:rPr>
          <w:t xml:space="preserve">https://agupubs.onlinelibrary.wiley.com/doi/pdfdirect/10.1029/2019JG005474</w:t>
        </w:r>
      </w:hyperlink>
    </w:p>
    <w:bookmarkEnd w:id="59"/>
    <w:bookmarkStart w:id="61" w:name="ref-berberich_2019"/>
    <w:p>
      <w:pPr>
        <w:pStyle w:val="Bibliography"/>
      </w:pPr>
      <w:r>
        <w:t xml:space="preserve">Berberich ME, Beaulieu JJ, Hamilton TL, Waldo S, Buffam I. 2020. Spatial variability of sediment methane production and methanogen communities within a eutrophic reservoir: Importance of organic matter source and quantity. Limnology and Oceanography 65:1336–58.</w:t>
      </w:r>
      <w:r>
        <w:t xml:space="preserve"> </w:t>
      </w:r>
      <w:hyperlink r:id="rId60">
        <w:r>
          <w:rPr>
            <w:rStyle w:val="Hyperlink"/>
          </w:rPr>
          <w:t xml:space="preserve">https://aslopubs.onlinelibrary.wiley.com/doi/abs/10.1002/lno.11392</w:t>
        </w:r>
      </w:hyperlink>
    </w:p>
    <w:bookmarkEnd w:id="61"/>
    <w:bookmarkStart w:id="63" w:name="ref-bodmer_2025"/>
    <w:p>
      <w:pPr>
        <w:pStyle w:val="Bibliography"/>
      </w:pPr>
      <w:r>
        <w:t xml:space="preserve">Bodmer P, Bors C, Liu L, Lorke A. 2025. Large sediment methane production potential in reservoirs compared to lakes and rivers. Limnology and Oceanography 70:1561–74.</w:t>
      </w:r>
      <w:r>
        <w:t xml:space="preserve"> </w:t>
      </w:r>
      <w:hyperlink r:id="rId62">
        <w:r>
          <w:rPr>
            <w:rStyle w:val="Hyperlink"/>
          </w:rPr>
          <w:t xml:space="preserve">https://aslopubs.onlinelibrary.wiley.com/doi/abs/10.1002/lno.70063</w:t>
        </w:r>
      </w:hyperlink>
    </w:p>
    <w:bookmarkEnd w:id="63"/>
    <w:bookmarkStart w:id="65" w:name="ref-breiman_2001"/>
    <w:p>
      <w:pPr>
        <w:pStyle w:val="Bibliography"/>
      </w:pPr>
      <w:r>
        <w:t xml:space="preserve">Breiman L. 2001. Random forests. Machine Learning 45:5–32.</w:t>
      </w:r>
      <w:r>
        <w:t xml:space="preserve"> </w:t>
      </w:r>
      <w:hyperlink r:id="rId64">
        <w:r>
          <w:rPr>
            <w:rStyle w:val="Hyperlink"/>
          </w:rPr>
          <w:t xml:space="preserve">&lt;Go to ISI&gt;://WOS:000170489900001</w:t>
        </w:r>
      </w:hyperlink>
    </w:p>
    <w:bookmarkEnd w:id="65"/>
    <w:bookmarkStart w:id="67" w:name="ref-casas_ruiz_2021"/>
    <w:p>
      <w:pPr>
        <w:pStyle w:val="Bibliography"/>
      </w:pPr>
      <w:r>
        <w:t xml:space="preserve">Casas-Ruiz JP, Jakobsson J, Giorgio PA del. 2021. The role of lake morphometry in modulating surface water carbon concentrations in boreal lakes. Environmental Research Letters 16:074037.</w:t>
      </w:r>
      <w:r>
        <w:t xml:space="preserve"> </w:t>
      </w:r>
      <w:hyperlink r:id="rId66">
        <w:r>
          <w:rPr>
            <w:rStyle w:val="Hyperlink"/>
          </w:rPr>
          <w:t xml:space="preserve">https://dx.doi.org/10.1088/1748-9326/ac0be3</w:t>
        </w:r>
        <w:r>
          <w:rPr>
            <w:rStyle w:val="Hyperlink"/>
          </w:rPr>
          <w:t xml:space="preserve"> </w:t>
        </w:r>
        <w:r>
          <w:rPr>
            <w:rStyle w:val="Hyperlink"/>
          </w:rPr>
          <w:t xml:space="preserve">https://iopscience.iop.org/article/10.1088/1748-9326/ac0be3/pdf</w:t>
        </w:r>
      </w:hyperlink>
    </w:p>
    <w:bookmarkEnd w:id="67"/>
    <w:bookmarkStart w:id="69" w:name="ref-death_fabricius_2000"/>
    <w:p>
      <w:pPr>
        <w:pStyle w:val="Bibliography"/>
      </w:pPr>
      <w:r>
        <w:t xml:space="preserve">De’ath G, Fabricius KE. 2000. Classification and regression trees: A powerful yet simple technique for ecological data analysis. Ecology 81:3178–92.</w:t>
      </w:r>
      <w:r>
        <w:t xml:space="preserve"> </w:t>
      </w:r>
      <w:hyperlink r:id="rId68">
        <w:r>
          <w:rPr>
            <w:rStyle w:val="Hyperlink"/>
          </w:rPr>
          <w:t xml:space="preserve">&lt;Go to ISI&gt;://000165384000018</w:t>
        </w:r>
        <w:r>
          <w:rPr>
            <w:rStyle w:val="Hyperlink"/>
          </w:rPr>
          <w:t xml:space="preserve"> </w:t>
        </w:r>
      </w:hyperlink>
    </w:p>
    <w:bookmarkEnd w:id="69"/>
    <w:bookmarkStart w:id="71" w:name="ref-deemer_et_al_2016"/>
    <w:p>
      <w:pPr>
        <w:pStyle w:val="Bibliography"/>
      </w:pPr>
      <w:r>
        <w:t xml:space="preserve">Deemer BR, Harrison JA, Li SY, Beaulieu JJ, Delsontro T, Barros N, Bezerra-Neto JF, Powers SM, Santos MA dos, Vonk JA. 2016. Greenhouse gas emissions from reservoir water surfaces: A new global synthesis. Bioscience 66:949–64.</w:t>
      </w:r>
      <w:r>
        <w:t xml:space="preserve"> </w:t>
      </w:r>
      <w:hyperlink r:id="rId70">
        <w:r>
          <w:rPr>
            <w:rStyle w:val="Hyperlink"/>
          </w:rPr>
          <w:t xml:space="preserve">&lt;Go to ISI&gt;://WOS:000387463900007</w:t>
        </w:r>
      </w:hyperlink>
    </w:p>
    <w:bookmarkEnd w:id="71"/>
    <w:bookmarkStart w:id="73" w:name="ref-deemer_2021"/>
    <w:p>
      <w:pPr>
        <w:pStyle w:val="Bibliography"/>
      </w:pPr>
      <w:r>
        <w:t xml:space="preserve">Deemer BR, Holgerson MA. 2021. Drivers of methane flux differ between lakes and reservoirs, complicating global upscaling efforts. Journal of Geophysical Research: Biogeosciences 126:e2019JG005600.</w:t>
      </w:r>
      <w:r>
        <w:t xml:space="preserve"> </w:t>
      </w:r>
      <w:hyperlink r:id="rId72">
        <w:r>
          <w:rPr>
            <w:rStyle w:val="Hyperlink"/>
          </w:rPr>
          <w:t xml:space="preserve">https://agupubs.onlinelibrary.wiley.com/doi/abs/10.1029/2019JG005600</w:t>
        </w:r>
      </w:hyperlink>
    </w:p>
    <w:bookmarkEnd w:id="73"/>
    <w:bookmarkStart w:id="75" w:name="ref-delsontro_2018"/>
    <w:p>
      <w:pPr>
        <w:pStyle w:val="Bibliography"/>
      </w:pPr>
      <w:r>
        <w:t xml:space="preserve">DelSontro T, delGiorgio PA, Praire YT. 2018.</w:t>
      </w:r>
      <w:r>
        <w:t xml:space="preserve"> </w:t>
      </w:r>
      <w:hyperlink r:id="rId74">
        <w:r>
          <w:rPr>
            <w:rStyle w:val="Hyperlink"/>
          </w:rPr>
          <w:t xml:space="preserve">No longer a paradox: The interaction between physical transport and biological processes explains the spatial distribution of surface water methane within and across lakes</w:t>
        </w:r>
      </w:hyperlink>
      <w:r>
        <w:t xml:space="preserve">. Ecosystems 21:1073–87.</w:t>
      </w:r>
    </w:p>
    <w:bookmarkEnd w:id="75"/>
    <w:bookmarkStart w:id="77" w:name="ref-desrosiers_2022"/>
    <w:p>
      <w:pPr>
        <w:pStyle w:val="Bibliography"/>
      </w:pPr>
      <w:r>
        <w:t xml:space="preserve">Desrosiers K, DelSontro T, delGiorgio PA. 2022.</w:t>
      </w:r>
      <w:r>
        <w:t xml:space="preserve"> </w:t>
      </w:r>
      <w:hyperlink r:id="rId76">
        <w:r>
          <w:rPr>
            <w:rStyle w:val="Hyperlink"/>
          </w:rPr>
          <w:t xml:space="preserve">Disproportionate contribution of vegetated habitats to the CH4 and CO2 budgets of a boreal lake</w:t>
        </w:r>
      </w:hyperlink>
      <w:r>
        <w:t xml:space="preserve">. Ecosystems 25:1522–41.</w:t>
      </w:r>
    </w:p>
    <w:bookmarkEnd w:id="77"/>
    <w:bookmarkStart w:id="79" w:name="ref-friedman_2001"/>
    <w:p>
      <w:pPr>
        <w:pStyle w:val="Bibliography"/>
      </w:pPr>
      <w:r>
        <w:t xml:space="preserve">Friedman JH. 2001. Greedy function approximation: A gradient boosting machine. Annals of Statistics 29:1189–232.</w:t>
      </w:r>
      <w:r>
        <w:t xml:space="preserve"> </w:t>
      </w:r>
      <w:hyperlink r:id="rId78">
        <w:r>
          <w:rPr>
            <w:rStyle w:val="Hyperlink"/>
          </w:rPr>
          <w:t xml:space="preserve">&lt;Go to ISI&gt;://WOS:000173361700001</w:t>
        </w:r>
      </w:hyperlink>
    </w:p>
    <w:bookmarkEnd w:id="79"/>
    <w:bookmarkStart w:id="81" w:name="ref-hanly_et_al_2025"/>
    <w:p>
      <w:pPr>
        <w:pStyle w:val="Bibliography"/>
      </w:pPr>
      <w:r>
        <w:t xml:space="preserve">Hanly PJ, Webster KE, Soranno PA. 2025. LAGOS-US LANDSAT: Remotely sensed water quality estimates for u.s. Lakes over 4 ha from 1984 to 2020. Scientific Data 12:1315.</w:t>
      </w:r>
      <w:r>
        <w:t xml:space="preserve"> </w:t>
      </w:r>
      <w:hyperlink r:id="rId80">
        <w:r>
          <w:rPr>
            <w:rStyle w:val="Hyperlink"/>
          </w:rPr>
          <w:t xml:space="preserve">https://doi.org/10.1038/s41597-025-05600-w</w:t>
        </w:r>
      </w:hyperlink>
    </w:p>
    <w:bookmarkEnd w:id="81"/>
    <w:bookmarkStart w:id="83" w:name="ref-hill_et_al_2018"/>
    <w:p>
      <w:pPr>
        <w:pStyle w:val="Bibliography"/>
      </w:pPr>
      <w:r>
        <w:t xml:space="preserve">Hill RA, Weber MH, Debbout RM, Leibowitz SG, Olsen AR. 2018. The lake-catchment (LakeCat) dataset: Characterizing landscape features for lake basins within the conterminous USA. Freshwater Science 37:208–21.</w:t>
      </w:r>
      <w:r>
        <w:t xml:space="preserve"> </w:t>
      </w:r>
      <w:hyperlink r:id="rId82">
        <w:r>
          <w:rPr>
            <w:rStyle w:val="Hyperlink"/>
          </w:rPr>
          <w:t xml:space="preserve">https://www.journals.uchicago.edu/doi/abs/10.1086/697966</w:t>
        </w:r>
      </w:hyperlink>
    </w:p>
    <w:bookmarkEnd w:id="83"/>
    <w:bookmarkStart w:id="85" w:name="ref-hoffman_2013"/>
    <w:p>
      <w:pPr>
        <w:pStyle w:val="Bibliography"/>
      </w:pPr>
      <w:r>
        <w:t xml:space="preserve">Hofmann H. 2013. Spatiotemporal distribution patterns of dissolved methane in lakes: How accurate are the current estimations of the diffusive flux path? Geophysical Research Letters 40:2779–84.</w:t>
      </w:r>
      <w:r>
        <w:t xml:space="preserve"> </w:t>
      </w:r>
      <w:hyperlink r:id="rId84">
        <w:r>
          <w:rPr>
            <w:rStyle w:val="Hyperlink"/>
          </w:rPr>
          <w:t xml:space="preserve">&lt;Go to ISI&gt;://WOS:000321261600055</w:t>
        </w:r>
        <w:r>
          <w:rPr>
            <w:rStyle w:val="Hyperlink"/>
          </w:rPr>
          <w:t xml:space="preserve"> </w:t>
        </w:r>
        <w:r>
          <w:rPr>
            <w:rStyle w:val="Hyperlink"/>
          </w:rPr>
          <w:t xml:space="preserve">http://onlinelibrary.wiley.com/store/10.1002/grl.50453/asset/grl50453.pdf?v=1&amp;t=hwwgz5ve&amp;s=b6b3fd669ce49506385e92cef81fef85c067dda3</w:t>
        </w:r>
      </w:hyperlink>
    </w:p>
    <w:bookmarkEnd w:id="85"/>
    <w:bookmarkStart w:id="87" w:name="ref-khazaei_2022"/>
    <w:p>
      <w:pPr>
        <w:pStyle w:val="Bibliography"/>
      </w:pPr>
      <w:r>
        <w:t xml:space="preserve">Khazaei B, Read LK, Casali M, Sampson KM, Yates DN. 2022. GLOBathy, the global lakes bathymetry dataset. Sci Data 9:36.</w:t>
      </w:r>
      <w:r>
        <w:t xml:space="preserve"> </w:t>
      </w:r>
      <w:hyperlink r:id="rId86">
        <w:r>
          <w:rPr>
            <w:rStyle w:val="Hyperlink"/>
          </w:rPr>
          <w:t xml:space="preserve">https://www.ncbi.nlm.nih.gov/pubmed/35115560</w:t>
        </w:r>
        <w:r>
          <w:rPr>
            <w:rStyle w:val="Hyperlink"/>
          </w:rPr>
          <w:t xml:space="preserve"> </w:t>
        </w:r>
        <w:r>
          <w:rPr>
            <w:rStyle w:val="Hyperlink"/>
          </w:rPr>
          <w:t xml:space="preserve">https://www.nature.com/articles/s41597-022-01132-9.pdf</w:t>
        </w:r>
      </w:hyperlink>
    </w:p>
    <w:bookmarkEnd w:id="87"/>
    <w:bookmarkStart w:id="89" w:name="ref-leon_palmero_2020"/>
    <w:p>
      <w:pPr>
        <w:pStyle w:val="Bibliography"/>
      </w:pPr>
      <w:r>
        <w:t xml:space="preserve">León-Palmero E, Morales-Baquero R, Reche I. 2020.</w:t>
      </w:r>
      <w:r>
        <w:t xml:space="preserve"> </w:t>
      </w:r>
      <w:hyperlink r:id="rId88">
        <w:r>
          <w:rPr>
            <w:rStyle w:val="Hyperlink"/>
          </w:rPr>
          <w:t xml:space="preserve">Greenhouse gas fluxes from reservoirs determined by watershed lithology, morphometry, and anthropogenic pressure</w:t>
        </w:r>
      </w:hyperlink>
      <w:r>
        <w:t xml:space="preserve">. Environmental Research Letters 15.</w:t>
      </w:r>
    </w:p>
    <w:bookmarkEnd w:id="89"/>
    <w:bookmarkStart w:id="91" w:name="ref-martinez_2024"/>
    <w:p>
      <w:pPr>
        <w:pStyle w:val="Bibliography"/>
      </w:pPr>
      <w:r>
        <w:t xml:space="preserve">Martínez-García A, Peralta-Maraver I, Rodríguez-Velasco E, Batanero GL, García-Alguacil M, Picazo F, Calvo J, Morales-Baquero R, Rueda FJ, Reche I. 2024. Particulate organic carbon sedimentation triggers lagged methane emissions in a eutrophic reservoir. Limnology and Oceanography Letters 9:247–57.</w:t>
      </w:r>
      <w:r>
        <w:t xml:space="preserve"> </w:t>
      </w:r>
      <w:hyperlink r:id="rId90">
        <w:r>
          <w:rPr>
            <w:rStyle w:val="Hyperlink"/>
          </w:rPr>
          <w:t xml:space="preserve">https://aslopubs.onlinelibrary.wiley.com/doi/abs/10.1002/lol2.10379</w:t>
        </w:r>
      </w:hyperlink>
    </w:p>
    <w:bookmarkEnd w:id="91"/>
    <w:bookmarkStart w:id="93" w:name="ref-mcginnis_2006"/>
    <w:p>
      <w:pPr>
        <w:pStyle w:val="Bibliography"/>
      </w:pPr>
      <w:r>
        <w:t xml:space="preserve">McGinnis DF, Greinert J, Artemov Y, Beaubien SE, Wüest A. 2006. Fate of rising methane bubbles in stratified waters: How much methane reaches the atmosphere? Journal of Geophysical Research: Oceans 111.</w:t>
      </w:r>
      <w:r>
        <w:t xml:space="preserve"> </w:t>
      </w:r>
      <w:hyperlink r:id="rId92">
        <w:r>
          <w:rPr>
            <w:rStyle w:val="Hyperlink"/>
          </w:rPr>
          <w:t xml:space="preserve">https://agupubs.onlinelibrary.wiley.com/doi/abs/10.1029/2005JC003183</w:t>
        </w:r>
      </w:hyperlink>
    </w:p>
    <w:bookmarkEnd w:id="93"/>
    <w:bookmarkStart w:id="95" w:name="ref-li_2020"/>
    <w:p>
      <w:pPr>
        <w:pStyle w:val="Bibliography"/>
      </w:pPr>
      <w:r>
        <w:t xml:space="preserve">Mingxu Li M, Peng C, Zhu Q, Zhou X, Yang G, Song X, Zhang K. 2020.</w:t>
      </w:r>
      <w:r>
        <w:t xml:space="preserve"> </w:t>
      </w:r>
      <w:hyperlink r:id="rId94">
        <w:r>
          <w:rPr>
            <w:rStyle w:val="Hyperlink"/>
          </w:rPr>
          <w:t xml:space="preserve">The significant contribution of lake depth in regulating global lake diffusive methane emissions</w:t>
        </w:r>
      </w:hyperlink>
      <w:r>
        <w:t xml:space="preserve">. Water Research 172:115465.</w:t>
      </w:r>
    </w:p>
    <w:bookmarkEnd w:id="95"/>
    <w:bookmarkStart w:id="96" w:name="ref-montgomery_peck_1992"/>
    <w:p>
      <w:pPr>
        <w:pStyle w:val="Bibliography"/>
      </w:pPr>
      <w:r>
        <w:t xml:space="preserve">Montgomery D, Peck E. 1992. Introduction to linear regression analysis. New York: Wiley</w:t>
      </w:r>
    </w:p>
    <w:bookmarkEnd w:id="96"/>
    <w:bookmarkStart w:id="98" w:name="ref-era5_2021"/>
    <w:p>
      <w:pPr>
        <w:pStyle w:val="Bibliography"/>
      </w:pPr>
      <w:r>
        <w:t xml:space="preserve">Muñoz-Sabater J, Dutra E, Agustí-Panareda A, Albergel C, Arduini G, Balsamo G, Boussetta S, Choulga M, Harrigan S, Hersbach H, Martens B, Miralles DG, Piles M, Rodríguez-Fernández NJ, Zsoter E, Buontempo C, Thépaut JN. 2021. ERA5-land: A state-of-the-art global reanalysis dataset for land applications. Earth Syst Sci Data 13:4349–83.</w:t>
      </w:r>
      <w:r>
        <w:t xml:space="preserve"> </w:t>
      </w:r>
      <w:hyperlink r:id="rId97">
        <w:r>
          <w:rPr>
            <w:rStyle w:val="Hyperlink"/>
          </w:rPr>
          <w:t xml:space="preserve">https://essd.copernicus.org/articles/13/4349/2021/</w:t>
        </w:r>
      </w:hyperlink>
    </w:p>
    <w:bookmarkEnd w:id="98"/>
    <w:bookmarkStart w:id="99" w:name="ref-prairie_2017"/>
    <w:p>
      <w:pPr>
        <w:pStyle w:val="Bibliography"/>
      </w:pPr>
      <w:r>
        <w:t xml:space="preserve">Prairie YT, Alm J, Harby A, Mercier-Blais S. 2017. The GHG reservoir tool (g-res) user guide. UNESCO/IHA research project on the GHG status of freshwater reservoirs.</w:t>
      </w:r>
    </w:p>
    <w:bookmarkEnd w:id="99"/>
    <w:bookmarkStart w:id="101" w:name="ref-prairie_2021"/>
    <w:p>
      <w:pPr>
        <w:pStyle w:val="Bibliography"/>
      </w:pPr>
      <w:r>
        <w:t xml:space="preserve">Prairie YT, Mercier-Blais S, Harrison JA, Soued C, Giorgio P del, Harby A, Alm J, Chanudet V, Nahas R. 2021. A new modelling framework to assess biogenic GHG emissions from reservoirs: The g-res tool. Environmental Modelling &amp; Software 143.</w:t>
      </w:r>
      <w:r>
        <w:t xml:space="preserve"> </w:t>
      </w:r>
      <w:hyperlink r:id="rId100">
        <w:r>
          <w:rPr>
            <w:rStyle w:val="Hyperlink"/>
          </w:rPr>
          <w:t xml:space="preserve">&lt;Go to ISI&gt;://WOS:000685507100001</w:t>
        </w:r>
      </w:hyperlink>
    </w:p>
    <w:bookmarkEnd w:id="101"/>
    <w:bookmarkStart w:id="103" w:name="ref-r_core_team_2025"/>
    <w:p>
      <w:pPr>
        <w:pStyle w:val="Bibliography"/>
      </w:pPr>
      <w:r>
        <w:t xml:space="preserve">R Core Team. 2025. R: A language and environment for statistical computing. Vienna, Austria: R Foundation for Statistical Computing</w:t>
      </w:r>
      <w:r>
        <w:t xml:space="preserve"> </w:t>
      </w:r>
      <w:hyperlink r:id="rId102">
        <w:r>
          <w:rPr>
            <w:rStyle w:val="Hyperlink"/>
          </w:rPr>
          <w:t xml:space="preserve">https://www.R-project.org/</w:t>
        </w:r>
      </w:hyperlink>
    </w:p>
    <w:bookmarkEnd w:id="103"/>
    <w:bookmarkStart w:id="105" w:name="ref-rasilo_et_al_2015"/>
    <w:p>
      <w:pPr>
        <w:pStyle w:val="Bibliography"/>
      </w:pPr>
      <w:r>
        <w:t xml:space="preserve">Rasilo T, Prairie YT, Del Giorgio PA. 2015. Large-scale patterns in summer diffusive CH4 fluxes across boreal lakes, and contribution to diffusive c emissions. Global Change Biology 21:1124–39.</w:t>
      </w:r>
      <w:r>
        <w:t xml:space="preserve"> </w:t>
      </w:r>
      <w:hyperlink r:id="rId104">
        <w:r>
          <w:rPr>
            <w:rStyle w:val="Hyperlink"/>
          </w:rPr>
          <w:t xml:space="preserve">http://www.ncbi.nlm.nih.gov/pubmed/25220765</w:t>
        </w:r>
        <w:r>
          <w:rPr>
            <w:rStyle w:val="Hyperlink"/>
          </w:rPr>
          <w:t xml:space="preserve"> </w:t>
        </w:r>
        <w:r>
          <w:rPr>
            <w:rStyle w:val="Hyperlink"/>
          </w:rPr>
          <w:t xml:space="preserve">http://onlinelibrary.wiley.com/store/10.1111/gcb.12741/asset/gcb12741.pdf?v=1&amp;t=iv4642nm&amp;s=92312b5bf857550fb0bc4781500cb247b54bfe79</w:t>
        </w:r>
      </w:hyperlink>
    </w:p>
    <w:bookmarkEnd w:id="105"/>
    <w:bookmarkStart w:id="107" w:name="ref-richardson_2022"/>
    <w:p>
      <w:pPr>
        <w:pStyle w:val="Bibliography"/>
      </w:pPr>
      <w:r>
        <w:t xml:space="preserve">Richardson DC, Holgerson MA, Farragher MJ et al. 2022.</w:t>
      </w:r>
      <w:r>
        <w:t xml:space="preserve"> </w:t>
      </w:r>
      <w:hyperlink r:id="rId106">
        <w:r>
          <w:rPr>
            <w:rStyle w:val="Hyperlink"/>
          </w:rPr>
          <w:t xml:space="preserve">A functional definition to distinguish ponds from lakes and wetlands</w:t>
        </w:r>
      </w:hyperlink>
      <w:r>
        <w:t xml:space="preserve">. Scientific Reports 12:10472.</w:t>
      </w:r>
    </w:p>
    <w:bookmarkEnd w:id="107"/>
    <w:bookmarkStart w:id="109" w:name="ref-soued_2024"/>
    <w:p>
      <w:pPr>
        <w:pStyle w:val="Bibliography"/>
      </w:pPr>
      <w:r>
        <w:t xml:space="preserve">Soued C, Bogard MJ, Finlay K, Bortolotti LE, Leavitt PR, Badiou P, Knox SH, Jensen S, Mueller P, Lee SC, Ng D, Wissel B, Chan CN, Page B, Kowal P. 2024. Salinity causes widespread restriction of methane emissions from small inland waters. Nat Commun 15:717.</w:t>
      </w:r>
      <w:r>
        <w:t xml:space="preserve"> </w:t>
      </w:r>
      <w:hyperlink r:id="rId108">
        <w:r>
          <w:rPr>
            <w:rStyle w:val="Hyperlink"/>
          </w:rPr>
          <w:t xml:space="preserve">https://www.ncbi.nlm.nih.gov/pubmed/38267478</w:t>
        </w:r>
        <w:r>
          <w:rPr>
            <w:rStyle w:val="Hyperlink"/>
          </w:rPr>
          <w:t xml:space="preserve"> </w:t>
        </w:r>
        <w:r>
          <w:rPr>
            <w:rStyle w:val="Hyperlink"/>
          </w:rPr>
          <w:t xml:space="preserve">https://www.nature.com/articles/s41467-024-44715-3.pdf</w:t>
        </w:r>
      </w:hyperlink>
    </w:p>
    <w:bookmarkEnd w:id="109"/>
    <w:bookmarkStart w:id="111" w:name="ref-soued_2022"/>
    <w:p>
      <w:pPr>
        <w:pStyle w:val="Bibliography"/>
      </w:pPr>
      <w:r>
        <w:t xml:space="preserve">Soued C, Harrison JA, Mercier-Blais S, Prairie YT. 2022. Reservoir CO2 and CH4 emissions and their climate impact over the period 1900-2060. Nature Geoscience 15:700–+.</w:t>
      </w:r>
      <w:r>
        <w:t xml:space="preserve"> </w:t>
      </w:r>
      <w:hyperlink r:id="rId110">
        <w:r>
          <w:rPr>
            <w:rStyle w:val="Hyperlink"/>
          </w:rPr>
          <w:t xml:space="preserve">&lt;Go to ISI&gt;://WOS:000848696200001</w:t>
        </w:r>
        <w:r>
          <w:rPr>
            <w:rStyle w:val="Hyperlink"/>
          </w:rPr>
          <w:t xml:space="preserve"> </w:t>
        </w:r>
        <w:r>
          <w:rPr>
            <w:rStyle w:val="Hyperlink"/>
          </w:rPr>
          <w:t xml:space="preserve">https://www.nature.com/articles/s41561-022-01004-2</w:t>
        </w:r>
      </w:hyperlink>
    </w:p>
    <w:bookmarkEnd w:id="111"/>
    <w:bookmarkStart w:id="113" w:name="ref-stevens_et_al_2004"/>
    <w:p>
      <w:pPr>
        <w:pStyle w:val="Bibliography"/>
      </w:pPr>
      <w:r>
        <w:t xml:space="preserve">Stevens DL, Olsen AR. 2004. Spatially balanced sampling of natural resources. Journal of the American Statistical Association 99:262–78.</w:t>
      </w:r>
      <w:r>
        <w:t xml:space="preserve"> </w:t>
      </w:r>
      <w:hyperlink r:id="rId112">
        <w:r>
          <w:rPr>
            <w:rStyle w:val="Hyperlink"/>
          </w:rPr>
          <w:t xml:space="preserve">&lt;Go to ISI&gt;://WOS:000220638200025</w:t>
        </w:r>
        <w:r>
          <w:rPr>
            <w:rStyle w:val="Hyperlink"/>
          </w:rPr>
          <w:t xml:space="preserve"> </w:t>
        </w:r>
        <w:r>
          <w:rPr>
            <w:rStyle w:val="Hyperlink"/>
          </w:rPr>
          <w:t xml:space="preserve">http://www.tandfonline.com/doi/pdf/10.1198/016214504000000250</w:t>
        </w:r>
      </w:hyperlink>
    </w:p>
    <w:bookmarkEnd w:id="113"/>
    <w:bookmarkStart w:id="115" w:name="ref-usace_2025"/>
    <w:p>
      <w:pPr>
        <w:pStyle w:val="Bibliography"/>
      </w:pPr>
      <w:r>
        <w:t xml:space="preserve">U.S. Army Corps of Engineers. 2025</w:t>
      </w:r>
      <w:r>
        <w:t xml:space="preserve"> </w:t>
      </w:r>
      <w:hyperlink r:id="rId114">
        <w:r>
          <w:rPr>
            <w:rStyle w:val="Hyperlink"/>
          </w:rPr>
          <w:t xml:space="preserve">https://catalog.data.gov/dataset/national-inventory-of-dams-nid</w:t>
        </w:r>
      </w:hyperlink>
    </w:p>
    <w:bookmarkEnd w:id="115"/>
    <w:bookmarkStart w:id="116" w:name="ref-usepa_2022"/>
    <w:p>
      <w:pPr>
        <w:pStyle w:val="Bibliography"/>
      </w:pPr>
      <w:r>
        <w:t xml:space="preserve">U.S. Environmental Protection Agency. 2022. National lakes assessment: The third collaborative survey of lakes in the united states. EPA 841-R-22-002. U.S. Environmental Protection Agency, Office of Water; Office of Research; Development</w:t>
      </w:r>
    </w:p>
    <w:bookmarkEnd w:id="116"/>
    <w:bookmarkStart w:id="118" w:name="ref-usepa_2024"/>
    <w:p>
      <w:pPr>
        <w:pStyle w:val="Bibliography"/>
      </w:pPr>
      <w:r>
        <w:t xml:space="preserve">U.S. Environmental Protection Agency. 2024. National lakes assessment: The fourth collaborative survey of lakes in the united states.</w:t>
      </w:r>
      <w:r>
        <w:t xml:space="preserve"> </w:t>
      </w:r>
      <w:hyperlink r:id="rId117">
        <w:r>
          <w:rPr>
            <w:rStyle w:val="Hyperlink"/>
          </w:rPr>
          <w:t xml:space="preserve">https://nationallakesassessment.epa.gov/webreport</w:t>
        </w:r>
      </w:hyperlink>
    </w:p>
    <w:bookmarkEnd w:id="118"/>
    <w:bookmarkStart w:id="120" w:name="ref-west_2016"/>
    <w:p>
      <w:pPr>
        <w:pStyle w:val="Bibliography"/>
      </w:pPr>
      <w:r>
        <w:t xml:space="preserve">West WE, Creamer KP, Jones SE. 2016. Productivity and depth regulate lake contributions to atmospheric methane. Limnology and Oceanography 61:S51–61.</w:t>
      </w:r>
      <w:r>
        <w:t xml:space="preserve"> </w:t>
      </w:r>
      <w:hyperlink r:id="rId119">
        <w:r>
          <w:rPr>
            <w:rStyle w:val="Hyperlink"/>
          </w:rPr>
          <w:t xml:space="preserve">https://aslopubs.onlinelibrary.wiley.com/doi/abs/10.1002/lno.10247</w:t>
        </w:r>
      </w:hyperlink>
    </w:p>
    <w:bookmarkEnd w:id="120"/>
    <w:bookmarkStart w:id="122" w:name="ref-west_et_al_2015"/>
    <w:p>
      <w:pPr>
        <w:pStyle w:val="Bibliography"/>
      </w:pPr>
      <w:r>
        <w:t xml:space="preserve">West WE, McCarthy SM, Jones SE. 2015. Phytoplankton lipid content influences freshwater lake methanogenesis. Freshwater Biology 60:2261–9.</w:t>
      </w:r>
      <w:r>
        <w:t xml:space="preserve"> </w:t>
      </w:r>
      <w:hyperlink r:id="rId121">
        <w:r>
          <w:rPr>
            <w:rStyle w:val="Hyperlink"/>
          </w:rPr>
          <w:t xml:space="preserve">&lt;Go to ISI&gt;://WOS:000362795900005</w:t>
        </w:r>
      </w:hyperlink>
    </w:p>
    <w:bookmarkEnd w:id="122"/>
    <w:bookmarkStart w:id="124" w:name="ref-wright_ziegler_2017"/>
    <w:p>
      <w:pPr>
        <w:pStyle w:val="Bibliography"/>
      </w:pPr>
      <w:r>
        <w:t xml:space="preserve">Wright MN, Ziegler A. 2017.</w:t>
      </w:r>
      <w:r>
        <w:t xml:space="preserve"> </w:t>
      </w:r>
      <w:hyperlink r:id="rId123">
        <w:r>
          <w:rPr>
            <w:rStyle w:val="Hyperlink"/>
          </w:rPr>
          <w:t xml:space="preserve">ranger</w:t>
        </w:r>
        <w:r>
          <w:rPr>
            <w:rStyle w:val="Hyperlink"/>
          </w:rPr>
          <w:t xml:space="preserve">: A fast implementation of random forests for high dimensional data in</w:t>
        </w:r>
        <w:r>
          <w:rPr>
            <w:rStyle w:val="Hyperlink"/>
          </w:rPr>
          <w:t xml:space="preserve"> </w:t>
        </w:r>
        <w:r>
          <w:rPr>
            <w:rStyle w:val="Hyperlink"/>
          </w:rPr>
          <w:t xml:space="preserve">C++</w:t>
        </w:r>
        <w:r>
          <w:rPr>
            <w:rStyle w:val="Hyperlink"/>
          </w:rPr>
          <w:t xml:space="preserve"> </w:t>
        </w:r>
        <w:r>
          <w:rPr>
            <w:rStyle w:val="Hyperlink"/>
          </w:rPr>
          <w:t xml:space="preserve">and</w:t>
        </w:r>
        <w:r>
          <w:rPr>
            <w:rStyle w:val="Hyperlink"/>
          </w:rPr>
          <w:t xml:space="preserve"> </w:t>
        </w:r>
        <w:r>
          <w:rPr>
            <w:rStyle w:val="Hyperlink"/>
          </w:rPr>
          <w:t xml:space="preserve">R</w:t>
        </w:r>
      </w:hyperlink>
      <w:r>
        <w:t xml:space="preserve">. Journal of Statistical Software 77:1–17.</w:t>
      </w:r>
    </w:p>
    <w:bookmarkEnd w:id="124"/>
    <w:bookmarkStart w:id="126" w:name="ref-wright_et_al_2016"/>
    <w:p>
      <w:pPr>
        <w:pStyle w:val="Bibliography"/>
      </w:pPr>
      <w:r>
        <w:t xml:space="preserve">Wright MN, Ziegler A, Konig IR. 2016. Do little interactions get lost in dark random forests? BMC Bioinformatics 17:145.</w:t>
      </w:r>
      <w:r>
        <w:t xml:space="preserve"> </w:t>
      </w:r>
      <w:hyperlink r:id="rId125">
        <w:r>
          <w:rPr>
            <w:rStyle w:val="Hyperlink"/>
          </w:rPr>
          <w:t xml:space="preserve">https://www.ncbi.nlm.nih.gov/pubmed/27029549</w:t>
        </w:r>
      </w:hyperlink>
    </w:p>
    <w:bookmarkEnd w:id="126"/>
    <w:bookmarkStart w:id="128" w:name="ref-yvon-durocher_2014"/>
    <w:p>
      <w:pPr>
        <w:pStyle w:val="Bibliography"/>
      </w:pPr>
      <w:r>
        <w:t xml:space="preserve">Yvon-Durocher G, Allen AP, Bastviken D, Conrad R, Gudasz C, St-Pierre A, Thanh-Duc N, Giorgio PA del. 2014. Methane fluxes show consistent temperature dependence across microbial to ecosystem scales. Nature 507:488–91.</w:t>
      </w:r>
      <w:r>
        <w:t xml:space="preserve"> </w:t>
      </w:r>
      <w:hyperlink r:id="rId127">
        <w:r>
          <w:rPr>
            <w:rStyle w:val="Hyperlink"/>
          </w:rPr>
          <w:t xml:space="preserve">&lt;Go to ISI&gt;://WOS:000333402000038</w:t>
        </w:r>
      </w:hyperlink>
    </w:p>
    <w:bookmarkEnd w:id="128"/>
    <w:bookmarkStart w:id="130" w:name="ref-zak_2021"/>
    <w:p>
      <w:pPr>
        <w:pStyle w:val="Bibliography"/>
      </w:pPr>
      <w:r>
        <w:t xml:space="preserve">Zak D, Hupfer M, Cabezas A, Jurasinski G, Audet J, Kleeberg A, McInnes R, Kristiansen SM, Petersen RJ, Liu H, Goldhammer T. 2021. Sulphate in freshwater ecosystems: A review of sources, biogeochemical cycles, ecotoxicological effects and bioremediation. Earth-Science Reviews 212:103446.</w:t>
      </w:r>
      <w:r>
        <w:t xml:space="preserve"> </w:t>
      </w:r>
      <w:hyperlink r:id="rId129">
        <w:r>
          <w:rPr>
            <w:rStyle w:val="Hyperlink"/>
          </w:rPr>
          <w:t xml:space="preserve">https://www.sciencedirect.com/science/article/pii/S001282522030492X</w:t>
        </w:r>
      </w:hyperlink>
    </w:p>
    <w:bookmarkEnd w:id="130"/>
    <w:bookmarkStart w:id="132" w:name="ref-zhou_2024"/>
    <w:p>
      <w:pPr>
        <w:pStyle w:val="Bibliography"/>
      </w:pPr>
      <w:r>
        <w:t xml:space="preserve">Zhou C, Zhou M, Peng Y, Xu X, Terada A, Wang G, Zhong H, Kinouchi T. 2024. Unexpected increase of sulfate concentrations and potential impact on CH4 budgets in freshwater lakes. Water Research 261:122018.</w:t>
      </w:r>
      <w:r>
        <w:t xml:space="preserve"> </w:t>
      </w:r>
      <w:hyperlink r:id="rId131">
        <w:r>
          <w:rPr>
            <w:rStyle w:val="Hyperlink"/>
          </w:rPr>
          <w:t xml:space="preserve">https://www.sciencedirect.com/science/article/pii/S0043135424009187</w:t>
        </w:r>
      </w:hyperlink>
    </w:p>
    <w:bookmarkEnd w:id="132"/>
    <w:bookmarkEnd w:id="133"/>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hyperlink" Id="rId68" Target="&lt;Go to ISI&gt;://000165384000018 " TargetMode="External" /><Relationship Type="http://schemas.openxmlformats.org/officeDocument/2006/relationships/hyperlink" Id="rId64" Target="&lt;Go to ISI&gt;://WOS:000170489900001" TargetMode="External" /><Relationship Type="http://schemas.openxmlformats.org/officeDocument/2006/relationships/hyperlink" Id="rId78" Target="&lt;Go to ISI&gt;://WOS:000173361700001" TargetMode="External" /><Relationship Type="http://schemas.openxmlformats.org/officeDocument/2006/relationships/hyperlink" Id="rId112" Target="&lt;Go to ISI&gt;://WOS:000220638200025
http://www.tandfonline.com/doi/pdf/10.1198/016214504000000250" TargetMode="External" /><Relationship Type="http://schemas.openxmlformats.org/officeDocument/2006/relationships/hyperlink" Id="rId50" Target="&lt;Go to ISI&gt;://WOS:000294452400005" TargetMode="External" /><Relationship Type="http://schemas.openxmlformats.org/officeDocument/2006/relationships/hyperlink" Id="rId84" Target="&lt;Go to ISI&gt;://WOS:000321261600055
http://onlinelibrary.wiley.com/store/10.1002/grl.50453/asset/grl50453.pdf?v=1&amp;t=hwwgz5ve&amp;s=b6b3fd669ce49506385e92cef81fef85c067dda3" TargetMode="External" /><Relationship Type="http://schemas.openxmlformats.org/officeDocument/2006/relationships/hyperlink" Id="rId127" Target="&lt;Go to ISI&gt;://WOS:000333402000038" TargetMode="External" /><Relationship Type="http://schemas.openxmlformats.org/officeDocument/2006/relationships/hyperlink" Id="rId121" Target="&lt;Go to ISI&gt;://WOS:000362795900005" TargetMode="External" /><Relationship Type="http://schemas.openxmlformats.org/officeDocument/2006/relationships/hyperlink" Id="rId70" Target="&lt;Go to ISI&gt;://WOS:000387463900007" TargetMode="External" /><Relationship Type="http://schemas.openxmlformats.org/officeDocument/2006/relationships/hyperlink" Id="rId100" Target="&lt;Go to ISI&gt;://WOS:000685507100001" TargetMode="External" /><Relationship Type="http://schemas.openxmlformats.org/officeDocument/2006/relationships/hyperlink" Id="rId110" Target="&lt;Go to ISI&gt;://WOS:000848696200001
https://www.nature.com/articles/s41561-022-01004-2" TargetMode="External" /><Relationship Type="http://schemas.openxmlformats.org/officeDocument/2006/relationships/hyperlink" Id="rId104" Target="http://www.ncbi.nlm.nih.gov/pubmed/25220765
http://onlinelibrary.wiley.com/store/10.1111/gcb.12741/asset/gcb12741.pdf?v=1&amp;t=iv4642nm&amp;s=92312b5bf857550fb0bc4781500cb247b54bfe79" TargetMode="External" /><Relationship Type="http://schemas.openxmlformats.org/officeDocument/2006/relationships/hyperlink" Id="rId92" Target="https://agupubs.onlinelibrary.wiley.com/doi/abs/10.1029/2005JC003183" TargetMode="External" /><Relationship Type="http://schemas.openxmlformats.org/officeDocument/2006/relationships/hyperlink" Id="rId52" Target="https://agupubs.onlinelibrary.wiley.com/doi/abs/10.1029/2007JG000608" TargetMode="External" /><Relationship Type="http://schemas.openxmlformats.org/officeDocument/2006/relationships/hyperlink" Id="rId72" Target="https://agupubs.onlinelibrary.wiley.com/doi/abs/10.1029/2019JG005600" TargetMode="External" /><Relationship Type="http://schemas.openxmlformats.org/officeDocument/2006/relationships/hyperlink" Id="rId58" Target="https://agupubs.onlinelibrary.wiley.com/doi/pdfdirect/10.1029/2019JG005474" TargetMode="External" /><Relationship Type="http://schemas.openxmlformats.org/officeDocument/2006/relationships/hyperlink" Id="rId119" Target="https://aslopubs.onlinelibrary.wiley.com/doi/abs/10.1002/lno.10247" TargetMode="External" /><Relationship Type="http://schemas.openxmlformats.org/officeDocument/2006/relationships/hyperlink" Id="rId60" Target="https://aslopubs.onlinelibrary.wiley.com/doi/abs/10.1002/lno.11392" TargetMode="External" /><Relationship Type="http://schemas.openxmlformats.org/officeDocument/2006/relationships/hyperlink" Id="rId62" Target="https://aslopubs.onlinelibrary.wiley.com/doi/abs/10.1002/lno.70063" TargetMode="External" /><Relationship Type="http://schemas.openxmlformats.org/officeDocument/2006/relationships/hyperlink" Id="rId90" Target="https://aslopubs.onlinelibrary.wiley.com/doi/abs/10.1002/lol2.10379" TargetMode="External" /><Relationship Type="http://schemas.openxmlformats.org/officeDocument/2006/relationships/hyperlink" Id="rId56" Target="https://aslopubs.onlinelibrary.wiley.com/doi/abs/10.1002/lol2.70080" TargetMode="External" /><Relationship Type="http://schemas.openxmlformats.org/officeDocument/2006/relationships/hyperlink" Id="rId114" Target="https://catalog.data.gov/dataset/national-inventory-of-dams-nid" TargetMode="External" /><Relationship Type="http://schemas.openxmlformats.org/officeDocument/2006/relationships/hyperlink" Id="rId74" Target="https://doi.org/10.1007/s10021-017-0205-1" TargetMode="External" /><Relationship Type="http://schemas.openxmlformats.org/officeDocument/2006/relationships/hyperlink" Id="rId76" Target="https://doi.org/10.1007/s10021-021-00730-9" TargetMode="External" /><Relationship Type="http://schemas.openxmlformats.org/officeDocument/2006/relationships/hyperlink" Id="rId94" Target="https://doi.org/10.1016/j.watres.2020.115465" TargetMode="External" /><Relationship Type="http://schemas.openxmlformats.org/officeDocument/2006/relationships/hyperlink" Id="rId80" Target="https://doi.org/10.1038/s41597-025-05600-w" TargetMode="External" /><Relationship Type="http://schemas.openxmlformats.org/officeDocument/2006/relationships/hyperlink" Id="rId106" Target="https://doi.org/10.1038/s41598-022-14569-0" TargetMode="External" /><Relationship Type="http://schemas.openxmlformats.org/officeDocument/2006/relationships/hyperlink" Id="rId54" Target="https://doi.org/10.1038/s44221-025-00532-6
https://www.nature.com/articles/s44221-025-00532-6.pdf" TargetMode="External" /><Relationship Type="http://schemas.openxmlformats.org/officeDocument/2006/relationships/hyperlink" Id="rId88" Target="https://doi.org/10.1088/1748-9326/ab7467" TargetMode="External" /><Relationship Type="http://schemas.openxmlformats.org/officeDocument/2006/relationships/hyperlink" Id="rId123" Target="https://doi.org/10.18637/jss.v077.i01" TargetMode="External" /><Relationship Type="http://schemas.openxmlformats.org/officeDocument/2006/relationships/hyperlink" Id="rId66" Target="https://dx.doi.org/10.1088/1748-9326/ac0be3
https://iopscience.iop.org/article/10.1088/1748-9326/ac0be3/pdf" TargetMode="External" /><Relationship Type="http://schemas.openxmlformats.org/officeDocument/2006/relationships/hyperlink" Id="rId97" Target="https://essd.copernicus.org/articles/13/4349/2021/" TargetMode="External" /><Relationship Type="http://schemas.openxmlformats.org/officeDocument/2006/relationships/hyperlink" Id="rId117" Target="https://nationallakesassessment.epa.gov/webreport" TargetMode="External" /><Relationship Type="http://schemas.openxmlformats.org/officeDocument/2006/relationships/hyperlink" Id="rId102" Target="https://www.R-project.org/" TargetMode="External" /><Relationship Type="http://schemas.openxmlformats.org/officeDocument/2006/relationships/hyperlink" Id="rId82" Target="https://www.journals.uchicago.edu/doi/abs/10.1086/697966" TargetMode="External" /><Relationship Type="http://schemas.openxmlformats.org/officeDocument/2006/relationships/hyperlink" Id="rId125" Target="https://www.ncbi.nlm.nih.gov/pubmed/27029549" TargetMode="External" /><Relationship Type="http://schemas.openxmlformats.org/officeDocument/2006/relationships/hyperlink" Id="rId86" Target="https://www.ncbi.nlm.nih.gov/pubmed/35115560
https://www.nature.com/articles/s41597-022-01132-9.pdf" TargetMode="External" /><Relationship Type="http://schemas.openxmlformats.org/officeDocument/2006/relationships/hyperlink" Id="rId108" Target="https://www.ncbi.nlm.nih.gov/pubmed/38267478
https://www.nature.com/articles/s41467-024-44715-3.pdf" TargetMode="External" /><Relationship Type="http://schemas.openxmlformats.org/officeDocument/2006/relationships/hyperlink" Id="rId48" Target="https://www.science.org/doi/abs/10.1126/sciadv.ade1112" TargetMode="External" /><Relationship Type="http://schemas.openxmlformats.org/officeDocument/2006/relationships/hyperlink" Id="rId129" Target="https://www.sciencedirect.com/science/article/pii/S001282522030492X" TargetMode="External" /><Relationship Type="http://schemas.openxmlformats.org/officeDocument/2006/relationships/hyperlink" Id="rId131" Target="https://www.sciencedirect.com/science/article/pii/S0043135424009187" TargetMode="External" /></Relationships>
</file>

<file path=word/_rels/footnotes.xml.rels><?xml version="1.0" encoding="UTF-8"?><Relationships xmlns="http://schemas.openxmlformats.org/package/2006/relationships"><Relationship Type="http://schemas.openxmlformats.org/officeDocument/2006/relationships/hyperlink" Id="rId68" Target="&lt;Go to ISI&gt;://000165384000018 " TargetMode="External" /><Relationship Type="http://schemas.openxmlformats.org/officeDocument/2006/relationships/hyperlink" Id="rId64" Target="&lt;Go to ISI&gt;://WOS:000170489900001" TargetMode="External" /><Relationship Type="http://schemas.openxmlformats.org/officeDocument/2006/relationships/hyperlink" Id="rId78" Target="&lt;Go to ISI&gt;://WOS:000173361700001" TargetMode="External" /><Relationship Type="http://schemas.openxmlformats.org/officeDocument/2006/relationships/hyperlink" Id="rId112" Target="&lt;Go to ISI&gt;://WOS:000220638200025
http://www.tandfonline.com/doi/pdf/10.1198/016214504000000250" TargetMode="External" /><Relationship Type="http://schemas.openxmlformats.org/officeDocument/2006/relationships/hyperlink" Id="rId50" Target="&lt;Go to ISI&gt;://WOS:000294452400005" TargetMode="External" /><Relationship Type="http://schemas.openxmlformats.org/officeDocument/2006/relationships/hyperlink" Id="rId84" Target="&lt;Go to ISI&gt;://WOS:000321261600055
http://onlinelibrary.wiley.com/store/10.1002/grl.50453/asset/grl50453.pdf?v=1&amp;t=hwwgz5ve&amp;s=b6b3fd669ce49506385e92cef81fef85c067dda3" TargetMode="External" /><Relationship Type="http://schemas.openxmlformats.org/officeDocument/2006/relationships/hyperlink" Id="rId127" Target="&lt;Go to ISI&gt;://WOS:000333402000038" TargetMode="External" /><Relationship Type="http://schemas.openxmlformats.org/officeDocument/2006/relationships/hyperlink" Id="rId121" Target="&lt;Go to ISI&gt;://WOS:000362795900005" TargetMode="External" /><Relationship Type="http://schemas.openxmlformats.org/officeDocument/2006/relationships/hyperlink" Id="rId70" Target="&lt;Go to ISI&gt;://WOS:000387463900007" TargetMode="External" /><Relationship Type="http://schemas.openxmlformats.org/officeDocument/2006/relationships/hyperlink" Id="rId100" Target="&lt;Go to ISI&gt;://WOS:000685507100001" TargetMode="External" /><Relationship Type="http://schemas.openxmlformats.org/officeDocument/2006/relationships/hyperlink" Id="rId110" Target="&lt;Go to ISI&gt;://WOS:000848696200001
https://www.nature.com/articles/s41561-022-01004-2" TargetMode="External" /><Relationship Type="http://schemas.openxmlformats.org/officeDocument/2006/relationships/hyperlink" Id="rId104" Target="http://www.ncbi.nlm.nih.gov/pubmed/25220765
http://onlinelibrary.wiley.com/store/10.1111/gcb.12741/asset/gcb12741.pdf?v=1&amp;t=iv4642nm&amp;s=92312b5bf857550fb0bc4781500cb247b54bfe79" TargetMode="External" /><Relationship Type="http://schemas.openxmlformats.org/officeDocument/2006/relationships/hyperlink" Id="rId92" Target="https://agupubs.onlinelibrary.wiley.com/doi/abs/10.1029/2005JC003183" TargetMode="External" /><Relationship Type="http://schemas.openxmlformats.org/officeDocument/2006/relationships/hyperlink" Id="rId52" Target="https://agupubs.onlinelibrary.wiley.com/doi/abs/10.1029/2007JG000608" TargetMode="External" /><Relationship Type="http://schemas.openxmlformats.org/officeDocument/2006/relationships/hyperlink" Id="rId72" Target="https://agupubs.onlinelibrary.wiley.com/doi/abs/10.1029/2019JG005600" TargetMode="External" /><Relationship Type="http://schemas.openxmlformats.org/officeDocument/2006/relationships/hyperlink" Id="rId58" Target="https://agupubs.onlinelibrary.wiley.com/doi/pdfdirect/10.1029/2019JG005474" TargetMode="External" /><Relationship Type="http://schemas.openxmlformats.org/officeDocument/2006/relationships/hyperlink" Id="rId119" Target="https://aslopubs.onlinelibrary.wiley.com/doi/abs/10.1002/lno.10247" TargetMode="External" /><Relationship Type="http://schemas.openxmlformats.org/officeDocument/2006/relationships/hyperlink" Id="rId60" Target="https://aslopubs.onlinelibrary.wiley.com/doi/abs/10.1002/lno.11392" TargetMode="External" /><Relationship Type="http://schemas.openxmlformats.org/officeDocument/2006/relationships/hyperlink" Id="rId62" Target="https://aslopubs.onlinelibrary.wiley.com/doi/abs/10.1002/lno.70063" TargetMode="External" /><Relationship Type="http://schemas.openxmlformats.org/officeDocument/2006/relationships/hyperlink" Id="rId90" Target="https://aslopubs.onlinelibrary.wiley.com/doi/abs/10.1002/lol2.10379" TargetMode="External" /><Relationship Type="http://schemas.openxmlformats.org/officeDocument/2006/relationships/hyperlink" Id="rId56" Target="https://aslopubs.onlinelibrary.wiley.com/doi/abs/10.1002/lol2.70080" TargetMode="External" /><Relationship Type="http://schemas.openxmlformats.org/officeDocument/2006/relationships/hyperlink" Id="rId114" Target="https://catalog.data.gov/dataset/national-inventory-of-dams-nid" TargetMode="External" /><Relationship Type="http://schemas.openxmlformats.org/officeDocument/2006/relationships/hyperlink" Id="rId74" Target="https://doi.org/10.1007/s10021-017-0205-1" TargetMode="External" /><Relationship Type="http://schemas.openxmlformats.org/officeDocument/2006/relationships/hyperlink" Id="rId76" Target="https://doi.org/10.1007/s10021-021-00730-9" TargetMode="External" /><Relationship Type="http://schemas.openxmlformats.org/officeDocument/2006/relationships/hyperlink" Id="rId94" Target="https://doi.org/10.1016/j.watres.2020.115465" TargetMode="External" /><Relationship Type="http://schemas.openxmlformats.org/officeDocument/2006/relationships/hyperlink" Id="rId80" Target="https://doi.org/10.1038/s41597-025-05600-w" TargetMode="External" /><Relationship Type="http://schemas.openxmlformats.org/officeDocument/2006/relationships/hyperlink" Id="rId106" Target="https://doi.org/10.1038/s41598-022-14569-0" TargetMode="External" /><Relationship Type="http://schemas.openxmlformats.org/officeDocument/2006/relationships/hyperlink" Id="rId54" Target="https://doi.org/10.1038/s44221-025-00532-6
https://www.nature.com/articles/s44221-025-00532-6.pdf" TargetMode="External" /><Relationship Type="http://schemas.openxmlformats.org/officeDocument/2006/relationships/hyperlink" Id="rId88" Target="https://doi.org/10.1088/1748-9326/ab7467" TargetMode="External" /><Relationship Type="http://schemas.openxmlformats.org/officeDocument/2006/relationships/hyperlink" Id="rId123" Target="https://doi.org/10.18637/jss.v077.i01" TargetMode="External" /><Relationship Type="http://schemas.openxmlformats.org/officeDocument/2006/relationships/hyperlink" Id="rId66" Target="https://dx.doi.org/10.1088/1748-9326/ac0be3
https://iopscience.iop.org/article/10.1088/1748-9326/ac0be3/pdf" TargetMode="External" /><Relationship Type="http://schemas.openxmlformats.org/officeDocument/2006/relationships/hyperlink" Id="rId97" Target="https://essd.copernicus.org/articles/13/4349/2021/" TargetMode="External" /><Relationship Type="http://schemas.openxmlformats.org/officeDocument/2006/relationships/hyperlink" Id="rId117" Target="https://nationallakesassessment.epa.gov/webreport" TargetMode="External" /><Relationship Type="http://schemas.openxmlformats.org/officeDocument/2006/relationships/hyperlink" Id="rId102" Target="https://www.R-project.org/" TargetMode="External" /><Relationship Type="http://schemas.openxmlformats.org/officeDocument/2006/relationships/hyperlink" Id="rId82" Target="https://www.journals.uchicago.edu/doi/abs/10.1086/697966" TargetMode="External" /><Relationship Type="http://schemas.openxmlformats.org/officeDocument/2006/relationships/hyperlink" Id="rId125" Target="https://www.ncbi.nlm.nih.gov/pubmed/27029549" TargetMode="External" /><Relationship Type="http://schemas.openxmlformats.org/officeDocument/2006/relationships/hyperlink" Id="rId86" Target="https://www.ncbi.nlm.nih.gov/pubmed/35115560
https://www.nature.com/articles/s41597-022-01132-9.pdf" TargetMode="External" /><Relationship Type="http://schemas.openxmlformats.org/officeDocument/2006/relationships/hyperlink" Id="rId108" Target="https://www.ncbi.nlm.nih.gov/pubmed/38267478
https://www.nature.com/articles/s41467-024-44715-3.pdf" TargetMode="External" /><Relationship Type="http://schemas.openxmlformats.org/officeDocument/2006/relationships/hyperlink" Id="rId48" Target="https://www.science.org/doi/abs/10.1126/sciadv.ade1112" TargetMode="External" /><Relationship Type="http://schemas.openxmlformats.org/officeDocument/2006/relationships/hyperlink" Id="rId129" Target="https://www.sciencedirect.com/science/article/pii/S001282522030492X" TargetMode="External" /><Relationship Type="http://schemas.openxmlformats.org/officeDocument/2006/relationships/hyperlink" Id="rId131" Target="https://www.sciencedirect.com/science/article/pii/S00431354240091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SuRGE stats paper</dc:title>
  <dc:creator/>
  <cp:keywords/>
  <dcterms:created xsi:type="dcterms:W3CDTF">2026-03-23T21:13:06Z</dcterms:created>
  <dcterms:modified xsi:type="dcterms:W3CDTF">2026-03-23T21:13:06Z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ecosystems.csl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