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C27" w:rsidRDefault="00040E2A">
      <w:pPr>
        <w:rPr>
          <w:rFonts w:cs="Times New Roman"/>
          <w:b/>
          <w:sz w:val="28"/>
        </w:rPr>
      </w:pPr>
      <w:bookmarkStart w:id="0" w:name="a-theory-of-policy-representation-assign"/>
      <w:bookmarkEnd w:id="0"/>
      <w:r w:rsidRPr="00040E2A">
        <w:rPr>
          <w:rFonts w:cs="Times New Roman"/>
          <w:b/>
          <w:sz w:val="28"/>
        </w:rPr>
        <w:t>A Theory of Pol</w:t>
      </w:r>
      <w:r>
        <w:rPr>
          <w:rFonts w:cs="Times New Roman"/>
          <w:b/>
          <w:sz w:val="28"/>
        </w:rPr>
        <w:t>icy Representation (Assignment 4</w:t>
      </w:r>
      <w:r w:rsidRPr="00040E2A">
        <w:rPr>
          <w:rFonts w:cs="Times New Roman"/>
          <w:b/>
          <w:sz w:val="28"/>
        </w:rPr>
        <w:t>)</w:t>
      </w:r>
    </w:p>
    <w:p w:rsidR="00040E2A" w:rsidRDefault="00040E2A">
      <w:pPr>
        <w:rPr>
          <w:rFonts w:ascii="Cambria" w:hAnsi="Cambria" w:cs="Times New Roman"/>
          <w:sz w:val="24"/>
        </w:rPr>
      </w:pPr>
      <w:r>
        <w:rPr>
          <w:rFonts w:ascii="Cambria" w:hAnsi="Cambria" w:cs="Times New Roman"/>
          <w:i/>
          <w:sz w:val="24"/>
        </w:rPr>
        <w:t>Robbie Richards</w:t>
      </w:r>
    </w:p>
    <w:p w:rsidR="00040E2A" w:rsidRPr="00040E2A" w:rsidRDefault="00040E2A" w:rsidP="00040E2A">
      <w:pPr>
        <w:rPr>
          <w:rFonts w:ascii="Cambria" w:hAnsi="Cambria" w:cs="Times New Roman"/>
          <w:sz w:val="24"/>
        </w:rPr>
      </w:pPr>
      <w:r w:rsidRPr="00040E2A">
        <w:rPr>
          <w:rFonts w:ascii="Cambria" w:hAnsi="Cambria" w:cs="Times New Roman"/>
          <w:sz w:val="24"/>
        </w:rPr>
        <w:t xml:space="preserve">Existing theories of the policy process provide important insights into how policy is made, but such </w:t>
      </w:r>
      <w:r w:rsidR="0063148C">
        <w:rPr>
          <w:rFonts w:ascii="Cambria" w:hAnsi="Cambria" w:cs="Times New Roman"/>
          <w:sz w:val="24"/>
        </w:rPr>
        <w:t xml:space="preserve">models are generally based on </w:t>
      </w:r>
      <w:r w:rsidRPr="00040E2A">
        <w:rPr>
          <w:rFonts w:ascii="Cambria" w:hAnsi="Cambria" w:cs="Times New Roman"/>
          <w:sz w:val="24"/>
        </w:rPr>
        <w:t>limited set</w:t>
      </w:r>
      <w:r w:rsidR="0063148C">
        <w:rPr>
          <w:rFonts w:ascii="Cambria" w:hAnsi="Cambria" w:cs="Times New Roman"/>
          <w:sz w:val="24"/>
        </w:rPr>
        <w:t>s</w:t>
      </w:r>
      <w:r w:rsidRPr="00040E2A">
        <w:rPr>
          <w:rFonts w:ascii="Cambria" w:hAnsi="Cambria" w:cs="Times New Roman"/>
          <w:sz w:val="24"/>
        </w:rPr>
        <w:t xml:space="preserve"> of cases. P</w:t>
      </w:r>
      <w:r>
        <w:rPr>
          <w:rFonts w:ascii="Cambria" w:hAnsi="Cambria" w:cs="Times New Roman"/>
          <w:sz w:val="24"/>
        </w:rPr>
        <w:t>unctuated equilibrium theory (PET; see Jones and Baumgartner 2005, True et al. 1999)</w:t>
      </w:r>
      <w:r w:rsidRPr="00040E2A">
        <w:rPr>
          <w:rFonts w:ascii="Cambria" w:hAnsi="Cambria" w:cs="Times New Roman"/>
          <w:sz w:val="24"/>
        </w:rPr>
        <w:t xml:space="preserve">, for example, is based mainly on budgeting, and has not really been tested on other policies. </w:t>
      </w:r>
      <w:proofErr w:type="spellStart"/>
      <w:r w:rsidRPr="00040E2A">
        <w:rPr>
          <w:rFonts w:ascii="Cambria" w:hAnsi="Cambria" w:cs="Times New Roman"/>
          <w:sz w:val="24"/>
        </w:rPr>
        <w:t>Kingdon's</w:t>
      </w:r>
      <w:proofErr w:type="spellEnd"/>
      <w:r w:rsidRPr="00040E2A">
        <w:rPr>
          <w:rFonts w:ascii="Cambria" w:hAnsi="Cambria" w:cs="Times New Roman"/>
          <w:sz w:val="24"/>
        </w:rPr>
        <w:t xml:space="preserve"> </w:t>
      </w:r>
      <w:r>
        <w:rPr>
          <w:rFonts w:ascii="Cambria" w:hAnsi="Cambria" w:cs="Times New Roman"/>
          <w:sz w:val="24"/>
        </w:rPr>
        <w:t xml:space="preserve">(1995) </w:t>
      </w:r>
      <w:r w:rsidRPr="00040E2A">
        <w:rPr>
          <w:rFonts w:ascii="Cambria" w:hAnsi="Cambria" w:cs="Times New Roman"/>
          <w:sz w:val="24"/>
        </w:rPr>
        <w:t xml:space="preserve">work mainly examines a few years' worth of observations on health and transportation policies. Incrementalism </w:t>
      </w:r>
      <w:r>
        <w:rPr>
          <w:rFonts w:ascii="Cambria" w:hAnsi="Cambria" w:cs="Times New Roman"/>
          <w:sz w:val="24"/>
        </w:rPr>
        <w:t>(</w:t>
      </w:r>
      <w:proofErr w:type="spellStart"/>
      <w:r>
        <w:rPr>
          <w:rFonts w:ascii="Cambria" w:hAnsi="Cambria" w:cs="Times New Roman"/>
          <w:sz w:val="24"/>
        </w:rPr>
        <w:t>Lindblom</w:t>
      </w:r>
      <w:proofErr w:type="spellEnd"/>
      <w:r>
        <w:rPr>
          <w:rFonts w:ascii="Cambria" w:hAnsi="Cambria" w:cs="Times New Roman"/>
          <w:sz w:val="24"/>
        </w:rPr>
        <w:t xml:space="preserve"> 1965) explains enduring </w:t>
      </w:r>
      <w:r w:rsidR="0063148C">
        <w:rPr>
          <w:rFonts w:ascii="Cambria" w:hAnsi="Cambria" w:cs="Times New Roman"/>
          <w:sz w:val="24"/>
        </w:rPr>
        <w:t>policy regimes</w:t>
      </w:r>
      <w:r>
        <w:rPr>
          <w:rFonts w:ascii="Cambria" w:hAnsi="Cambria" w:cs="Times New Roman"/>
          <w:sz w:val="24"/>
        </w:rPr>
        <w:t xml:space="preserve"> well, but </w:t>
      </w:r>
      <w:r w:rsidRPr="00040E2A">
        <w:rPr>
          <w:rFonts w:ascii="Cambria" w:hAnsi="Cambria" w:cs="Times New Roman"/>
          <w:sz w:val="24"/>
        </w:rPr>
        <w:t xml:space="preserve">is unable to explain </w:t>
      </w:r>
      <w:r>
        <w:rPr>
          <w:rFonts w:ascii="Cambria" w:hAnsi="Cambria" w:cs="Times New Roman"/>
          <w:sz w:val="24"/>
        </w:rPr>
        <w:t>the significant policy shocks that have occurred many times.</w:t>
      </w:r>
    </w:p>
    <w:p w:rsidR="00040E2A" w:rsidRDefault="0063148C" w:rsidP="00040E2A">
      <w:pPr>
        <w:rPr>
          <w:rFonts w:ascii="Cambria" w:hAnsi="Cambria" w:cs="Times New Roman"/>
          <w:sz w:val="24"/>
        </w:rPr>
      </w:pPr>
      <w:r>
        <w:rPr>
          <w:rFonts w:ascii="Cambria" w:hAnsi="Cambria" w:cs="Times New Roman"/>
          <w:sz w:val="24"/>
        </w:rPr>
        <w:t>Policy models also disagree in important ways, including in their predictions</w:t>
      </w:r>
      <w:r w:rsidR="00040E2A" w:rsidRPr="00040E2A">
        <w:rPr>
          <w:rFonts w:ascii="Cambria" w:hAnsi="Cambria" w:cs="Times New Roman"/>
          <w:sz w:val="24"/>
        </w:rPr>
        <w:t xml:space="preserve"> of who </w:t>
      </w:r>
      <w:r>
        <w:rPr>
          <w:rFonts w:ascii="Cambria" w:hAnsi="Cambria" w:cs="Times New Roman"/>
          <w:sz w:val="24"/>
        </w:rPr>
        <w:t>is leading in the policy process</w:t>
      </w:r>
      <w:r w:rsidR="00040E2A" w:rsidRPr="00040E2A">
        <w:rPr>
          <w:rFonts w:ascii="Cambria" w:hAnsi="Cambria" w:cs="Times New Roman"/>
          <w:sz w:val="24"/>
        </w:rPr>
        <w:t xml:space="preserve">. </w:t>
      </w:r>
      <w:proofErr w:type="spellStart"/>
      <w:r w:rsidR="00040E2A">
        <w:rPr>
          <w:rFonts w:ascii="Cambria" w:hAnsi="Cambria" w:cs="Times New Roman"/>
          <w:sz w:val="24"/>
        </w:rPr>
        <w:t>Kingdon</w:t>
      </w:r>
      <w:proofErr w:type="spellEnd"/>
      <w:r w:rsidR="00040E2A">
        <w:rPr>
          <w:rFonts w:ascii="Cambria" w:hAnsi="Cambria" w:cs="Times New Roman"/>
          <w:sz w:val="24"/>
        </w:rPr>
        <w:t xml:space="preserve"> </w:t>
      </w:r>
      <w:r w:rsidR="00040E2A" w:rsidRPr="00040E2A">
        <w:rPr>
          <w:rFonts w:ascii="Cambria" w:hAnsi="Cambria" w:cs="Times New Roman"/>
          <w:sz w:val="24"/>
        </w:rPr>
        <w:t xml:space="preserve">suggests that elites are the ones advocating changes, while the public imposes more of a constraining, negative influence. Conversely, both the incremental and advocacy coalition </w:t>
      </w:r>
      <w:r w:rsidR="00040E2A">
        <w:rPr>
          <w:rFonts w:ascii="Cambria" w:hAnsi="Cambria" w:cs="Times New Roman"/>
          <w:sz w:val="24"/>
        </w:rPr>
        <w:t xml:space="preserve">(Sabatier 1988) </w:t>
      </w:r>
      <w:r w:rsidR="00040E2A" w:rsidRPr="00040E2A">
        <w:rPr>
          <w:rFonts w:ascii="Cambria" w:hAnsi="Cambria" w:cs="Times New Roman"/>
          <w:sz w:val="24"/>
        </w:rPr>
        <w:t>models posit an activist public, frustrated in its wishes by the conservative actions of policy networks. We are thus left with competing theoretical predictions about who provokes policy change and who prevents it</w:t>
      </w:r>
      <w:r>
        <w:rPr>
          <w:rFonts w:ascii="Cambria" w:hAnsi="Cambria" w:cs="Times New Roman"/>
          <w:sz w:val="24"/>
        </w:rPr>
        <w:t>, with completely different cases backing up each model</w:t>
      </w:r>
      <w:r w:rsidR="00040E2A" w:rsidRPr="00040E2A">
        <w:rPr>
          <w:rFonts w:ascii="Cambria" w:hAnsi="Cambria" w:cs="Times New Roman"/>
          <w:sz w:val="24"/>
        </w:rPr>
        <w:t>.</w:t>
      </w:r>
    </w:p>
    <w:p w:rsidR="00040E2A" w:rsidRDefault="00040E2A" w:rsidP="00040E2A">
      <w:pPr>
        <w:rPr>
          <w:rFonts w:ascii="Cambria" w:hAnsi="Cambria" w:cs="Times New Roman"/>
          <w:sz w:val="24"/>
        </w:rPr>
      </w:pPr>
      <w:r w:rsidRPr="00040E2A">
        <w:rPr>
          <w:rFonts w:ascii="Cambria" w:hAnsi="Cambria" w:cs="Times New Roman"/>
          <w:sz w:val="24"/>
        </w:rPr>
        <w:t>Without devaluing these existing theories, I argue that our understanding of and ability to shape the policy process could be enhanced by a model that is more general</w:t>
      </w:r>
      <w:r w:rsidR="0063148C">
        <w:rPr>
          <w:rFonts w:ascii="Cambria" w:hAnsi="Cambria" w:cs="Times New Roman"/>
          <w:sz w:val="24"/>
        </w:rPr>
        <w:t>izable</w:t>
      </w:r>
      <w:r w:rsidRPr="00040E2A">
        <w:rPr>
          <w:rFonts w:ascii="Cambria" w:hAnsi="Cambria" w:cs="Times New Roman"/>
          <w:sz w:val="24"/>
        </w:rPr>
        <w:t xml:space="preserve">. By building on previous policy models, I believe we can construct such a model, and I aim to lay the beginnings of </w:t>
      </w:r>
      <w:r>
        <w:rPr>
          <w:rFonts w:ascii="Cambria" w:hAnsi="Cambria" w:cs="Times New Roman"/>
          <w:sz w:val="24"/>
        </w:rPr>
        <w:t>such a model</w:t>
      </w:r>
      <w:r w:rsidRPr="00040E2A">
        <w:rPr>
          <w:rFonts w:ascii="Cambria" w:hAnsi="Cambria" w:cs="Times New Roman"/>
          <w:sz w:val="24"/>
        </w:rPr>
        <w:t xml:space="preserve"> in my dissertation research.</w:t>
      </w:r>
    </w:p>
    <w:p w:rsidR="00040E2A" w:rsidRDefault="00040E2A" w:rsidP="00040E2A">
      <w:pPr>
        <w:rPr>
          <w:rFonts w:ascii="Cambria" w:hAnsi="Cambria" w:cs="Times New Roman"/>
          <w:sz w:val="24"/>
        </w:rPr>
      </w:pPr>
      <w:r>
        <w:rPr>
          <w:rFonts w:ascii="Cambria" w:hAnsi="Cambria" w:cs="Times New Roman"/>
          <w:sz w:val="24"/>
        </w:rPr>
        <w:t>Policy</w:t>
      </w:r>
      <w:r w:rsidRPr="00040E2A">
        <w:rPr>
          <w:rFonts w:ascii="Cambria" w:hAnsi="Cambria" w:cs="Times New Roman"/>
          <w:sz w:val="24"/>
        </w:rPr>
        <w:t xml:space="preserve"> models suggest that while elites often lead, there is some room for the public to exert independent influence rather than to merely constrain. In theo</w:t>
      </w:r>
      <w:bookmarkStart w:id="1" w:name="_GoBack"/>
      <w:bookmarkEnd w:id="1"/>
      <w:r w:rsidRPr="00040E2A">
        <w:rPr>
          <w:rFonts w:ascii="Cambria" w:hAnsi="Cambria" w:cs="Times New Roman"/>
          <w:sz w:val="24"/>
        </w:rPr>
        <w:t>ry, we might therefore expect both elites and public opinion to have effects on policy makers. This influence, including the relative strength of the two actors, will vary based on characteristics of the two, the temporal and issue contexts prevailing in a given case, and the institutions and structures shaping t</w:t>
      </w:r>
      <w:r>
        <w:rPr>
          <w:rFonts w:ascii="Cambria" w:hAnsi="Cambria" w:cs="Times New Roman"/>
          <w:sz w:val="24"/>
        </w:rPr>
        <w:t>he debate.</w:t>
      </w:r>
    </w:p>
    <w:p w:rsidR="00040E2A" w:rsidRPr="00040E2A" w:rsidRDefault="00040E2A" w:rsidP="00040E2A">
      <w:pPr>
        <w:rPr>
          <w:rFonts w:ascii="Cambria" w:hAnsi="Cambria" w:cs="Times New Roman"/>
          <w:sz w:val="24"/>
        </w:rPr>
      </w:pPr>
      <w:r>
        <w:rPr>
          <w:rFonts w:ascii="Cambria" w:hAnsi="Cambria" w:cs="Times New Roman"/>
          <w:sz w:val="24"/>
        </w:rPr>
        <w:t xml:space="preserve">Based on past research on public opinion and political institutions, we might expect public opinion to </w:t>
      </w:r>
      <w:r w:rsidRPr="00040E2A">
        <w:rPr>
          <w:rFonts w:ascii="Cambria" w:hAnsi="Cambria" w:cs="Times New Roman"/>
          <w:sz w:val="24"/>
        </w:rPr>
        <w:t>exert more consistent influence on representatives' behavior</w:t>
      </w:r>
      <w:r>
        <w:rPr>
          <w:rFonts w:ascii="Cambria" w:hAnsi="Cambria" w:cs="Times New Roman"/>
          <w:sz w:val="24"/>
        </w:rPr>
        <w:t xml:space="preserve"> under the following conditions</w:t>
      </w:r>
      <w:r w:rsidRPr="00040E2A">
        <w:rPr>
          <w:rFonts w:ascii="Cambria" w:hAnsi="Cambria" w:cs="Times New Roman"/>
          <w:sz w:val="24"/>
        </w:rPr>
        <w:t>:</w:t>
      </w:r>
    </w:p>
    <w:p w:rsidR="00040E2A" w:rsidRPr="00040E2A" w:rsidRDefault="00040E2A" w:rsidP="00040E2A">
      <w:pPr>
        <w:pStyle w:val="ListParagraph"/>
        <w:numPr>
          <w:ilvl w:val="0"/>
          <w:numId w:val="1"/>
        </w:numPr>
        <w:rPr>
          <w:rFonts w:ascii="Cambria" w:hAnsi="Cambria" w:cs="Times New Roman"/>
          <w:sz w:val="24"/>
        </w:rPr>
      </w:pPr>
      <w:r w:rsidRPr="00040E2A">
        <w:rPr>
          <w:rFonts w:ascii="Cambria" w:hAnsi="Cambria" w:cs="Times New Roman"/>
          <w:sz w:val="24"/>
        </w:rPr>
        <w:t>When public opinion clearly favors a change from the status quo</w:t>
      </w:r>
    </w:p>
    <w:p w:rsidR="00040E2A" w:rsidRPr="00040E2A" w:rsidRDefault="00040E2A" w:rsidP="00040E2A">
      <w:pPr>
        <w:pStyle w:val="ListParagraph"/>
        <w:numPr>
          <w:ilvl w:val="0"/>
          <w:numId w:val="1"/>
        </w:numPr>
        <w:rPr>
          <w:rFonts w:ascii="Cambria" w:hAnsi="Cambria" w:cs="Times New Roman"/>
          <w:sz w:val="24"/>
        </w:rPr>
      </w:pPr>
      <w:r w:rsidRPr="00040E2A">
        <w:rPr>
          <w:rFonts w:ascii="Cambria" w:hAnsi="Cambria" w:cs="Times New Roman"/>
          <w:sz w:val="24"/>
        </w:rPr>
        <w:t>When public opinion has a low variance</w:t>
      </w:r>
    </w:p>
    <w:p w:rsidR="00040E2A" w:rsidRPr="00040E2A" w:rsidRDefault="00040E2A" w:rsidP="00040E2A">
      <w:pPr>
        <w:pStyle w:val="ListParagraph"/>
        <w:numPr>
          <w:ilvl w:val="0"/>
          <w:numId w:val="1"/>
        </w:numPr>
        <w:rPr>
          <w:rFonts w:ascii="Cambria" w:hAnsi="Cambria" w:cs="Times New Roman"/>
          <w:sz w:val="24"/>
        </w:rPr>
      </w:pPr>
      <w:r w:rsidRPr="00040E2A">
        <w:rPr>
          <w:rFonts w:ascii="Cambria" w:hAnsi="Cambria" w:cs="Times New Roman"/>
          <w:sz w:val="24"/>
        </w:rPr>
        <w:t>When there is more publicly available information about an issue</w:t>
      </w:r>
    </w:p>
    <w:p w:rsidR="00040E2A" w:rsidRDefault="00040E2A" w:rsidP="00040E2A">
      <w:pPr>
        <w:pStyle w:val="ListParagraph"/>
        <w:numPr>
          <w:ilvl w:val="0"/>
          <w:numId w:val="1"/>
        </w:numPr>
        <w:rPr>
          <w:rFonts w:ascii="Cambria" w:hAnsi="Cambria" w:cs="Times New Roman"/>
          <w:sz w:val="24"/>
        </w:rPr>
      </w:pPr>
      <w:r w:rsidRPr="00040E2A">
        <w:rPr>
          <w:rFonts w:ascii="Cambria" w:hAnsi="Cambria" w:cs="Times New Roman"/>
          <w:sz w:val="24"/>
        </w:rPr>
        <w:t>When an issue is more salient overall</w:t>
      </w:r>
    </w:p>
    <w:p w:rsidR="00040E2A" w:rsidRDefault="00040E2A" w:rsidP="00040E2A">
      <w:pPr>
        <w:pStyle w:val="ListParagraph"/>
        <w:numPr>
          <w:ilvl w:val="0"/>
          <w:numId w:val="1"/>
        </w:numPr>
        <w:rPr>
          <w:rFonts w:ascii="Cambria" w:hAnsi="Cambria" w:cs="Times New Roman"/>
          <w:sz w:val="24"/>
        </w:rPr>
      </w:pPr>
      <w:r>
        <w:rPr>
          <w:rFonts w:ascii="Cambria" w:hAnsi="Cambria" w:cs="Times New Roman"/>
          <w:sz w:val="24"/>
        </w:rPr>
        <w:t>When the legislators are not “experts” on an issue (operationalized as members of the legislative committee hearing the policy)</w:t>
      </w:r>
    </w:p>
    <w:p w:rsidR="00040E2A" w:rsidRDefault="00040E2A" w:rsidP="00040E2A">
      <w:pPr>
        <w:pStyle w:val="ListParagraph"/>
        <w:numPr>
          <w:ilvl w:val="0"/>
          <w:numId w:val="1"/>
        </w:numPr>
        <w:rPr>
          <w:rFonts w:ascii="Cambria" w:hAnsi="Cambria" w:cs="Times New Roman"/>
          <w:sz w:val="24"/>
        </w:rPr>
      </w:pPr>
      <w:r>
        <w:rPr>
          <w:rFonts w:ascii="Cambria" w:hAnsi="Cambria" w:cs="Times New Roman"/>
          <w:sz w:val="24"/>
        </w:rPr>
        <w:t>When political parties are weak, based on the theory of conditional party government (Aldrich 2011)</w:t>
      </w:r>
    </w:p>
    <w:p w:rsidR="00040E2A" w:rsidRDefault="00040E2A" w:rsidP="00040E2A">
      <w:pPr>
        <w:pStyle w:val="ListParagraph"/>
        <w:numPr>
          <w:ilvl w:val="0"/>
          <w:numId w:val="1"/>
        </w:numPr>
        <w:rPr>
          <w:rFonts w:ascii="Cambria" w:hAnsi="Cambria" w:cs="Times New Roman"/>
          <w:sz w:val="24"/>
        </w:rPr>
      </w:pPr>
      <w:r>
        <w:rPr>
          <w:rFonts w:ascii="Cambria" w:hAnsi="Cambria" w:cs="Times New Roman"/>
          <w:sz w:val="24"/>
        </w:rPr>
        <w:lastRenderedPageBreak/>
        <w:t>When policies that limit the ability of certain groups to amplify their influence, such as campaign finance restrictions, are in place.</w:t>
      </w:r>
    </w:p>
    <w:p w:rsidR="00040E2A" w:rsidRDefault="00040E2A" w:rsidP="00040E2A">
      <w:pPr>
        <w:rPr>
          <w:rFonts w:ascii="Cambria" w:hAnsi="Cambria" w:cs="Times New Roman"/>
          <w:sz w:val="24"/>
        </w:rPr>
      </w:pPr>
    </w:p>
    <w:p w:rsidR="00040E2A" w:rsidRDefault="00040E2A" w:rsidP="00040E2A">
      <w:pPr>
        <w:rPr>
          <w:rFonts w:cs="Times New Roman"/>
          <w:b/>
          <w:sz w:val="28"/>
        </w:rPr>
      </w:pPr>
      <w:r w:rsidRPr="00040E2A">
        <w:rPr>
          <w:rFonts w:cs="Times New Roman"/>
          <w:b/>
          <w:sz w:val="28"/>
        </w:rPr>
        <w:t>References</w:t>
      </w:r>
    </w:p>
    <w:p w:rsidR="00040E2A" w:rsidRDefault="00040E2A" w:rsidP="00040E2A">
      <w:pPr>
        <w:rPr>
          <w:rFonts w:ascii="Cambria" w:hAnsi="Cambria" w:cs="Times New Roman"/>
          <w:sz w:val="24"/>
        </w:rPr>
      </w:pPr>
      <w:r w:rsidRPr="00040E2A">
        <w:rPr>
          <w:rFonts w:ascii="Cambria" w:hAnsi="Cambria" w:cs="Times New Roman"/>
          <w:sz w:val="24"/>
        </w:rPr>
        <w:t xml:space="preserve">Aldrich, John H. 2011. </w:t>
      </w:r>
      <w:r w:rsidRPr="00040E2A">
        <w:rPr>
          <w:rFonts w:ascii="Cambria" w:hAnsi="Cambria" w:cs="Times New Roman"/>
          <w:i/>
          <w:sz w:val="24"/>
        </w:rPr>
        <w:t>Why Parties? A Second Look</w:t>
      </w:r>
      <w:r w:rsidRPr="00040E2A">
        <w:rPr>
          <w:rFonts w:ascii="Cambria" w:hAnsi="Cambria" w:cs="Times New Roman"/>
          <w:sz w:val="24"/>
        </w:rPr>
        <w:t>. Chicago: University of Chicago Press.</w:t>
      </w:r>
    </w:p>
    <w:p w:rsidR="00040E2A" w:rsidRDefault="00040E2A" w:rsidP="00040E2A">
      <w:pPr>
        <w:rPr>
          <w:rFonts w:ascii="Cambria" w:hAnsi="Cambria" w:cs="Times New Roman"/>
          <w:sz w:val="24"/>
        </w:rPr>
      </w:pPr>
      <w:r w:rsidRPr="00040E2A">
        <w:rPr>
          <w:rFonts w:ascii="Cambria" w:hAnsi="Cambria" w:cs="Times New Roman"/>
          <w:sz w:val="24"/>
        </w:rPr>
        <w:t xml:space="preserve">Jones, Bryan D., and Frank R. Baumgartner. 2005. </w:t>
      </w:r>
      <w:r w:rsidRPr="00040E2A">
        <w:rPr>
          <w:rFonts w:ascii="Cambria" w:hAnsi="Cambria" w:cs="Times New Roman"/>
          <w:i/>
          <w:sz w:val="24"/>
        </w:rPr>
        <w:t>The Politics of Attention: How Government Prioritizes Problems</w:t>
      </w:r>
      <w:r w:rsidRPr="00040E2A">
        <w:rPr>
          <w:rFonts w:ascii="Cambria" w:hAnsi="Cambria" w:cs="Times New Roman"/>
          <w:sz w:val="24"/>
        </w:rPr>
        <w:t>. University of Chicago Press, Chicago.</w:t>
      </w:r>
    </w:p>
    <w:p w:rsidR="00040E2A" w:rsidRPr="00040E2A" w:rsidRDefault="00040E2A" w:rsidP="00040E2A">
      <w:pPr>
        <w:rPr>
          <w:rFonts w:ascii="Cambria" w:hAnsi="Cambria" w:cs="Times New Roman"/>
          <w:sz w:val="24"/>
        </w:rPr>
      </w:pPr>
      <w:proofErr w:type="spellStart"/>
      <w:r w:rsidRPr="00040E2A">
        <w:rPr>
          <w:rFonts w:ascii="Cambria" w:hAnsi="Cambria" w:cs="Times New Roman"/>
          <w:sz w:val="24"/>
        </w:rPr>
        <w:t>Kingdon</w:t>
      </w:r>
      <w:proofErr w:type="spellEnd"/>
      <w:r w:rsidRPr="00040E2A">
        <w:rPr>
          <w:rFonts w:ascii="Cambria" w:hAnsi="Cambria" w:cs="Times New Roman"/>
          <w:sz w:val="24"/>
        </w:rPr>
        <w:t xml:space="preserve">, John W. 1995. </w:t>
      </w:r>
      <w:r w:rsidRPr="00040E2A">
        <w:rPr>
          <w:rFonts w:ascii="Cambria" w:hAnsi="Cambria" w:cs="Times New Roman"/>
          <w:i/>
          <w:sz w:val="24"/>
        </w:rPr>
        <w:t>Agendas, Alternatives, and Public Policies</w:t>
      </w:r>
      <w:r w:rsidRPr="00040E2A">
        <w:rPr>
          <w:rFonts w:ascii="Cambria" w:hAnsi="Cambria" w:cs="Times New Roman"/>
          <w:sz w:val="24"/>
        </w:rPr>
        <w:t>. 2nd ed. HarperCollins.</w:t>
      </w:r>
    </w:p>
    <w:p w:rsidR="00040E2A" w:rsidRPr="00040E2A" w:rsidRDefault="00040E2A" w:rsidP="00040E2A">
      <w:pPr>
        <w:rPr>
          <w:rFonts w:ascii="Cambria" w:hAnsi="Cambria" w:cs="Times New Roman"/>
          <w:sz w:val="24"/>
        </w:rPr>
      </w:pPr>
      <w:proofErr w:type="spellStart"/>
      <w:r w:rsidRPr="00040E2A">
        <w:rPr>
          <w:rFonts w:ascii="Cambria" w:hAnsi="Cambria" w:cs="Times New Roman"/>
          <w:sz w:val="24"/>
        </w:rPr>
        <w:t>Lindblom</w:t>
      </w:r>
      <w:proofErr w:type="spellEnd"/>
      <w:r w:rsidRPr="00040E2A">
        <w:rPr>
          <w:rFonts w:ascii="Cambria" w:hAnsi="Cambria" w:cs="Times New Roman"/>
          <w:sz w:val="24"/>
        </w:rPr>
        <w:t xml:space="preserve">, Charles E. 1965. </w:t>
      </w:r>
      <w:r w:rsidRPr="00040E2A">
        <w:rPr>
          <w:rFonts w:ascii="Cambria" w:hAnsi="Cambria" w:cs="Times New Roman"/>
          <w:i/>
          <w:sz w:val="24"/>
        </w:rPr>
        <w:t>The Policy-Making Process</w:t>
      </w:r>
      <w:r w:rsidRPr="00040E2A">
        <w:rPr>
          <w:rFonts w:ascii="Cambria" w:hAnsi="Cambria" w:cs="Times New Roman"/>
          <w:sz w:val="24"/>
        </w:rPr>
        <w:t>. Englewood Cliffs, NJ: Prentice-Hall.</w:t>
      </w:r>
    </w:p>
    <w:p w:rsidR="00040E2A" w:rsidRPr="00040E2A" w:rsidRDefault="00040E2A" w:rsidP="00040E2A">
      <w:pPr>
        <w:rPr>
          <w:rFonts w:ascii="Cambria" w:hAnsi="Cambria" w:cs="Times New Roman"/>
          <w:sz w:val="24"/>
        </w:rPr>
      </w:pPr>
      <w:r w:rsidRPr="00040E2A">
        <w:rPr>
          <w:rFonts w:ascii="Cambria" w:hAnsi="Cambria" w:cs="Times New Roman"/>
          <w:sz w:val="24"/>
        </w:rPr>
        <w:t xml:space="preserve">Sabatier, Paul A. 1988. “An Advocacy Coalition Framework of Policy Change and the Role of Policy-Oriented Learning Therein.” </w:t>
      </w:r>
      <w:r w:rsidRPr="00040E2A">
        <w:rPr>
          <w:rFonts w:ascii="Cambria" w:hAnsi="Cambria" w:cs="Times New Roman"/>
          <w:i/>
          <w:sz w:val="24"/>
        </w:rPr>
        <w:t>Policy Sciences</w:t>
      </w:r>
      <w:r w:rsidRPr="00040E2A">
        <w:rPr>
          <w:rFonts w:ascii="Cambria" w:hAnsi="Cambria" w:cs="Times New Roman"/>
          <w:sz w:val="24"/>
        </w:rPr>
        <w:t xml:space="preserve"> 21(2-3): 129–68. </w:t>
      </w:r>
      <w:hyperlink r:id="rId5">
        <w:r w:rsidRPr="00040E2A">
          <w:rPr>
            <w:rStyle w:val="Hyperlink"/>
            <w:rFonts w:ascii="Cambria" w:hAnsi="Cambria" w:cs="Times New Roman"/>
            <w:sz w:val="24"/>
          </w:rPr>
          <w:t>http://dx.doi.org/10.1007/BF00136406</w:t>
        </w:r>
      </w:hyperlink>
      <w:r w:rsidRPr="00040E2A">
        <w:rPr>
          <w:rFonts w:ascii="Cambria" w:hAnsi="Cambria" w:cs="Times New Roman"/>
          <w:sz w:val="24"/>
        </w:rPr>
        <w:t>.</w:t>
      </w:r>
    </w:p>
    <w:p w:rsidR="00040E2A" w:rsidRPr="00040E2A" w:rsidRDefault="00040E2A" w:rsidP="00040E2A">
      <w:pPr>
        <w:rPr>
          <w:rFonts w:ascii="Cambria" w:hAnsi="Cambria" w:cs="Times New Roman"/>
          <w:sz w:val="24"/>
        </w:rPr>
      </w:pPr>
      <w:r w:rsidRPr="00040E2A">
        <w:rPr>
          <w:rFonts w:ascii="Cambria" w:hAnsi="Cambria" w:cs="Times New Roman"/>
          <w:sz w:val="24"/>
        </w:rPr>
        <w:t xml:space="preserve">True, James L., Bryan D. Jones, and Frank R. Baumgartner. 1999. “Punctuated-Equilibrium Theory: Explaining Stability and Change in American Policymaking.” In </w:t>
      </w:r>
      <w:r w:rsidRPr="00040E2A">
        <w:rPr>
          <w:rFonts w:ascii="Cambria" w:hAnsi="Cambria" w:cs="Times New Roman"/>
          <w:i/>
          <w:sz w:val="24"/>
        </w:rPr>
        <w:t>Theories of the Policy Process</w:t>
      </w:r>
      <w:r w:rsidRPr="00040E2A">
        <w:rPr>
          <w:rFonts w:ascii="Cambria" w:hAnsi="Cambria" w:cs="Times New Roman"/>
          <w:sz w:val="24"/>
        </w:rPr>
        <w:t>, ed. Paul A. Sabatier. Westview Press, 97–116.</w:t>
      </w:r>
    </w:p>
    <w:sectPr w:rsidR="00040E2A" w:rsidRPr="0004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5FBFBFA"/>
    <w:multiLevelType w:val="multilevel"/>
    <w:tmpl w:val="4E2E9F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2C60160"/>
    <w:multiLevelType w:val="hybridMultilevel"/>
    <w:tmpl w:val="C75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E6F3C"/>
    <w:multiLevelType w:val="hybridMultilevel"/>
    <w:tmpl w:val="4BE2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73F"/>
    <w:rsid w:val="00040E2A"/>
    <w:rsid w:val="000D4388"/>
    <w:rsid w:val="001152FB"/>
    <w:rsid w:val="0015273F"/>
    <w:rsid w:val="00215B84"/>
    <w:rsid w:val="002164AA"/>
    <w:rsid w:val="00223988"/>
    <w:rsid w:val="002C2F29"/>
    <w:rsid w:val="003B0C27"/>
    <w:rsid w:val="003E5F36"/>
    <w:rsid w:val="00405C09"/>
    <w:rsid w:val="004C5400"/>
    <w:rsid w:val="005A6992"/>
    <w:rsid w:val="005F2E79"/>
    <w:rsid w:val="00612CE7"/>
    <w:rsid w:val="0063148C"/>
    <w:rsid w:val="00670AEC"/>
    <w:rsid w:val="006747F3"/>
    <w:rsid w:val="006A1E54"/>
    <w:rsid w:val="006B6C79"/>
    <w:rsid w:val="00702523"/>
    <w:rsid w:val="007227E9"/>
    <w:rsid w:val="00771F4E"/>
    <w:rsid w:val="007D14F7"/>
    <w:rsid w:val="007E00C2"/>
    <w:rsid w:val="00964531"/>
    <w:rsid w:val="00B21133"/>
    <w:rsid w:val="00BB449D"/>
    <w:rsid w:val="00BB7595"/>
    <w:rsid w:val="00BE72BE"/>
    <w:rsid w:val="00C20066"/>
    <w:rsid w:val="00C6402F"/>
    <w:rsid w:val="00FE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FF142-4B49-4969-912B-DA27D44B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E2A"/>
    <w:pPr>
      <w:ind w:left="720"/>
      <w:contextualSpacing/>
    </w:pPr>
  </w:style>
  <w:style w:type="character" w:styleId="Hyperlink">
    <w:name w:val="Hyperlink"/>
    <w:basedOn w:val="DefaultParagraphFont"/>
    <w:uiPriority w:val="99"/>
    <w:unhideWhenUsed/>
    <w:rsid w:val="00040E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007/BF001364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3</cp:revision>
  <dcterms:created xsi:type="dcterms:W3CDTF">2015-10-06T19:10:00Z</dcterms:created>
  <dcterms:modified xsi:type="dcterms:W3CDTF">2015-10-06T19:34:00Z</dcterms:modified>
</cp:coreProperties>
</file>