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16243B"/>
          <w:sz w:val="64"/>
          <w:szCs w:val="64"/>
        </w:rPr>
        <w:t xml:space="preserve">plumbline</w:t>
      </w:r>
      <w:r>
        <w:rPr>
          <w:sz w:val="64"/>
          <w:szCs w:val="64"/>
        </w:rPr>
        <w:t xml:space="preserve"/>
      </w:r>
    </w:p>
    <w:p>
      <w:pPr>
        <w:spacing w:after="60"/>
        <w:jc w:val="center"/>
      </w:pPr>
      <w:r>
        <w:rPr>
          <w:color w:val="1F7A6F"/>
          <w:spacing w:val="60"/>
          <w:sz w:val="22"/>
          <w:szCs w:val="22"/>
        </w:rPr>
        <w:t xml:space="preserve">TRUE BY MEASURE</w:t>
      </w:r>
    </w:p>
    <w:p>
      <w:pPr>
        <w:spacing w:after="40" w:before="240"/>
        <w:jc w:val="center"/>
      </w:pPr>
      <w:r>
        <w:rPr>
          <w:b/>
          <w:bCs/>
          <w:color w:val="16243B"/>
          <w:sz w:val="40"/>
          <w:szCs w:val="40"/>
        </w:rPr>
        <w:t xml:space="preserve">Architecture &amp; Design</w:t>
      </w:r>
    </w:p>
    <w:p>
      <w:pPr>
        <w:spacing w:after="40"/>
        <w:jc w:val="center"/>
      </w:pPr>
      <w:r>
        <w:rPr>
          <w:i/>
          <w:iCs/>
          <w:color w:val="5B6470"/>
          <w:sz w:val="22"/>
          <w:szCs w:val="22"/>
        </w:rPr>
        <w:t xml:space="preserve">A layered re-architecture of Plumbline Studio — a thin HTML front-end with no math, an encapsulated proof-carrying engine, and dedicated database and LLM interaction layers.</w:t>
      </w:r>
    </w:p>
    <w:p>
      <w:pPr>
        <w:spacing w:before="600"/>
        <w:jc w:val="center"/>
      </w:pPr>
      <w:r>
        <w:rPr>
          <w:color w:val="5B6470"/>
          <w:sz w:val="20"/>
          <w:szCs w:val="20"/>
        </w:rPr>
        <w:t xml:space="preserve">Prepared for Robert Samuel · Confidential working note</w:t>
      </w:r>
    </w:p>
    <w:p>
      <w:r>
        <w:br w:type="page"/>
      </w:r>
    </w:p>
    <w:p>
      <w:pPr>
        <w:spacing w:after="120"/>
      </w:pPr>
      <w:r>
        <w:rPr>
          <w:b/>
          <w:bCs/>
          <w:color w:val="16243B"/>
          <w:sz w:val="26"/>
          <w:szCs w:val="26"/>
        </w:rPr>
        <w:t xml:space="preserve">Contents</w:t>
      </w:r>
    </w:p>
    <w:p>
      <w:pPr>
        <w:spacing w:after="120"/>
      </w:pPr>
      <w:r>
        <w:rPr>
          <w:i/>
          <w:iCs/>
          <w:color w:val="5B6470"/>
          <w:sz w:val="18"/>
          <w:szCs w:val="18"/>
        </w:rPr>
        <w:t xml:space="preserve">Right-click and choose “Update Field” to populate page numbers.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6243B"/>
        </w:rPr>
        <w:t xml:space="preserve">1.  Overview and design principles</w:t>
      </w:r>
    </w:p>
    <w:p>
      <w:pPr>
        <w:spacing w:after="120" w:line="276"/>
      </w:pPr>
      <w:r>
        <w:rPr>
          <w:color w:val="222222"/>
        </w:rPr>
        <w:t xml:space="preserve">Plumbline models a business process as a finite-state machine (FSM), runs six structural improvement tools over it, and — crucially — certifies every finding: it returns a machine-checkable certificate, or the counterexample that is itself the finding. This document specifies the layered architecture that turns the single-file demo into a maintainable product without losing its defining property: findings are computed and proven, not asserted.</w:t>
      </w:r>
    </w:p>
    <w:p>
      <w:pPr>
        <w:spacing w:after="120" w:line="276"/>
      </w:pPr>
      <w:r>
        <w:rPr>
          <w:color w:val="222222"/>
        </w:rPr>
        <w:t xml:space="preserve">The re-architecture is organised around four requirements, stated by the brief and preserved throughout: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</w:rPr>
        <w:t xml:space="preserve">The HTML is mostly front-end and contains </w:t>
      </w:r>
      <w:r>
        <w:rPr>
          <w:b/>
          <w:bCs/>
          <w:color w:val="222222"/>
        </w:rPr>
        <w:t xml:space="preserve">no math</w:t>
      </w:r>
      <w:r>
        <w:rPr>
          <w:color w:val="222222"/>
        </w:rPr>
        <w:t xml:space="preserve"> — the presentation layer only calls facades.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</w:rPr>
        <w:t xml:space="preserve">The math is </w:t>
      </w:r>
      <w:r>
        <w:rPr>
          <w:b/>
          <w:bCs/>
          <w:color w:val="222222"/>
        </w:rPr>
        <w:t xml:space="preserve">encapsulated</w:t>
      </w:r>
      <w:r>
        <w:rPr>
          <w:color w:val="222222"/>
        </w:rPr>
        <w:t xml:space="preserve"> behind a single engine facade (the FSM analysers, the cost model, and the Lemma proof kernel).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</w:rPr>
        <w:t xml:space="preserve">A dedicated </w:t>
      </w:r>
      <w:r>
        <w:rPr>
          <w:b/>
          <w:bCs/>
          <w:color w:val="222222"/>
        </w:rPr>
        <w:t xml:space="preserve">database interaction layer</w:t>
      </w:r>
      <w:r>
        <w:rPr>
          <w:color w:val="222222"/>
        </w:rPr>
        <w:t xml:space="preserve"> is the only channel to persistent state (users, saved workflows, history).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</w:rPr>
        <w:t xml:space="preserve">A dedicated </w:t>
      </w:r>
      <w:r>
        <w:rPr>
          <w:b/>
          <w:bCs/>
          <w:color w:val="222222"/>
        </w:rPr>
        <w:t xml:space="preserve">LLM interaction layer</w:t>
      </w:r>
      <w:r>
        <w:rPr>
          <w:color w:val="222222"/>
        </w:rPr>
        <w:t xml:space="preserve"> provides advisory language (stage names, plain-English explanations) without ever certifying a result.</w:t>
      </w:r>
    </w:p>
    <w:p>
      <w:pPr>
        <w:pStyle w:val="Heading2"/>
        <w:spacing w:after="90" w:before="220"/>
      </w:pPr>
      <w:r>
        <w:rPr>
          <w:b/>
          <w:bCs/>
          <w:color w:val="1F7A6F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222222"/>
        </w:rPr>
        <w:t xml:space="preserve">Propose, then dispose. </w:t>
      </w:r>
      <w:r>
        <w:rPr>
          <w:color w:val="222222"/>
        </w:rPr>
        <w:t xml:space="preserve">Analysers are fast and heuristic; they propose a result and a witness. Lemma is small and conservative; it certifies the witness or refutes it.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222222"/>
        </w:rPr>
        <w:t xml:space="preserve">Certificate or counterexample. </w:t>
      </w:r>
      <w:r>
        <w:rPr>
          <w:color w:val="222222"/>
        </w:rPr>
        <w:t xml:space="preserve">Every structural finding surfaces only once Lemma has produced an independently checkable certificate — or the counterexample the client is paying to discover.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222222"/>
        </w:rPr>
        <w:t xml:space="preserve">One boundary per concern. </w:t>
      </w:r>
      <w:r>
        <w:rPr>
          <w:color w:val="222222"/>
        </w:rPr>
        <w:t xml:space="preserve">Each cross-layer contract is a single global facade: PlumblineEngine, PlumblineData, PlumblineLLM. Nothing reaches around a facade.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222222"/>
        </w:rPr>
        <w:t xml:space="preserve">Offline-first. </w:t>
      </w:r>
      <w:r>
        <w:rPr>
          <w:color w:val="222222"/>
        </w:rPr>
        <w:t xml:space="preserve">The built app is one self-contained HTML file that runs with no server; the data and LLM layers swap to remote adapters when a backend is present.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222222"/>
        </w:rPr>
        <w:t xml:space="preserve">Provenance is load-bearing. </w:t>
      </w:r>
      <w:r>
        <w:rPr>
          <w:color w:val="222222"/>
        </w:rPr>
        <w:t xml:space="preserve">Structural findings are labelled lemma-certified; cost figures assumption-based; LLM output narrative-only.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6243B"/>
        </w:rPr>
        <w:t xml:space="preserve">2.  System architecture</w:t>
      </w:r>
    </w:p>
    <w:p>
      <w:pPr>
        <w:spacing w:after="120" w:line="276"/>
      </w:pPr>
      <w:r>
        <w:rPr>
          <w:color w:val="222222"/>
        </w:rPr>
        <w:t xml:space="preserve">Five layers stack from the front-end down to the backend. The presentation layer calls three facades; the engine encapsulates all math with the Lemma kernel at its trusted core; the data and LLM layers each expose one interface over two interchangeable adapters (offline and remote); and the server backs the remote adapters and holds the LLM API key.</w:t>
      </w:r>
    </w:p>
    <w:p>
      <w:pPr>
        <w:spacing w:after="80" w:before="80"/>
        <w:jc w:val="center"/>
      </w:pPr>
      <w:r>
        <w:drawing>
          <wp:inline distT="0" distB="0" distL="0" distR="0">
            <wp:extent cx="6286500" cy="480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470"/>
          <w:sz w:val="18"/>
          <w:szCs w:val="18"/>
        </w:rPr>
        <w:t xml:space="preserve">Figure 1 — The five layers, their facades, and the trust gradient. The Lemma kernel is the only verified, version-locked component.</w:t>
      </w:r>
    </w:p>
    <w:p>
      <w:pPr>
        <w:pStyle w:val="Heading1"/>
        <w:spacing w:after="140" w:before="320"/>
      </w:pPr>
      <w:r>
        <w:rPr>
          <w:b/>
          <w:bCs/>
          <w:color w:val="16243B"/>
        </w:rPr>
        <w:t xml:space="preserve">3.  The five layers in detail</w:t>
      </w:r>
    </w:p>
    <w:p>
      <w:pPr>
        <w:pStyle w:val="Heading2"/>
        <w:spacing w:after="90" w:before="220"/>
      </w:pPr>
      <w:r>
        <w:rPr>
          <w:b/>
          <w:bCs/>
          <w:color w:val="1F7A6F"/>
        </w:rPr>
        <w:t xml:space="preserve">Layer 1 — Presentation (HTML / CSS / UI)</w:t>
      </w:r>
    </w:p>
    <w:p>
      <w:pPr>
        <w:spacing w:after="120" w:line="276"/>
      </w:pPr>
      <w:r>
        <w:rPr>
          <w:color w:val="222222"/>
        </w:rPr>
        <w:t xml:space="preserve">Files: 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src/presentation/shell.html</w:t>
      </w:r>
      <w:r>
        <w:rPr>
          <w:color w:val="222222"/>
        </w:rPr>
        <w:t xml:space="preserve">, 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studio.css</w:t>
      </w:r>
      <w:r>
        <w:rPr>
          <w:color w:val="222222"/>
        </w:rPr>
        <w:t xml:space="preserve">, 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src/app/ui-modules.gen.js</w:t>
      </w:r>
      <w:r>
        <w:rPr>
          <w:color w:val="222222"/>
        </w:rPr>
        <w:t xml:space="preserve">, 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ui-boot.js</w:t>
      </w:r>
      <w:r>
        <w:rPr>
          <w:color w:val="222222"/>
        </w:rPr>
        <w:t xml:space="preserve">, 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loader.js</w:t>
      </w:r>
      <w:r>
        <w:rPr>
          <w:color w:val="222222"/>
        </w:rPr>
        <w:t xml:space="preserve">.</w:t>
      </w:r>
    </w:p>
    <w:p>
      <w:pPr>
        <w:spacing w:after="120" w:line="276"/>
      </w:pPr>
      <w:r>
        <w:rPr>
          <w:color w:val="222222"/>
        </w:rPr>
        <w:t xml:space="preserve">The three pages (Home, Workflow Editor, Analysis Studio), the six-tool toolbar, the canvas/sigma views, and the auth modal. This layer performs no FSM, cost, or proof arithmetic. It renders state and forwards user intent to the facades, reachable as window.PlumblineServices = { engine, data, llm }. The Workflow Editor is embedded as a base64 blob decoded to an iframe at runtime and exchanges snapshots with the Studio over postMessage.</w:t>
      </w:r>
    </w:p>
    <w:p>
      <w:pPr>
        <w:pStyle w:val="Heading2"/>
        <w:spacing w:after="90" w:before="220"/>
      </w:pPr>
      <w:r>
        <w:rPr>
          <w:b/>
          <w:bCs/>
          <w:color w:val="1F7A6F"/>
        </w:rPr>
        <w:t xml:space="preserve">Layer 2 — Engine (encapsulated math)</w:t>
      </w:r>
    </w:p>
    <w:p>
      <w:pPr>
        <w:spacing w:after="120" w:line="276"/>
      </w:pPr>
      <w:r>
        <w:rPr>
          <w:color w:val="222222"/>
        </w:rPr>
        <w:t xml:space="preserve">Files: 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src/engine/runtime.js</w:t>
      </w:r>
      <w:r>
        <w:rPr>
          <w:color w:val="222222"/>
        </w:rPr>
        <w:t xml:space="preserve"> (shared module registry), 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modules.gen.js</w:t>
      </w:r>
      <w:r>
        <w:rPr>
          <w:color w:val="222222"/>
        </w:rPr>
        <w:t xml:space="preserve"> (the math packages), 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facade.js</w:t>
      </w:r>
      <w:r>
        <w:rPr>
          <w:color w:val="222222"/>
        </w:rPr>
        <w:t xml:space="preserve"> (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window.PlumblineEngine</w:t>
      </w:r>
      <w:r>
        <w:rPr>
          <w:color w:val="222222"/>
        </w:rPr>
        <w:t xml:space="preserve">).</w:t>
      </w:r>
    </w:p>
    <w:p>
      <w:pPr>
        <w:spacing w:after="120" w:line="276"/>
      </w:pPr>
      <w:r>
        <w:rPr>
          <w:color w:val="222222"/>
        </w:rPr>
        <w:t xml:space="preserve">The sole math boundary. Behind the facade sit four packages: io (importers that turn untrusted JSON / FSM tables into the canonical IR), core (the IR plus the analysers and redesign bisimulation), cost (expected-cost arithmetic), and lemma (the trusted kernel). The facade exposes a clean API — parseWorkflow, analyze, compareRedesign, certify, expectedCost, and a one-call run(json) — so the caller never touches an analyser or the kernel directly. analyze() wires the pattern together: it runs every analyser and passes each witness to lemma.check, attaching a certified/refuted verdict to every finding before it returns.</w:t>
      </w:r>
    </w:p>
    <w:p>
      <w:pPr>
        <w:pStyle w:val="Heading2"/>
        <w:spacing w:after="90" w:before="220"/>
      </w:pPr>
      <w:r>
        <w:rPr>
          <w:b/>
          <w:bCs/>
          <w:color w:val="1F7A6F"/>
        </w:rPr>
        <w:t xml:space="preserve">Layer 3 — Data interaction layer</w:t>
      </w:r>
    </w:p>
    <w:p>
      <w:pPr>
        <w:spacing w:after="120" w:line="276"/>
      </w:pPr>
      <w:r>
        <w:rPr>
          <w:color w:val="222222"/>
        </w:rPr>
        <w:t xml:space="preserve">File: 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src/data/data-gateway.js</w:t>
      </w:r>
      <w:r>
        <w:rPr>
          <w:color w:val="222222"/>
        </w:rPr>
        <w:t xml:space="preserve"> (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window.PlumblineData</w:t>
      </w:r>
      <w:r>
        <w:rPr>
          <w:color w:val="222222"/>
        </w:rPr>
        <w:t xml:space="preserve">).</w:t>
      </w:r>
    </w:p>
    <w:p>
      <w:pPr>
        <w:spacing w:after="120" w:line="276"/>
      </w:pPr>
      <w:r>
        <w:rPr>
          <w:color w:val="222222"/>
        </w:rPr>
        <w:t xml:space="preserve">The only channel to persistent state. One promise-based interface over two interchangeable adapters: a Local adapter (offline, browser localStorage, salted-SHA-256 passwords) and a Remote adapter (REST to the server with an httpOnly session cookie). The domain follows the DB-interaction specification exactly: users with encrypted passwords, demographics, saved workflow snapshots capturing the name, datetime, the exact configuration, which tools were executed, and the tile positions, plus per-user online history and capabilities/superuser. autodetect() prefers the server when reachable and silently falls back to offline.</w:t>
      </w:r>
    </w:p>
    <w:p>
      <w:pPr>
        <w:pStyle w:val="Heading2"/>
        <w:spacing w:after="90" w:before="220"/>
      </w:pPr>
      <w:r>
        <w:rPr>
          <w:b/>
          <w:bCs/>
          <w:color w:val="1F7A6F"/>
        </w:rPr>
        <w:t xml:space="preserve">Layer 4 — LLM interaction layer</w:t>
      </w:r>
    </w:p>
    <w:p>
      <w:pPr>
        <w:spacing w:after="120" w:line="276"/>
      </w:pPr>
      <w:r>
        <w:rPr>
          <w:color w:val="222222"/>
        </w:rPr>
        <w:t xml:space="preserve">File: 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src/llm/llm-gateway.js</w:t>
      </w:r>
      <w:r>
        <w:rPr>
          <w:color w:val="222222"/>
        </w:rPr>
        <w:t xml:space="preserve"> (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window.PlumblineLLM</w:t>
      </w:r>
      <w:r>
        <w:rPr>
          <w:color w:val="222222"/>
        </w:rPr>
        <w:t xml:space="preserve">).</w:t>
      </w:r>
    </w:p>
    <w:p>
      <w:pPr>
        <w:spacing w:after="120" w:line="276"/>
      </w:pPr>
      <w:r>
        <w:rPr>
          <w:color w:val="222222"/>
        </w:rPr>
        <w:t xml:space="preserve">The only channel to a language model, and strictly advisory: it never certifies a finding and never computes a number. Task-shaped intents — suggestStageNames (naming the buckets from Zoom out), explainFinding (a plain-business paragraph), suggestTileName, and summarizeWorkflow — run through one of two providers: a Mock provider (offline, deterministic, no key) and an Anthropic provider that posts to the server proxy. The API key is never present in the browser.</w:t>
      </w:r>
    </w:p>
    <w:p>
      <w:pPr>
        <w:pStyle w:val="Heading2"/>
        <w:spacing w:after="90" w:before="220"/>
      </w:pPr>
      <w:r>
        <w:rPr>
          <w:b/>
          <w:bCs/>
          <w:color w:val="1F7A6F"/>
        </w:rPr>
        <w:t xml:space="preserve">Layer 5 — Server (DB API + LLM proxy)</w:t>
      </w:r>
    </w:p>
    <w:p>
      <w:pPr>
        <w:spacing w:after="120" w:line="276"/>
      </w:pPr>
      <w:r>
        <w:rPr>
          <w:color w:val="222222"/>
        </w:rPr>
        <w:t xml:space="preserve">Files: 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server/src/index.js</w:t>
      </w:r>
      <w:r>
        <w:rPr>
          <w:color w:val="222222"/>
        </w:rPr>
        <w:t xml:space="preserve">, 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db.js</w:t>
      </w:r>
      <w:r>
        <w:rPr>
          <w:color w:val="222222"/>
        </w:rPr>
        <w:t xml:space="preserve">, 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llm.js</w:t>
      </w:r>
      <w:r>
        <w:rPr>
          <w:color w:val="222222"/>
        </w:rPr>
        <w:t xml:space="preserve">, 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migrations/001_init.sql</w:t>
      </w:r>
      <w:r>
        <w:rPr>
          <w:color w:val="222222"/>
        </w:rPr>
        <w:t xml:space="preserve">.</w:t>
      </w:r>
    </w:p>
    <w:p>
      <w:pPr>
        <w:spacing w:after="120" w:line="276"/>
      </w:pPr>
      <w:r>
        <w:rPr>
          <w:color w:val="222222"/>
        </w:rPr>
        <w:t xml:space="preserve">Express over Postgres/Supabase. It backs the Remote data adapter (auth with bcrypt and a signed session cookie, workflow snapshots, history, capabilities) and hosts the LLM proxy at /api/llm, which holds the Anthropic key and calls Claude (claude-opus-4-8) with output_config.format so each intent returns schema-valid JSON. The browser app runs fully without this server; it is stood up only for real multi-user persistence and live language features.</w:t>
      </w:r>
    </w:p>
    <w:p>
      <w:r>
        <w:br w:type="page"/>
      </w:r>
    </w:p>
    <w:p>
      <w:pPr>
        <w:pStyle w:val="Heading2"/>
        <w:spacing w:after="90" w:before="220"/>
      </w:pPr>
      <w:r>
        <w:rPr>
          <w:b/>
          <w:bCs/>
          <w:color w:val="1F7A6F"/>
        </w:rPr>
        <w:t xml:space="preserve">Responsibilities at a glance</w:t>
      </w:r>
    </w:p>
    <w:tbl>
      <w:tblPr>
        <w:tblW w:type="dxa" w:w="9300"/>
        <w:tblBorders>
          <w:top w:val="single" w:color="DCD7C8" w:sz="4"/>
          <w:left w:val="single" w:color="DCD7C8" w:sz="4"/>
          <w:bottom w:val="single" w:color="DCD7C8" w:sz="4"/>
          <w:right w:val="single" w:color="DCD7C8" w:sz="4"/>
          <w:insideH w:val="single" w:color="DCD7C8" w:sz="4"/>
          <w:insideV w:val="single" w:color="DCD7C8" w:sz="4"/>
        </w:tblBorders>
      </w:tblPr>
      <w:tblGrid>
        <w:gridCol w:w="1700"/>
        <w:gridCol w:w="2300"/>
        <w:gridCol w:w="3900"/>
        <w:gridCol w:w="1400"/>
      </w:tblGrid>
      <w:tr>
        <w:trPr>
          <w:tblHeader/>
        </w:trPr>
        <w:tc>
          <w:tcPr>
            <w:tcW w:type="dxa" w:w="1700"/>
            <w:shd w:fill="1624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300"/>
            <w:shd w:fill="1624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Facade / entry</w:t>
            </w:r>
          </w:p>
        </w:tc>
        <w:tc>
          <w:tcPr>
            <w:tcW w:type="dxa" w:w="3900"/>
            <w:shd w:fill="1624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1400"/>
            <w:shd w:fill="1624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Trusted?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PlumblineServices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Render + forward intent; no math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17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Engine</w:t>
            </w:r>
          </w:p>
        </w:tc>
        <w:tc>
          <w:tcPr>
            <w:tcW w:type="dxa" w:w="23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PlumblineEngine</w:t>
            </w:r>
          </w:p>
        </w:tc>
        <w:tc>
          <w:tcPr>
            <w:tcW w:type="dxa" w:w="39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IR, analysers, cost, Lemma certification</w:t>
            </w:r>
          </w:p>
        </w:tc>
        <w:tc>
          <w:tcPr>
            <w:tcW w:type="dxa" w:w="14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Lemma only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PlumblineData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Users, snapshots, history (Local/Remote)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7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</w:t>
            </w:r>
          </w:p>
        </w:tc>
        <w:tc>
          <w:tcPr>
            <w:tcW w:type="dxa" w:w="23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PlumblineLLM</w:t>
            </w:r>
          </w:p>
        </w:tc>
        <w:tc>
          <w:tcPr>
            <w:tcW w:type="dxa" w:w="39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Advisory language (Mock/Anthropic)</w:t>
            </w:r>
          </w:p>
        </w:tc>
        <w:tc>
          <w:tcPr>
            <w:tcW w:type="dxa" w:w="14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Server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REST + /api/llm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Postgres persistence + key custody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6243B"/>
        </w:rPr>
        <w:t xml:space="preserve">4.  Representative request flows</w:t>
      </w:r>
    </w:p>
    <w:p>
      <w:pPr>
        <w:pStyle w:val="Heading2"/>
        <w:spacing w:after="90" w:before="220"/>
      </w:pPr>
      <w:r>
        <w:rPr>
          <w:b/>
          <w:bCs/>
          <w:color w:val="1F7A6F"/>
        </w:rPr>
        <w:t xml:space="preserve">Certifying an analysis (no server needed)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</w:rPr>
        <w:t xml:space="preserve">The UI reads the current workflow and calls 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PlumblineEngine.analyze(workflow)</w:t>
      </w:r>
      <w:r>
        <w:rPr>
          <w:color w:val="2222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</w:rPr>
        <w:t xml:space="preserve">The engine runs each analyser; every proposed witness is passed to the Lemma kernel, which returns a certificate or a counterexample.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</w:rPr>
        <w:t xml:space="preserve">The facade returns findings already labelled 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certified</w:t>
      </w:r>
      <w:r>
        <w:rPr>
          <w:color w:val="222222"/>
        </w:rPr>
        <w:t xml:space="preserve"> or 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refuted</w:t>
      </w:r>
      <w:r>
        <w:rPr>
          <w:color w:val="222222"/>
        </w:rPr>
        <w:t xml:space="preserve">; the UI renders them. No math ran in the front-end.</w:t>
      </w:r>
    </w:p>
    <w:p>
      <w:pPr>
        <w:pStyle w:val="Heading2"/>
        <w:spacing w:after="90" w:before="220"/>
      </w:pPr>
      <w:r>
        <w:rPr>
          <w:b/>
          <w:bCs/>
          <w:color w:val="1F7A6F"/>
        </w:rPr>
        <w:t xml:space="preserve">Saving a workflow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</w:rPr>
        <w:t xml:space="preserve">The UI calls 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PlumblineData.saveWorkflow({name, workflow, config, toolsExecuted, layout})</w:t>
      </w:r>
      <w:r>
        <w:rPr>
          <w:color w:val="2222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</w:rPr>
        <w:t xml:space="preserve">Offline, the Local adapter writes to localStorage; online, the Remote adapter POSTs to 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/api/workflows</w:t>
      </w:r>
      <w:r>
        <w:rPr>
          <w:color w:val="222222"/>
        </w:rPr>
        <w:t xml:space="preserve"> and the server persists the exact snapshot to Postgres.</w:t>
      </w:r>
    </w:p>
    <w:p>
      <w:pPr>
        <w:pStyle w:val="Heading2"/>
        <w:spacing w:after="90" w:before="220"/>
      </w:pPr>
      <w:r>
        <w:rPr>
          <w:b/>
          <w:bCs/>
          <w:color w:val="1F7A6F"/>
        </w:rPr>
        <w:t xml:space="preserve">Suggesting zoom-out stage names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</w:rPr>
        <w:t xml:space="preserve">After Zoom out produces stage buckets, the UI calls 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PlumblineLLM.suggestStageNames(stages)</w:t>
      </w:r>
      <w:r>
        <w:rPr>
          <w:color w:val="2222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</w:rPr>
        <w:t xml:space="preserve">The Mock provider answers offline; the Anthropic provider POSTs 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{intent, payload}</w:t>
      </w:r>
      <w:r>
        <w:rPr>
          <w:color w:val="222222"/>
        </w:rPr>
        <w:t xml:space="preserve"> to 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/api/llm</w:t>
      </w:r>
      <w:r>
        <w:rPr>
          <w:color w:val="222222"/>
        </w:rPr>
        <w:t xml:space="preserve">, which calls Claude with the key held server-side and returns schema-valid names.</w:t>
      </w:r>
    </w:p>
    <w:p>
      <w:pPr>
        <w:pStyle w:val="Heading1"/>
        <w:spacing w:after="140" w:before="320"/>
      </w:pPr>
      <w:r>
        <w:rPr>
          <w:b/>
          <w:bCs/>
          <w:color w:val="16243B"/>
        </w:rPr>
        <w:t xml:space="preserve">5.  Build pipeline</w:t>
      </w:r>
    </w:p>
    <w:p>
      <w:pPr>
        <w:spacing w:after="120" w:line="276"/>
      </w:pPr>
      <w:r>
        <w:rPr>
          <w:color w:val="222222"/>
        </w:rPr>
        <w:t xml:space="preserve">Three entry points produce one result: 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build.py</w:t>
      </w:r>
      <w:r>
        <w:rPr>
          <w:color w:val="222222"/>
        </w:rPr>
        <w:t xml:space="preserve"> (Python), 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build.ps1</w:t>
      </w:r>
      <w:r>
        <w:rPr>
          <w:color w:val="222222"/>
        </w:rPr>
        <w:t xml:space="preserve"> (pure PowerShell, no Python needed), and 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build.cmd</w:t>
      </w:r>
      <w:r>
        <w:rPr>
          <w:color w:val="222222"/>
        </w:rPr>
        <w:t xml:space="preserve"> (chooses one). The Python and PowerShell builders emit a byte-identical file.</w:t>
      </w:r>
    </w:p>
    <w:p>
      <w:pPr>
        <w:spacing w:after="120" w:line="276"/>
      </w:pPr>
      <w:r>
        <w:rPr>
          <w:color w:val="222222"/>
        </w:rPr>
        <w:t xml:space="preserve">The builder fills ordered markers in shell.html with each layer's code and base64-encodes the editor. The script order is load-bearing: each facade must exist as a global before the next layer and the UI run.</w:t>
      </w:r>
    </w:p>
    <w:tbl>
      <w:tblPr>
        <w:tblW w:type="dxa" w:w="9300"/>
        <w:tblBorders>
          <w:top w:val="single" w:color="DCD7C8" w:sz="4"/>
          <w:left w:val="single" w:color="DCD7C8" w:sz="4"/>
          <w:bottom w:val="single" w:color="DCD7C8" w:sz="4"/>
          <w:right w:val="single" w:color="DCD7C8" w:sz="4"/>
          <w:insideH w:val="single" w:color="DCD7C8" w:sz="4"/>
          <w:insideV w:val="single" w:color="DCD7C8" w:sz="4"/>
        </w:tblBorders>
      </w:tblPr>
      <w:tblGrid>
        <w:gridCol w:w="900"/>
        <w:gridCol w:w="2900"/>
        <w:gridCol w:w="3100"/>
        <w:gridCol w:w="2400"/>
      </w:tblGrid>
      <w:tr>
        <w:trPr>
          <w:tblHeader/>
        </w:trPr>
        <w:tc>
          <w:tcPr>
            <w:tcW w:type="dxa" w:w="900"/>
            <w:shd w:fill="1624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Order</w:t>
            </w:r>
          </w:p>
        </w:tc>
        <w:tc>
          <w:tcPr>
            <w:tcW w:type="dxa" w:w="2900"/>
            <w:shd w:fill="1624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Marker</w:t>
            </w:r>
          </w:p>
        </w:tc>
        <w:tc>
          <w:tcPr>
            <w:tcW w:type="dxa" w:w="3100"/>
            <w:shd w:fill="1624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400"/>
            <w:shd w:fill="1624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Publishes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@@RUNTIME_JS@@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engine/runtime.js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window.__PL registry</w:t>
            </w:r>
          </w:p>
        </w:tc>
      </w:tr>
      <w:tr>
        <w:tc>
          <w:tcPr>
            <w:tcW w:type="dxa" w:w="9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@@ENGINE_MODULES_JS@@</w:t>
            </w:r>
          </w:p>
        </w:tc>
        <w:tc>
          <w:tcPr>
            <w:tcW w:type="dxa" w:w="31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engine/modules.gen.js</w:t>
            </w:r>
          </w:p>
        </w:tc>
        <w:tc>
          <w:tcPr>
            <w:tcW w:type="dxa" w:w="24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math modules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@@ENGINE_FACADE_JS@@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engine/facade.js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window.PlumblineEngine</w:t>
            </w:r>
          </w:p>
        </w:tc>
      </w:tr>
      <w:tr>
        <w:tc>
          <w:tcPr>
            <w:tcW w:type="dxa" w:w="9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@@DATA_GATEWAY_JS@@</w:t>
            </w:r>
          </w:p>
        </w:tc>
        <w:tc>
          <w:tcPr>
            <w:tcW w:type="dxa" w:w="31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data/data-gateway.js</w:t>
            </w:r>
          </w:p>
        </w:tc>
        <w:tc>
          <w:tcPr>
            <w:tcW w:type="dxa" w:w="24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window.PlumblineData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@@LLM_GATEWAY_JS@@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llm/llm-gateway.js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window.PlumblineLLM</w:t>
            </w:r>
          </w:p>
        </w:tc>
      </w:tr>
      <w:tr>
        <w:tc>
          <w:tcPr>
            <w:tcW w:type="dxa" w:w="9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@@UI_MODULES_JS@@</w:t>
            </w:r>
          </w:p>
        </w:tc>
        <w:tc>
          <w:tcPr>
            <w:tcW w:type="dxa" w:w="31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app/ui-modules.gen.js</w:t>
            </w:r>
          </w:p>
        </w:tc>
        <w:tc>
          <w:tcPr>
            <w:tcW w:type="dxa" w:w="24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presentation modules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@@UI_BOOT_JS@@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app/ui-boot.js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starts the Studio</w:t>
            </w:r>
          </w:p>
        </w:tc>
      </w:tr>
    </w:tbl>
    <w:p>
      <w:pPr>
        <w:spacing w:after="120" w:before="140"/>
      </w:pPr>
      <w:r>
        <w:rPr>
          <w:color w:val="222222"/>
        </w:rPr>
        <w:t xml:space="preserve">Output: 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dist/Plumbline_Studio_V2.html</w:t>
      </w:r>
      <w:r>
        <w:rPr>
          <w:color w:val="222222"/>
        </w:rPr>
        <w:t xml:space="preserve"> — one offline file. For development without a build step, </w:t>
      </w:r>
      <w:r>
        <w:rPr>
          <w:rFonts w:ascii="Consolas" w:cs="Consolas" w:eastAsia="Consolas" w:hAnsi="Consolas"/>
          <w:color w:val="16243B"/>
          <w:sz w:val="19"/>
          <w:szCs w:val="19"/>
        </w:rPr>
        <w:t xml:space="preserve">src/plumbline-dev.html</w:t>
      </w:r>
      <w:r>
        <w:rPr>
          <w:color w:val="222222"/>
        </w:rPr>
        <w:t xml:space="preserve"> loads every layer from its relative source.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6243B"/>
        </w:rPr>
        <w:t xml:space="preserve">6.  Mapping to the certifying-algorithm plan</w:t>
      </w:r>
    </w:p>
    <w:p>
      <w:pPr>
        <w:spacing w:after="120" w:line="276"/>
      </w:pPr>
      <w:r>
        <w:rPr>
          <w:color w:val="222222"/>
        </w:rPr>
        <w:t xml:space="preserve">Each of the six tools maps to a known algorithm whose result the Lemma kernel checks. The analyser proposes; Lemma discharges the obligation or returns the counterexample, which becomes the finding.</w:t>
      </w:r>
    </w:p>
    <w:tbl>
      <w:tblPr>
        <w:tblW w:type="dxa" w:w="9300"/>
        <w:tblBorders>
          <w:top w:val="single" w:color="DCD7C8" w:sz="4"/>
          <w:left w:val="single" w:color="DCD7C8" w:sz="4"/>
          <w:bottom w:val="single" w:color="DCD7C8" w:sz="4"/>
          <w:right w:val="single" w:color="DCD7C8" w:sz="4"/>
          <w:insideH w:val="single" w:color="DCD7C8" w:sz="4"/>
          <w:insideV w:val="single" w:color="DCD7C8" w:sz="4"/>
        </w:tblBorders>
      </w:tblPr>
      <w:tblGrid>
        <w:gridCol w:w="1700"/>
        <w:gridCol w:w="4100"/>
        <w:gridCol w:w="3500"/>
      </w:tblGrid>
      <w:tr>
        <w:trPr>
          <w:tblHeader/>
        </w:trPr>
        <w:tc>
          <w:tcPr>
            <w:tcW w:type="dxa" w:w="1700"/>
            <w:shd w:fill="1624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4100"/>
            <w:shd w:fill="1624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Obligation Lemma discharges</w:t>
            </w:r>
          </w:p>
        </w:tc>
        <w:tc>
          <w:tcPr>
            <w:tcW w:type="dxa" w:w="3500"/>
            <w:shd w:fill="1624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The counterexample (the finding)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Zoom out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Partition has the substitution property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 input that lets work escape a stage</w:t>
            </w:r>
          </w:p>
        </w:tc>
      </w:tr>
      <w:tr>
        <w:tc>
          <w:tcPr>
            <w:tcW w:type="dxa" w:w="17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Spot duplicates</w:t>
            </w:r>
          </w:p>
        </w:tc>
        <w:tc>
          <w:tcPr>
            <w:tcW w:type="dxa" w:w="41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Two states are language-equivalent; a branch is unreachable</w:t>
            </w:r>
          </w:p>
        </w:tc>
        <w:tc>
          <w:tcPr>
            <w:tcW w:type="dxa" w:w="35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trace distinguishing two look-alikes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Plan vs. reality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logged trace is/ isn't in the model's language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exact step where reality diverges</w:t>
            </w:r>
          </w:p>
        </w:tc>
      </w:tr>
      <w:tr>
        <w:tc>
          <w:tcPr>
            <w:tcW w:type="dxa" w:w="17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Move the decision</w:t>
            </w:r>
          </w:p>
        </w:tc>
        <w:tc>
          <w:tcPr>
            <w:tcW w:type="dxa" w:w="41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Two designs are bisimilar</w:t>
            </w:r>
          </w:p>
        </w:tc>
        <w:tc>
          <w:tcPr>
            <w:tcW w:type="dxa" w:w="35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trace where a decision point moved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Run in parallel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Components are independent and recompose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hidden dependency blocking parallelism</w:t>
            </w:r>
          </w:p>
        </w:tc>
      </w:tr>
      <w:tr>
        <w:tc>
          <w:tcPr>
            <w:tcW w:type="dxa" w:w="17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Find the loops</w:t>
            </w:r>
          </w:p>
        </w:tc>
        <w:tc>
          <w:tcPr>
            <w:tcW w:type="dxa" w:w="41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Cycles are bounded; a loop terminates</w:t>
            </w:r>
          </w:p>
        </w:tc>
        <w:tc>
          <w:tcPr>
            <w:tcW w:type="dxa" w:w="3500"/>
            <w:shd w:fill="F7F5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 unbounded loop with no progress measure</w:t>
            </w:r>
          </w:p>
        </w:tc>
      </w:tr>
    </w:tbl>
    <w:p>
      <w:pPr>
        <w:spacing w:before="140"/>
      </w:pPr>
      <w:r>
        <w:rPr>
          <w:color w:val="222222"/>
        </w:rPr>
        <w:t xml:space="preserve">The cost model is deliberately </w:t>
      </w:r>
      <w:r>
        <w:rPr>
          <w:i/>
          <w:iCs/>
          <w:color w:val="222222"/>
        </w:rPr>
        <w:t xml:space="preserve">not</w:t>
      </w:r>
      <w:r>
        <w:rPr>
          <w:color w:val="222222"/>
        </w:rPr>
        <w:t xml:space="preserve"> certified by Lemma: its outputs are conditional on supplied costs and probabilities, and the product labels them assumption-based. Lemma certifies structure; the cost model quantifies it under stated inputs; the LLM layer describes it in words.</w:t>
      </w:r>
    </w:p>
    <w:p>
      <w:pPr>
        <w:pStyle w:val="Heading1"/>
        <w:spacing w:after="140" w:before="320"/>
      </w:pPr>
      <w:r>
        <w:rPr>
          <w:b/>
          <w:bCs/>
          <w:color w:val="16243B"/>
        </w:rPr>
        <w:t xml:space="preserve">7.  Source map</w:t>
      </w:r>
    </w:p>
    <w:p>
      <w:pPr>
        <w:spacing w:after="120" w:line="276"/>
      </w:pPr>
      <w:r>
        <w:rPr>
          <w:rFonts w:ascii="Consolas" w:cs="Consolas" w:eastAsia="Consolas" w:hAnsi="Consolas"/>
          <w:color w:val="16243B"/>
          <w:sz w:val="19"/>
          <w:szCs w:val="19"/>
        </w:rPr>
        <w:t xml:space="preserve">build.py / build.ps1 / build.cmd</w:t>
      </w:r>
      <w:r>
        <w:rPr>
          <w:color w:val="222222"/>
        </w:rPr>
        <w:t xml:space="preserve">   the build (three entry points, one result)</w:t>
      </w:r>
    </w:p>
    <w:p>
      <w:pPr>
        <w:spacing w:after="120" w:line="276"/>
      </w:pPr>
      <w:r>
        <w:rPr>
          <w:rFonts w:ascii="Consolas" w:cs="Consolas" w:eastAsia="Consolas" w:hAnsi="Consolas"/>
          <w:color w:val="16243B"/>
          <w:sz w:val="19"/>
          <w:szCs w:val="19"/>
        </w:rPr>
        <w:t xml:space="preserve">dist/Plumbline_Studio_V2.html</w:t>
      </w:r>
      <w:r>
        <w:rPr>
          <w:color w:val="222222"/>
        </w:rPr>
        <w:t xml:space="preserve">   the built, single-file app</w:t>
      </w:r>
    </w:p>
    <w:p>
      <w:pPr>
        <w:spacing w:after="120" w:line="276"/>
      </w:pPr>
      <w:r>
        <w:rPr>
          <w:rFonts w:ascii="Consolas" w:cs="Consolas" w:eastAsia="Consolas" w:hAnsi="Consolas"/>
          <w:color w:val="16243B"/>
          <w:sz w:val="19"/>
          <w:szCs w:val="19"/>
        </w:rPr>
        <w:t xml:space="preserve">src/presentation/</w:t>
      </w:r>
      <w:r>
        <w:rPr>
          <w:color w:val="222222"/>
        </w:rPr>
        <w:t xml:space="preserve">   shell.html · studio.css                     (Layer 1)</w:t>
      </w:r>
    </w:p>
    <w:p>
      <w:pPr>
        <w:spacing w:after="120" w:line="276"/>
      </w:pPr>
      <w:r>
        <w:rPr>
          <w:rFonts w:ascii="Consolas" w:cs="Consolas" w:eastAsia="Consolas" w:hAnsi="Consolas"/>
          <w:color w:val="16243B"/>
          <w:sz w:val="19"/>
          <w:szCs w:val="19"/>
        </w:rPr>
        <w:t xml:space="preserve">src/app/</w:t>
      </w:r>
      <w:r>
        <w:rPr>
          <w:color w:val="222222"/>
        </w:rPr>
        <w:t xml:space="preserve">   ui-modules.gen.js · ui-boot.js · loader.js · dev-loader.js</w:t>
      </w:r>
    </w:p>
    <w:p>
      <w:pPr>
        <w:spacing w:after="120" w:line="276"/>
      </w:pPr>
      <w:r>
        <w:rPr>
          <w:rFonts w:ascii="Consolas" w:cs="Consolas" w:eastAsia="Consolas" w:hAnsi="Consolas"/>
          <w:color w:val="16243B"/>
          <w:sz w:val="19"/>
          <w:szCs w:val="19"/>
        </w:rPr>
        <w:t xml:space="preserve">src/engine/</w:t>
      </w:r>
      <w:r>
        <w:rPr>
          <w:color w:val="222222"/>
        </w:rPr>
        <w:t xml:space="preserve">   runtime.js · modules.gen.js · facade.js       (Layer 2)</w:t>
      </w:r>
    </w:p>
    <w:p>
      <w:pPr>
        <w:spacing w:after="120" w:line="276"/>
      </w:pPr>
      <w:r>
        <w:rPr>
          <w:rFonts w:ascii="Consolas" w:cs="Consolas" w:eastAsia="Consolas" w:hAnsi="Consolas"/>
          <w:color w:val="16243B"/>
          <w:sz w:val="19"/>
          <w:szCs w:val="19"/>
        </w:rPr>
        <w:t xml:space="preserve">src/data/</w:t>
      </w:r>
      <w:r>
        <w:rPr>
          <w:color w:val="222222"/>
        </w:rPr>
        <w:t xml:space="preserve">   data-gateway.js                                (Layer 3)</w:t>
      </w:r>
    </w:p>
    <w:p>
      <w:pPr>
        <w:spacing w:after="120" w:line="276"/>
      </w:pPr>
      <w:r>
        <w:rPr>
          <w:rFonts w:ascii="Consolas" w:cs="Consolas" w:eastAsia="Consolas" w:hAnsi="Consolas"/>
          <w:color w:val="16243B"/>
          <w:sz w:val="19"/>
          <w:szCs w:val="19"/>
        </w:rPr>
        <w:t xml:space="preserve">src/llm/</w:t>
      </w:r>
      <w:r>
        <w:rPr>
          <w:color w:val="222222"/>
        </w:rPr>
        <w:t xml:space="preserve">   llm-gateway.js                                  (Layer 4)</w:t>
      </w:r>
    </w:p>
    <w:p>
      <w:pPr>
        <w:spacing w:after="120" w:line="276"/>
      </w:pPr>
      <w:r>
        <w:rPr>
          <w:rFonts w:ascii="Consolas" w:cs="Consolas" w:eastAsia="Consolas" w:hAnsi="Consolas"/>
          <w:color w:val="16243B"/>
          <w:sz w:val="19"/>
          <w:szCs w:val="19"/>
        </w:rPr>
        <w:t xml:space="preserve">src/editor/</w:t>
      </w:r>
      <w:r>
        <w:rPr>
          <w:color w:val="222222"/>
        </w:rPr>
        <w:t xml:space="preserve">   workflow-editor.html                          (embedded)</w:t>
      </w:r>
    </w:p>
    <w:p>
      <w:pPr>
        <w:spacing w:after="120" w:line="276"/>
      </w:pPr>
      <w:r>
        <w:rPr>
          <w:rFonts w:ascii="Consolas" w:cs="Consolas" w:eastAsia="Consolas" w:hAnsi="Consolas"/>
          <w:color w:val="16243B"/>
          <w:sz w:val="19"/>
          <w:szCs w:val="19"/>
        </w:rPr>
        <w:t xml:space="preserve">server/</w:t>
      </w:r>
      <w:r>
        <w:rPr>
          <w:color w:val="222222"/>
        </w:rPr>
        <w:t xml:space="preserve">   index.js · db.js · llm.js · migrations/001_init.sql  (Layer 5)</w:t>
      </w:r>
    </w:p>
    <w:p>
      <w:pPr>
        <w:spacing w:before="300"/>
        <w:jc w:val="center"/>
      </w:pPr>
      <w:r>
        <w:rPr>
          <w:i/>
          <w:iCs/>
          <w:color w:val="1F7A6F"/>
          <w:sz w:val="20"/>
          <w:szCs w:val="20"/>
        </w:rPr>
        <w:t xml:space="preserve">plumbline · true by measure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1F7A6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b/>
      <w:bCs/>
      <w:color w:val="16243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</w:pPr>
    <w:rPr>
      <w:b/>
      <w:bCs/>
      <w:color w:val="1F7A6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f22f97f718d2bbc6a0f463e3e4c9465e6973ee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Plumbline — Architecture &amp; Design</dc:title>
  <dc:creator>Plumbline</dc:creator>
  <cp:lastModifiedBy>Un-named</cp:lastModifiedBy>
  <cp:revision>1</cp:revision>
  <dcterms:created xsi:type="dcterms:W3CDTF">2026-07-04T04:01:51.890Z</dcterms:created>
  <dcterms:modified xsi:type="dcterms:W3CDTF">2026-07-04T04:01:51.890Z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