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pStyle w:val="PLTitle"/>
        <w:spacing w:after="40"/>
      </w:pPr>
      <w:r>
        <w:t xml:space="preserve">Plumbline Developer's Guide</w:t>
      </w:r>
    </w:p>
    <w:p>
      <w:pPr>
        <w:spacing w:after="200"/>
      </w:pPr>
      <w:r>
        <w:rPr>
          <w:i/>
          <w:iCs/>
          <w:color w:val="2C6E6B"/>
          <w:sz w:val="26"/>
          <w:szCs w:val="26"/>
        </w:rPr>
        <w:t xml:space="preserve">Adding features across the layers — without breaking the line</w:t>
      </w:r>
    </w:p>
    <w:p>
      <w:pPr>
        <w:pBdr>
          <w:bottom w:val="single" w:color="16243B" w:sz="12" w:space="1"/>
        </w:pBdr>
        <w:spacing w:after="200"/>
      </w:pPr>
      <w:r>
        <w:t xml:space="preserve"/>
      </w:r>
    </w:p>
    <w:p>
      <w:pPr>
        <w:spacing w:after="40"/>
      </w:pPr>
      <w:r>
        <w:rPr>
          <w:b/>
          <w:bCs/>
          <w:color w:val="16243B"/>
          <w:sz w:val="24"/>
          <w:szCs w:val="24"/>
        </w:rPr>
        <w:t xml:space="preserve">plumbline</w:t>
      </w:r>
      <w:r>
        <w:rPr>
          <w:color w:val="6B7280"/>
          <w:sz w:val="24"/>
          <w:szCs w:val="24"/>
        </w:rPr>
        <w:t xml:space="preserve">  ·  </w:t>
      </w:r>
      <w:r>
        <w:rPr>
          <w:i/>
          <w:iCs/>
          <w:color w:val="6B7280"/>
          <w:sz w:val="22"/>
          <w:szCs w:val="22"/>
        </w:rPr>
        <w:t xml:space="preserve">true by measure</w:t>
      </w:r>
    </w:p>
    <w:p>
      <w:pPr>
        <w:spacing w:after="40"/>
      </w:pPr>
      <w:r>
        <w:rPr>
          <w:color w:val="6B7280"/>
        </w:rPr>
        <w:t xml:space="preserve">Project: </w:t>
      </w:r>
      <w:r>
        <w:rPr>
          <w:b/>
          <w:bCs/>
        </w:rPr>
        <w:t xml:space="preserve">Plumbline 6 — Layered Studio</w:t>
      </w:r>
    </w:p>
    <w:p>
      <w:pPr>
        <w:spacing w:after="40"/>
      </w:pPr>
      <w:r>
        <w:rPr>
          <w:color w:val="6B7280"/>
        </w:rPr>
        <w:t xml:space="preserve">Location: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G:\My Drive\PlumbLine\PlumblineBuild1</w:t>
      </w:r>
    </w:p>
    <w:p>
      <w:pPr>
        <w:spacing w:after="40"/>
      </w:pPr>
      <w:r>
        <w:rPr>
          <w:color w:val="6B7280"/>
        </w:rPr>
        <w:t xml:space="preserve">Revision: </w:t>
      </w:r>
      <w:r>
        <w:t xml:space="preserve">2026-07-04</w:t>
      </w:r>
    </w:p>
    <w:p>
      <w:r>
        <w:br w:type="page"/>
      </w:r>
    </w:p>
    <w:p>
      <w:pPr>
        <w:pStyle w:val="Heading1"/>
        <w:spacing w:after="12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Architecture at a glance</w:t>
      </w:r>
    </w:p>
    <w:p>
      <w:pPr>
        <w:spacing w:after="160"/>
      </w:pPr>
      <w:r>
        <w:t xml:space="preserve">Plumbline is one self-contained offline HTML file, </w:t>
      </w:r>
      <w:r>
        <w:rPr>
          <w:b/>
          <w:bCs/>
        </w:rPr>
        <w:t xml:space="preserve">built</w:t>
      </w:r>
      <w:r>
        <w:t xml:space="preserve"> from decomposed, layered sources under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src/</w:t>
      </w:r>
      <w:r>
        <w:t xml:space="preserve">. The whole design rests on one rule:</w:t>
      </w:r>
    </w:p>
    <w:tbl>
      <w:tblPr>
        <w:tblW w:type="dxa" w:w="9360"/>
        <w:tblBorders>
          <w:top w:val="single" w:color="2C6E6B" w:sz="4"/>
          <w:left w:val="single" w:color="2C6E6B" w:sz="28"/>
          <w:bottom w:val="single" w:color="2C6E6B" w:sz="4"/>
          <w:right w:val="single" w:color="2C6E6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F6F3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C6E6B"/>
                <w:sz w:val="20"/>
                <w:szCs w:val="20"/>
              </w:rPr>
              <w:t xml:space="preserve">DO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The golden rule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The presentation layer contains no math. </w:t>
            </w:r>
            <w:r>
              <w:t xml:space="preserve">HTML/CSS/UI code only </w:t>
            </w:r>
            <w:r>
              <w:rPr>
                <w:b/>
                <w:bCs/>
              </w:rPr>
              <w:t xml:space="preserve">calls facades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PlumblineEngine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PlumblineData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PlumblineLLM</w:t>
            </w:r>
            <w:r>
              <w:t xml:space="preserve">. All FSM/proof/cost arithmetic lives behind the engine facade and nowhere else.</w:t>
            </w:r>
          </w:p>
        </w:tc>
      </w:tr>
    </w:tbl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1500"/>
        <w:gridCol w:w="2350"/>
        <w:gridCol w:w="2500"/>
        <w:gridCol w:w="3010"/>
      </w:tblGrid>
      <w:tr>
        <w:trPr>
          <w:tblHeader/>
        </w:trPr>
        <w:tc>
          <w:tcPr>
            <w:tcW w:type="dxa" w:w="1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5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2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Facade (global)</w:t>
            </w:r>
          </w:p>
        </w:tc>
        <w:tc>
          <w:tcPr>
            <w:tcW w:type="dxa" w:w="301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1 Presentation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src/presentation, src/app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— (calls facades)</w:t>
            </w:r>
          </w:p>
        </w:tc>
        <w:tc>
          <w:tcPr>
            <w:tcW w:type="dxa" w:w="3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Home, editor, studio, toolbar, auth. No math.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2 Engine (math)</w:t>
            </w:r>
          </w:p>
        </w:tc>
        <w:tc>
          <w:tcPr>
            <w:tcW w:type="dxa" w:w="23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src/engine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window.PlumblineEngine</w:t>
            </w:r>
          </w:p>
        </w:tc>
        <w:tc>
          <w:tcPr>
            <w:tcW w:type="dxa" w:w="301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io · core · cost · lemma; the only math boundary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2b Monoid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src/engine/monoid.js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window.PlumblineMonoid</w:t>
            </w:r>
          </w:p>
        </w:tc>
        <w:tc>
          <w:tcPr>
            <w:tcW w:type="dxa" w:w="3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Transition-monoid engine; self-verifying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3 Data</w:t>
            </w:r>
          </w:p>
        </w:tc>
        <w:tc>
          <w:tcPr>
            <w:tcW w:type="dxa" w:w="23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src/data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window.PlumblineData</w:t>
            </w:r>
          </w:p>
        </w:tc>
        <w:tc>
          <w:tcPr>
            <w:tcW w:type="dxa" w:w="301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Local + Remote adapters, one interface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4 LLM</w:t>
            </w:r>
          </w:p>
        </w:tc>
        <w:tc>
          <w:tcPr>
            <w:tcW w:type="dxa" w:w="23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src/llm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window.PlumblineLLM</w:t>
            </w:r>
          </w:p>
        </w:tc>
        <w:tc>
          <w:tcPr>
            <w:tcW w:type="dxa" w:w="30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Mock + Anthropic providers; advisory only</w:t>
            </w:r>
          </w:p>
        </w:tc>
      </w:tr>
      <w:tr>
        <w:tc>
          <w:tcPr>
            <w:tcW w:type="dxa" w:w="1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5 Server</w:t>
            </w:r>
          </w:p>
        </w:tc>
        <w:tc>
          <w:tcPr>
            <w:tcW w:type="dxa" w:w="23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server/</w:t>
            </w:r>
          </w:p>
        </w:tc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REST + /api/llm</w:t>
            </w:r>
          </w:p>
        </w:tc>
        <w:tc>
          <w:tcPr>
            <w:tcW w:type="dxa" w:w="301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Postgres/Supabase, auth, snapshots, LLM proxy</w:t>
            </w:r>
          </w:p>
        </w:tc>
      </w:tr>
    </w:tbl>
    <w:p>
      <w:pPr>
        <w:pStyle w:val="Heading1"/>
      </w:pPr>
      <w:r>
        <w:t xml:space="preserve">2  The module runtime (window.__PL)</w:t>
      </w:r>
    </w:p>
    <w:p>
      <w:pPr>
        <w:spacing w:after="160"/>
      </w:pPr>
      <w:r>
        <w:t xml:space="preserve">Engine and UI code is split across files but still resolves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require("...")</w:t>
      </w:r>
      <w:r>
        <w:t xml:space="preserve"> across file boundaries via a tiny CommonJS-style registry in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engine/runtime.js</w:t>
      </w:r>
      <w:r>
        <w:t xml:space="preserve">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Register a module (id is its original source path):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window.__PL.define("packages/core/src/tools/myTool.ts", function (require, exports, module)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ir = require("../ir.ts");        // resolved through __PL at load time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exports.myTool = function (wf) { /* ... */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Resolve one (memoised singleton):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var tools = window.__PL.load("packages/core/src/tools/myTool.ts");</w:t>
            </w:r>
          </w:p>
        </w:tc>
      </w:tr>
    </w:tbl>
    <w:p>
      <w:pPr>
        <w:spacing w:after="120"/>
      </w:pPr>
      <w:r>
        <w:t xml:space="preserve">There are </w:t>
      </w:r>
      <w:r>
        <w:rPr>
          <w:b/>
          <w:bCs/>
        </w:rPr>
        <w:t xml:space="preserve">32 engine modules</w:t>
      </w:r>
      <w:r>
        <w:t xml:space="preserve"> and </w:t>
      </w:r>
      <w:r>
        <w:rPr>
          <w:b/>
          <w:bCs/>
        </w:rPr>
        <w:t xml:space="preserve">12 UI modules</w:t>
      </w:r>
      <w:r>
        <w:t xml:space="preserve"> registered this way. Modules are singletons —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load()</w:t>
      </w:r>
      <w:r>
        <w:t xml:space="preserve"> caches. Facades (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facade.js</w:t>
      </w:r>
      <w:r>
        <w:t xml:space="preserve">) don't register modules; they expose the registered ones through a clean, stable API.</w:t>
      </w:r>
    </w:p>
    <w:p>
      <w:pPr>
        <w:pStyle w:val="Heading1"/>
      </w:pPr>
      <w:r>
        <w:t xml:space="preserve">3  The build pipeline</w:t>
      </w:r>
    </w:p>
    <w:p>
      <w:pPr>
        <w:spacing w:after="160"/>
      </w:pPr>
      <w:r>
        <w:t xml:space="preserve">The build stitches the layered sources into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dist/Plumbline_Studio_V2.html</w:t>
      </w:r>
      <w:r>
        <w:t xml:space="preserve">. Two builders —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build.py</w:t>
      </w:r>
      <w:r>
        <w:t xml:space="preserve"> and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build.ps1</w:t>
      </w:r>
      <w:r>
        <w:t xml:space="preserve"> — must produce a </w:t>
      </w:r>
      <w:r>
        <w:rPr>
          <w:b/>
          <w:bCs/>
        </w:rPr>
        <w:t xml:space="preserve">byte-identical</w:t>
      </w:r>
      <w:r>
        <w:t xml:space="preserve"> file.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build.cmd</w:t>
      </w:r>
      <w:r>
        <w:t xml:space="preserve"> picks Python if present, else PowerShell.</w:t>
      </w:r>
    </w:p>
    <w:p>
      <w:pPr>
        <w:spacing w:after="120"/>
      </w:pPr>
      <w:r>
        <w:t xml:space="preserve">The template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presentation/shell.html</w:t>
      </w:r>
      <w:r>
        <w:t xml:space="preserve"> holds ordered markers; the builder replaces each with a layer's code. The marker order is the load order from §1 of the pipeline doc.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@@STUDIO_CSS@@         &lt;- presentation/studio.css     (inlined &lt;style&gt;)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@@RUNTIME_JS@@         &lt;- engine/runtime.js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@@ENGINE_MODULES_JS@@  &lt;- engine/modules.gen.js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@@ENGINE_FACADE_JS@@   &lt;- engine/facade.js            window.PlumblineEngine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@@MONOID_JS@@          &lt;- engine/monoid.js             window.PlumblineMonoid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@@DATA_GATEWAY_JS@@    &lt;- data/data-gateway.js         window.PlumblineData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@@LLM_GATEWAY_JS@@     &lt;- llm/llm-gateway.js           window.PlumblineLLM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@@UI_MODULES_JS@@      &lt;- app/ui-modules.gen.js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@@UI_BOOT_JS@@         &lt;- app/ui-boot.js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@@EDITOR_HTML_B64@@    &lt;- editor/workflow-editor.html  (base64)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@@LOADER_JS@@          &lt;- app/loader.js</w:t>
            </w:r>
          </w:p>
        </w:tc>
      </w:tr>
    </w:tbl>
    <w:p>
      <w:pPr>
        <w:spacing w:after="120"/>
      </w:pPr>
      <w:r>
        <w:t xml:space="preserve">Build and verify with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python build.py --check</w:t>
      </w:r>
      <w:r>
        <w:t xml:space="preserve"> (prints size + SHA-256 and asserts every facade global is present and no marker survived). The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--check</w:t>
      </w:r>
      <w:r>
        <w:t xml:space="preserve"> self-test is your first line of defence.</w:t>
      </w:r>
    </w:p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Never edit dist by hand</w:t>
            </w:r>
          </w:p>
          <w:p>
            <w:pPr>
              <w:spacing w:after="120"/>
            </w:pPr>
            <w:r>
              <w:t xml:space="preserve">Never hand-edit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dist/Plumbline_Studio_V2.html</w:t>
            </w:r>
            <w:r>
              <w:t xml:space="preserve">. It is a generated artifact. Edit the source layer, then rebuild. A hand edit is silently lost on the next build and breaks the byte-identical invariant.</w:t>
            </w:r>
          </w:p>
        </w:tc>
      </w:tr>
    </w:tbl>
    <w:p>
      <w:pPr>
        <w:pStyle w:val="Heading1"/>
      </w:pPr>
      <w:r>
        <w:t xml:space="preserve">4  Where does my feature go?</w:t>
      </w:r>
    </w:p>
    <w:p>
      <w:pPr>
        <w:spacing w:after="160"/>
      </w:pPr>
      <w:r>
        <w:t xml:space="preserve">Start here. Match the feature to a layer, then jump to the matching section.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900"/>
        <w:gridCol w:w="3560"/>
        <w:gridCol w:w="1900"/>
      </w:tblGrid>
      <w:tr>
        <w:trPr>
          <w:tblHeader/>
        </w:trPr>
        <w:tc>
          <w:tcPr>
            <w:tcW w:type="dxa" w:w="39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If your feature…</w:t>
            </w:r>
          </w:p>
        </w:tc>
        <w:tc>
          <w:tcPr>
            <w:tcW w:type="dxa" w:w="35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 belongs in…</w:t>
            </w:r>
          </w:p>
        </w:tc>
        <w:tc>
          <w:tcPr>
            <w:tcW w:type="dxa" w:w="19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Computes anything about the FSM (a new tool, metric, proof)</w:t>
            </w:r>
          </w:p>
        </w:tc>
        <w:tc>
          <w:tcPr>
            <w:tcW w:type="dxa" w:w="3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Engine — core/tools + lemma + facade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§5.1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Is a new algebraic/monoid property</w:t>
            </w:r>
          </w:p>
        </w:tc>
        <w:tc>
          <w:tcPr>
            <w:tcW w:type="dxa" w:w="35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engine/monoid.js</w:t>
            </w:r>
          </w:p>
        </w:tc>
        <w:tc>
          <w:tcPr>
            <w:tcW w:type="dxa" w:w="1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§5.2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Stores or reads persistent user data</w:t>
            </w:r>
          </w:p>
        </w:tc>
        <w:tc>
          <w:tcPr>
            <w:tcW w:type="dxa" w:w="3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Data — both adapters + server + SQL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§5.3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Generates natural-language text</w:t>
            </w:r>
          </w:p>
        </w:tc>
        <w:tc>
          <w:tcPr>
            <w:tcW w:type="dxa" w:w="35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LLM — both providers + server</w:t>
            </w:r>
          </w:p>
        </w:tc>
        <w:tc>
          <w:tcPr>
            <w:tcW w:type="dxa" w:w="1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§5.4</w:t>
            </w:r>
          </w:p>
        </w:tc>
      </w:tr>
      <w:tr>
        <w:tc>
          <w:tcPr>
            <w:tcW w:type="dxa" w:w="3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Is a button, panel, view, or interaction</w:t>
            </w:r>
          </w:p>
        </w:tc>
        <w:tc>
          <w:tcPr>
            <w:tcW w:type="dxa" w:w="35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Presentation — shell.html + UI module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§5.5</w:t>
            </w:r>
          </w:p>
        </w:tc>
      </w:tr>
      <w:tr>
        <w:tc>
          <w:tcPr>
            <w:tcW w:type="dxa" w:w="3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Changes what the editor produces</w:t>
            </w:r>
          </w:p>
        </w:tc>
        <w:tc>
          <w:tcPr>
            <w:tcW w:type="dxa" w:w="35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editor/workflow-editor.html + sync contract</w:t>
            </w:r>
          </w:p>
        </w:tc>
        <w:tc>
          <w:tcPr>
            <w:tcW w:type="dxa" w:w="19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§5.6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 Adding a feature to each part</w:t>
      </w:r>
    </w:p>
    <w:p>
      <w:pPr>
        <w:pStyle w:val="Heading2"/>
      </w:pPr>
      <w:r>
        <w:t xml:space="preserve">5.1  A new engine tool (math)</w:t>
      </w:r>
    </w:p>
    <w:p>
      <w:pPr>
        <w:spacing w:after="120"/>
      </w:pPr>
      <w:r>
        <w:t xml:space="preserve">Worked example: add a </w:t>
      </w:r>
      <w:r>
        <w:rPr>
          <w:b/>
          <w:bCs/>
        </w:rPr>
        <w:t xml:space="preserve">“Find bottlenecks”</w:t>
      </w:r>
      <w:r>
        <w:t xml:space="preserve"> tool that flags states with high fan-in. It must </w:t>
      </w:r>
      <w:r>
        <w:rPr>
          <w:b/>
          <w:bCs/>
        </w:rPr>
        <w:t xml:space="preserve">propose</w:t>
      </w:r>
      <w:r>
        <w:t xml:space="preserve"> a witness and let Lemma </w:t>
      </w:r>
      <w:r>
        <w:rPr>
          <w:b/>
          <w:bCs/>
        </w:rPr>
        <w:t xml:space="preserve">dispose</w:t>
      </w:r>
      <w:r>
        <w:t xml:space="preserve"> it.</w:t>
      </w:r>
    </w:p>
    <w:p>
      <w:pPr>
        <w:pStyle w:val="Heading3"/>
      </w:pPr>
      <w:r>
        <w:t xml:space="preserve">Step 1 — Write the analyser (propose)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engine/modules.gen.js is generated; author new engine modules in their 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source and register them the same way. Analyser = untrusted, fast, proposes.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window.__PL.define("packages/core/src/tools/findBottlenecks.ts", function (require, exports)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function fanIn(wf, 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return wf.transitions.filter(function (x) { return x.to === id; }).length;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exports.findBottlenecks = function (wf)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var hot = wf.states.filter(function (s) { return fanIn(wf, s.id) &gt;= 3;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                   .map(function (s) { return s.id;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// Return a TOOL RESULT + WITNESS — no verdict yet. That is Lemma's job.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return { tool: "find_bottlenecks", witness: { states: hot }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</w:pPr>
      <w:r>
        <w:t xml:space="preserve">Step 2 — Give Lemma an obligation to discharge (dispose)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In the lemma kernel (packages/lemma/src/check.ts): re-derive the property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independently and CERTIFY or REFUTE the analyser's witness.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case "find_bottlenecks":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recomputed = witness.states.filter(function (id)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return countIncoming(wf, id) &gt;= 3;   // kernel recomputes; does not trust input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ok = sameSet(recomputed, witness.states);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return ok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? { ok: true,  certificate: { states: recomputed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  : { ok: false, counterexample: { expected: recomputed, got: witness.states }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Step 3 — Wire it into analyse, then expose via the facade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core/analyse.ts: call the analyser, hand the witness to lemma.check.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facade.js: expose a stable method. THE UI CALLS THIS — never the module.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findBottlenecks: function (wf)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proposal = _core().findBottlenecks(wf);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return _lemma().check(wf, "find_bottlenecks", proposal.witness);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Step 4 — Surface it in the UI (presentation only)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&lt;!-- shell.html: a toolbar button; NO math here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&lt;button class="tool" data-tool="6"&gt;&lt;b&gt;7.&lt;/b&gt; Find bottlenecks&lt;/button&gt;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UI handler calls the facade and renders the verdict — nothing more.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var v = PlumblineEngine.findBottlenecks(currentWorkflow);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renderVerdict(v);   // { ok, certificate | counterexample }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Engine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compute in the UI. </w:t>
            </w:r>
            <w:r>
              <w:t xml:space="preserve">If you find yourself iterating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wf.transitions</w:t>
            </w:r>
            <w:r>
              <w:t xml:space="preserve"> inside a presentation module, stop — that math belongs behind the facade.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skip Lemma. </w:t>
            </w:r>
            <w:r>
              <w:t xml:space="preserve">An analyser result without a kernel verdict is an </w:t>
            </w:r>
            <w:r>
              <w:rPr>
                <w:i/>
                <w:iCs/>
              </w:rPr>
              <w:t xml:space="preserve">assertion</w:t>
            </w:r>
            <w:r>
              <w:t xml:space="preserve">, not a finding. It must not reach the 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mutate the IR. </w:t>
            </w:r>
            <w:r>
              <w:t xml:space="preserve">Analysers read the workflow; they never edit it in place. Return witnesses, not side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bump trust silently. </w:t>
            </w:r>
            <w:r>
              <w:t xml:space="preserve">If kernel behaviour changes, bump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lemma.VERSION</w:t>
            </w:r>
            <w:r>
              <w:t xml:space="preserve"> so certificates remain traceable.</w:t>
            </w:r>
          </w:p>
        </w:tc>
      </w:tr>
    </w:tbl>
    <w:p>
      <w:pPr>
        <w:pStyle w:val="Heading2"/>
      </w:pPr>
      <w:r>
        <w:t xml:space="preserve">5.2  A new monoid operation</w:t>
      </w:r>
    </w:p>
    <w:p>
      <w:pPr>
        <w:spacing w:after="120"/>
      </w:pPr>
      <w:r>
        <w:t xml:space="preserve">Extend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engine/monoid.js</w:t>
      </w:r>
      <w:r>
        <w:t xml:space="preserve">. The discipline here is stronger: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checkMonoid()</w:t>
      </w:r>
      <w:r>
        <w:t xml:space="preserve"> must </w:t>
      </w:r>
      <w:r>
        <w:rPr>
          <w:b/>
          <w:bCs/>
        </w:rPr>
        <w:t xml:space="preserve">rebuild M(A) from the workflow</w:t>
      </w:r>
      <w:r>
        <w:t xml:space="preserve"> and re-verify your witness, so a bug in the fast path can never produce a false certificate.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Add a generator-closed computation, then a self-check that reconstructs it.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function myMonoidProperty(wf)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M = transitionMonoid(wf);            // build M(A) from generators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witness = /* ...propose over M... */;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return { property: "my_property", witness: witness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checkMonoid rebuilds M(A) and re-verifies — certificate or counterexample.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Monoid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trust a cached monoid. </w:t>
            </w:r>
            <w:r>
              <w:t xml:space="preserve">Re-derive M(A) inside the checker; the whole point is independent verification.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ignore the CAP.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CAP = 4096</w:t>
            </w:r>
            <w:r>
              <w:t xml:space="preserve"> guards against state-explosion. Decline gracefully past it rather than hang.</w:t>
            </w:r>
          </w:p>
        </w:tc>
      </w:tr>
    </w:tbl>
    <w:p>
      <w:pPr>
        <w:pStyle w:val="Heading2"/>
      </w:pPr>
      <w:r>
        <w:t xml:space="preserve">5.3  A new data field or entity</w:t>
      </w:r>
    </w:p>
    <w:p>
      <w:pPr>
        <w:spacing w:after="120"/>
      </w:pPr>
      <w:r>
        <w:t xml:space="preserve">Worked example: add </w:t>
      </w:r>
      <w:r>
        <w:rPr>
          <w:b/>
          <w:bCs/>
        </w:rPr>
        <w:t xml:space="preserve">tags</w:t>
      </w:r>
      <w:r>
        <w:t xml:space="preserve"> to a saved workflow. The rule that keeps the data layer coherent: </w:t>
      </w:r>
      <w:r>
        <w:rPr>
          <w:b/>
          <w:bCs/>
        </w:rPr>
        <w:t xml:space="preserve">both adapters implement the identical interface</w:t>
      </w:r>
      <w:r>
        <w:t xml:space="preserve">, and the server + SQL mirror it.</w:t>
      </w:r>
    </w:p>
    <w:p>
      <w:pPr>
        <w:pStyle w:val="Heading3"/>
      </w:pPr>
      <w:r>
        <w:t xml:space="preserve">Step 1 — LocalAdapter (offline)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data-gateway.js — LocalAdapter.saveWorkflow already spreads the snapshot;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just make sure new fields ride along and come back in listWorkflows().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async saveWorkflow(snapshot) {                 // snapshot now may carry .tags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id = snapshot.id || uid("wf_");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d.workflows[id] = Object.assign({}, snapshot, { id: id, userId: me, savedAt: Date.now()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save(d); return { savedWorkflowId: id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Step 2 — RemoteAdapter (must match, byte-for-byte in behaviour)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RemoteAdapter passes the snapshot through unchanged — so the field flows 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the server automatically. The CONTRACT is that both adapters accept the same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snapshot shape and return the same result shape.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saveWorkflow(snap) { return api("/api/workflows", { method: "POST", body: snap }); }</w:t>
            </w:r>
          </w:p>
        </w:tc>
      </w:tr>
    </w:tbl>
    <w:p>
      <w:pPr>
        <w:pStyle w:val="Heading3"/>
      </w:pPr>
      <w:r>
        <w:t xml:space="preserve">Step 3 — Server route + SQL migration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-- server/migrations/00X_tags.sql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alter table saved_workflows add column tags jsonb not null default '[]'::jsonb;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server/src/index.js — persist and return the new column.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"insert into saved_workflows(user_id,name,workflow,config,tools_executed,layout,tags)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values ($1,$2,$3,$4,$5,$6,$7) returning id"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...JSON.stringify(b.tags || [])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Data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touch storage from the UI. </w:t>
            </w:r>
            <w:r>
              <w:t xml:space="preserve">No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localStorage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fetch</w:t>
            </w:r>
            <w:r>
              <w:t xml:space="preserve">, or SQL in presentation code — only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PlumblineData</w:t>
            </w:r>
            <w:r>
              <w:t xml:space="preserve"> methods.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let the adapters diverge. </w:t>
            </w:r>
            <w:r>
              <w:t xml:space="preserve">If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LocalAdapter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RemoteAdapter</w:t>
            </w:r>
            <w:r>
              <w:t xml:space="preserve"> disagree on a method's shape, swapping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configure({mode})</w:t>
            </w:r>
            <w:r>
              <w:t xml:space="preserve"> breaks silently. Add to </w:t>
            </w:r>
            <w:r>
              <w:rPr>
                <w:i/>
                <w:iCs/>
              </w:rPr>
              <w:t xml:space="preserve">both</w:t>
            </w:r>
            <w:r>
              <w:t xml:space="preserve">, and to the delegated method list at the bottom of the 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store secrets client-side. </w:t>
            </w:r>
            <w:r>
              <w:t xml:space="preserve">Local passwords are salted+hashed for dev convenience only; real trust lives on the server (bcrypt).</w:t>
            </w:r>
          </w:p>
        </w:tc>
      </w:tr>
    </w:tbl>
    <w:p>
      <w:pPr>
        <w:pStyle w:val="Heading2"/>
      </w:pPr>
      <w:r>
        <w:t xml:space="preserve">5.4  A new LLM intent</w:t>
      </w:r>
    </w:p>
    <w:p>
      <w:pPr>
        <w:spacing w:after="120"/>
      </w:pPr>
      <w:r>
        <w:t xml:space="preserve">Worked example: add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suggestRiskFlags</w:t>
      </w:r>
      <w:r>
        <w:t xml:space="preserve">. Intents are task-shaped, not free-form chat, and must exist in </w:t>
      </w:r>
      <w:r>
        <w:rPr>
          <w:b/>
          <w:bCs/>
        </w:rPr>
        <w:t xml:space="preserve">three places</w:t>
      </w:r>
      <w:r>
        <w:t xml:space="preserve"> in lockstep: Mock, Anthropic, and the server.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llm-gateway.js — MockProvider (offline, deterministic) AND AnthropicProvider.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MockProvider:     async suggestRiskFlags(ctx) { return { flags: heuristic(ctx) };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AnthropicProvider: suggestRiskFlags(ctx) { return call("suggest_risk_flags", { context: ctx });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...and add "suggestRiskFlags" to the gateway's delegated method list.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server/src/llm.js — a JSON schema (guarantees shape) + a prompt builder.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SCHEMAS.suggest_risk_flags = { type:"object", additionalProperties:false,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properties:{ flags:{ type:"array", items:{ type:"string" } } }, required:["flags"]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case "suggest_risk_flags":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return "List risk flags for this step...\n" + JSON.stringify(payload.context, null, 2);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LLM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Never certify with the LLM. </w:t>
            </w:r>
            <w:r>
              <w:t xml:space="preserve">It is advisory. Only the Lemma kernel certifies. Explanations carry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narrative-only</w:t>
            </w:r>
            <w:r>
              <w:t xml:space="preserve"> provenance.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Never put the API key in the browser. </w:t>
            </w:r>
            <w:r>
              <w:t xml:space="preserve">The server proxy is the secrecy boundary — the browser posts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{intent, payload}</w:t>
            </w:r>
            <w:r>
              <w:t xml:space="preserve"> and gets normalised JSON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Keep Mock in lockstep. </w:t>
            </w:r>
            <w:r>
              <w:t xml:space="preserve">Every intent must work offline via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MockProvider</w:t>
            </w:r>
            <w:r>
              <w:t xml:space="preserve">; a missing mock means the feature dies without a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invent numbers. </w:t>
            </w:r>
            <w:r>
              <w:t xml:space="preserve">The system prompt forbids it; your prompt must not ask the model to compute cost or proofs.</w:t>
            </w:r>
          </w:p>
        </w:tc>
      </w:tr>
    </w:tbl>
    <w:p>
      <w:pPr>
        <w:pStyle w:val="Heading2"/>
      </w:pPr>
      <w:r>
        <w:t xml:space="preserve">5.5  A new UI feature</w:t>
      </w:r>
    </w:p>
    <w:p>
      <w:pPr>
        <w:spacing w:after="120"/>
      </w:pPr>
      <w:r>
        <w:t xml:space="preserve">Worked example: a toolbar action. Markup goes in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shell.html</w:t>
      </w:r>
      <w:r>
        <w:t xml:space="preserve">; behaviour goes in a UI module or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ui-boot.js</w:t>
      </w:r>
      <w:r>
        <w:t xml:space="preserve">; it calls facades only.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&lt;!-- presentation/shell.html --&gt;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&lt;button class="btn ghost" id="btnExportLedger"&gt;Export ledger&lt;/button&gt;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// app/ui-boot.js (or a studio UI module) — reach services, never math.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document.getElementById("btnExportLedger").addEventListener("click", function 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result = PlumblineServices.engine.expectedCost(currentWf, model);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var text   = PlumblineServices.engine.ledger(result);   // engine formats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  download("ledger.txt", text);                            // UI just moves bytes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8314F"/>
                <w:sz w:val="18"/>
                <w:szCs w:val="18"/>
              </w:rPr>
              <w:t xml:space="preserve">});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UI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reach past the facade. </w:t>
            </w:r>
            <w:r>
              <w:t xml:space="preserve">Use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PlumblineServices.engine/data/llm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window.__PL.load(...)</w:t>
            </w:r>
            <w:r>
              <w:t xml:space="preserve"> of an engine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assume boot order. </w:t>
            </w:r>
            <w:r>
              <w:t xml:space="preserve">Facades are guaranteed present by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ui-boot.js</w:t>
            </w:r>
            <w:r>
              <w:t xml:space="preserve">; new UI must run after it, not before.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hand-edit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ui-modules.gen.js</w:t>
            </w:r>
            <w:r>
              <w:rPr>
                <w:b/>
                <w:bCs/>
              </w:rPr>
              <w:t xml:space="preserve">. </w:t>
            </w:r>
            <w:r>
              <w:t xml:space="preserve">It is mechanically split from the proven bundle (see §6). Author new UI in a way that survives regeneration.</w:t>
            </w:r>
          </w:p>
        </w:tc>
      </w:tr>
    </w:tbl>
    <w:p>
      <w:pPr>
        <w:pStyle w:val="Heading2"/>
      </w:pPr>
      <w:r>
        <w:t xml:space="preserve">5.6  A new editor capability</w:t>
      </w:r>
    </w:p>
    <w:p>
      <w:pPr>
        <w:spacing w:after="120"/>
      </w:pPr>
      <w:r>
        <w:t xml:space="preserve">The editor is an embedded iframe. Anything it produces reaches the Studio through the </w:t>
      </w:r>
      <w:r>
        <w:rPr>
          <w:b/>
          <w:bCs/>
        </w:rPr>
        <w:t xml:space="preserve">snapshot contract</w:t>
      </w:r>
      <w:r>
        <w:t xml:space="preserve"> — two postMessage message types. Change the editor's output and you must keep that shape stable (or update both ends together).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21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40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plumbline-editor-data</w:t>
            </w:r>
          </w:p>
        </w:tc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editor → Studio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 fresh workflow snapshot (debounced on every change)</w:t>
            </w:r>
          </w:p>
        </w:tc>
      </w:tr>
      <w:tr>
        <w:tc>
          <w:tcPr>
            <w:tcW w:type="dxa" w:w="32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plumbline-request-editor-data</w:t>
            </w:r>
          </w:p>
        </w:tc>
        <w:tc>
          <w:tcPr>
            <w:tcW w:type="dxa" w:w="21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Studio → editor</w:t>
            </w:r>
          </w:p>
        </w:tc>
        <w:tc>
          <w:tcPr>
            <w:tcW w:type="dxa" w:w="40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“Send me your current process now” (on entering Studio)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plumblineExportForAnalysis()</w:t>
            </w:r>
          </w:p>
        </w:tc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same-origin call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Fast path when served over http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Editor anti-patterns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break the snapshot shape. </w:t>
            </w:r>
            <w:r>
              <w:t xml:space="preserve">The Studio imports it via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PlumblineEngine.parseWorkflow</w:t>
            </w:r>
            <w:r>
              <w:t xml:space="preserve">; a shape change ripples into io, validation, and the DB snapshot.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Don't rely on same-origin. </w:t>
            </w:r>
            <w:r>
              <w:t xml:space="preserve">The built file runs from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file://</w:t>
            </w:r>
            <w:r>
              <w:t xml:space="preserve">; postMessage must always work. The same-origin fast path is an optimisation, not a requirement.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 Keeping the whole application in sync</w:t>
      </w:r>
    </w:p>
    <w:p>
      <w:pPr>
        <w:spacing w:after="160"/>
      </w:pPr>
      <w:r>
        <w:t xml:space="preserve">This is where features quietly break. Coordination in Plumbline is not automatic — it is a set of contracts you must honour deliberately. Here they are, each with its failure mode.</w:t>
      </w:r>
    </w:p>
    <w:p>
      <w:pPr>
        <w:pStyle w:val="Heading2"/>
      </w:pPr>
      <w:r>
        <w:t xml:space="preserve">6.1  The wiring checklist — every new source file</w:t>
      </w:r>
    </w:p>
    <w:p>
      <w:pPr>
        <w:spacing w:after="120"/>
      </w:pPr>
      <w:r>
        <w:t xml:space="preserve">A new layer file is invisible until it is wired into </w:t>
      </w:r>
      <w:r>
        <w:rPr>
          <w:b/>
          <w:bCs/>
        </w:rPr>
        <w:t xml:space="preserve">four</w:t>
      </w:r>
      <w:r>
        <w:t xml:space="preserve"> places. Miss one and either the build fails or a builder diverges.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500"/>
        <w:gridCol w:w="4260"/>
        <w:gridCol w:w="2600"/>
      </w:tblGrid>
      <w:tr>
        <w:trPr>
          <w:tblHeader/>
        </w:trPr>
        <w:tc>
          <w:tcPr>
            <w:tcW w:type="dxa" w:w="25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Wire it into…</w:t>
            </w:r>
          </w:p>
        </w:tc>
        <w:tc>
          <w:tcPr>
            <w:tcW w:type="dxa" w:w="42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W w:type="dxa" w:w="26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Failure if skipped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presentation/shell.html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Adds the ordered @@MARKER@@ in the correct load position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No marker → code never ships</w:t>
            </w:r>
          </w:p>
        </w:tc>
      </w:tr>
      <w:tr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build.py</w:t>
            </w:r>
            <w:r>
              <w:t xml:space="preserve"> PARTS</w:t>
            </w:r>
          </w:p>
        </w:tc>
        <w:tc>
          <w:tcPr>
            <w:tcW w:type="dxa" w:w="4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Python builder inlines the file</w:t>
            </w:r>
          </w:p>
        </w:tc>
        <w:tc>
          <w:tcPr>
            <w:tcW w:type="dxa" w:w="26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build.py</w:t>
            </w:r>
            <w:r>
              <w:t xml:space="preserve"> errors or omits it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build.ps1</w:t>
            </w:r>
          </w:p>
        </w:tc>
        <w:tc>
          <w:tcPr>
            <w:tcW w:type="dxa" w:w="4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PowerShell builder inlines the file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Builders diverge → SHA mismatch</w:t>
            </w:r>
          </w:p>
        </w:tc>
      </w:tr>
      <w:tr>
        <w:tc>
          <w:tcPr>
            <w:tcW w:type="dxa" w:w="25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plumbline-dev.html</w:t>
            </w:r>
          </w:p>
        </w:tc>
        <w:tc>
          <w:tcPr>
            <w:tcW w:type="dxa" w:w="4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No-build dev shell loads the layer</w:t>
            </w:r>
          </w:p>
        </w:tc>
        <w:tc>
          <w:tcPr>
            <w:tcW w:type="dxa" w:w="26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Works built, breaks in dev</w:t>
            </w:r>
          </w:p>
        </w:tc>
      </w:tr>
    </w:tbl>
    <w:tbl>
      <w:tblPr>
        <w:tblW w:type="dxa" w:w="9360"/>
        <w:tblBorders>
          <w:top w:val="single" w:color="2C6E6B" w:sz="4"/>
          <w:left w:val="single" w:color="2C6E6B" w:sz="28"/>
          <w:bottom w:val="single" w:color="2C6E6B" w:sz="4"/>
          <w:right w:val="single" w:color="2C6E6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F6F3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C6E6B"/>
                <w:sz w:val="20"/>
                <w:szCs w:val="20"/>
              </w:rPr>
              <w:t xml:space="preserve">DO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Prove the builders still agree</w:t>
            </w:r>
          </w:p>
          <w:p>
            <w:pPr>
              <w:spacing w:after="120"/>
            </w:pPr>
            <w:r>
              <w:t xml:space="preserve">After any build change, run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python build.py --check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build.ps1</w:t>
            </w:r>
            <w:r>
              <w:t xml:space="preserve"> and confirm </w:t>
            </w:r>
            <w:r>
              <w:rPr>
                <w:b/>
                <w:bCs/>
              </w:rPr>
              <w:t xml:space="preserve">identical SHA-256</w:t>
            </w:r>
            <w:r>
              <w:t xml:space="preserve">. The current monoid build is 681,467 bytes, sha 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1316c8ab…</w:t>
            </w:r>
            <w:r>
              <w:t xml:space="preserve">. A mismatch means the two builders drifted.</w:t>
            </w:r>
          </w:p>
        </w:tc>
      </w:tr>
    </w:tbl>
    <w:p>
      <w:pPr>
        <w:pStyle w:val="Heading2"/>
      </w:pPr>
      <w:r>
        <w:t xml:space="preserve">6.2  The facade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Globals before UI. </w:t>
      </w:r>
      <w:r>
        <w:t xml:space="preserve">Each facade publishes its global (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PlumblineEngine/Data/LLM</w:t>
      </w:r>
      <w:r>
        <w:t xml:space="preserve">) before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ui-boot.js</w:t>
      </w:r>
      <w:r>
        <w:t xml:space="preserve"> runs. Load order is load-bearing; never reorder markers.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Stable API surface. </w:t>
      </w:r>
      <w:r>
        <w:t xml:space="preserve">The facade is the contract. Add methods; don't repurpose or remove them without updating every caller.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Math only behind the engine facade. </w:t>
      </w:r>
      <w:r>
        <w:t xml:space="preserve">If a computation leaks into the UI, the “no math in presentation” invariant — the reason the architecture exists — is broken.</w:t>
      </w:r>
    </w:p>
    <w:p>
      <w:pPr>
        <w:pStyle w:val="Heading2"/>
      </w:pPr>
      <w:r>
        <w:t xml:space="preserve">6.3  Parity contracts (the two-implementations rule)</w:t>
      </w:r>
    </w:p>
    <w:p>
      <w:pPr>
        <w:spacing w:after="120"/>
      </w:pPr>
      <w:r>
        <w:t xml:space="preserve">Three places in the app have two interchangeable implementations. Both must always implement the same interface, or swapping them breaks silently at runtime: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100"/>
        <w:gridCol w:w="2430"/>
        <w:gridCol w:w="2430"/>
        <w:gridCol w:w="2400"/>
      </w:tblGrid>
      <w:tr>
        <w:trPr>
          <w:tblHeader/>
        </w:trPr>
        <w:tc>
          <w:tcPr>
            <w:tcW w:type="dxa" w:w="21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243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A</w:t>
            </w:r>
          </w:p>
        </w:tc>
        <w:tc>
          <w:tcPr>
            <w:tcW w:type="dxa" w:w="243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B</w:t>
            </w:r>
          </w:p>
        </w:tc>
        <w:tc>
          <w:tcPr>
            <w:tcW w:type="dxa" w:w="240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Swap point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Data</w:t>
            </w:r>
          </w:p>
        </w:tc>
        <w:tc>
          <w:tcPr>
            <w:tcW w:type="dxa" w:w="2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LocalAdapter</w:t>
            </w:r>
          </w:p>
        </w:tc>
        <w:tc>
          <w:tcPr>
            <w:tcW w:type="dxa" w:w="2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RemoteAdapter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PlumblineData.configure({mode})</w:t>
            </w:r>
          </w:p>
        </w:tc>
      </w:tr>
      <w:tr>
        <w:tc>
          <w:tcPr>
            <w:tcW w:type="dxa" w:w="21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LLM</w:t>
            </w:r>
          </w:p>
        </w:tc>
        <w:tc>
          <w:tcPr>
            <w:tcW w:type="dxa" w:w="24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MockProvider</w:t>
            </w:r>
          </w:p>
        </w:tc>
        <w:tc>
          <w:tcPr>
            <w:tcW w:type="dxa" w:w="243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AnthropicProvider</w:t>
            </w:r>
          </w:p>
        </w:tc>
        <w:tc>
          <w:tcPr>
            <w:tcW w:type="dxa" w:w="240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PlumblineLLM.configure({mode})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Storage of a snapshot</w:t>
            </w:r>
          </w:p>
        </w:tc>
        <w:tc>
          <w:tcPr>
            <w:tcW w:type="dxa" w:w="2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client shape</w:t>
            </w:r>
          </w:p>
        </w:tc>
        <w:tc>
          <w:tcPr>
            <w:tcW w:type="dxa" w:w="243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server + SQL columns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REST body ↔ JSON columns</w:t>
            </w:r>
          </w:p>
        </w:tc>
      </w:tr>
    </w:tbl>
    <w:tbl>
      <w:tblPr>
        <w:tblW w:type="dxa" w:w="9360"/>
        <w:tblBorders>
          <w:top w:val="single" w:color="B2453C" w:sz="4"/>
          <w:left w:val="single" w:color="B2453C" w:sz="28"/>
          <w:bottom w:val="single" w:color="B2453C" w:sz="4"/>
          <w:right w:val="single" w:color="B245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DEA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2453C"/>
                <w:sz w:val="20"/>
                <w:szCs w:val="20"/>
              </w:rPr>
              <w:t xml:space="preserve">DON'T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The silent-divergence trap</w:t>
            </w:r>
          </w:p>
          <w:p>
            <w:pPr>
              <w:spacing w:after="120"/>
            </w:pPr>
            <w:r>
              <w:t xml:space="preserve">Adding a method or field to only </w:t>
            </w:r>
            <w:r>
              <w:rPr>
                <w:i/>
                <w:iCs/>
              </w:rPr>
              <w:t xml:space="preserve">one</w:t>
            </w:r>
            <w:r>
              <w:t xml:space="preserve"> side of a parity contract compiles and runs — until the user flips the mode or goes online. Always edit both, plus the delegated-method list where the gateway re-exposes adapter methods.</w:t>
            </w:r>
          </w:p>
        </w:tc>
      </w:tr>
    </w:tbl>
    <w:p>
      <w:pPr>
        <w:pStyle w:val="Heading2"/>
      </w:pPr>
      <w:r>
        <w:t xml:space="preserve">6.4  The snapshot contract (end to end)</w:t>
      </w:r>
    </w:p>
    <w:p>
      <w:pPr>
        <w:spacing w:after="120"/>
      </w:pPr>
      <w:r>
        <w:t xml:space="preserve">One data shape travels the full width of the app. If you change it, update every station on the line: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8314F"/>
          <w:sz w:val="19"/>
          <w:szCs w:val="19"/>
        </w:rPr>
        <w:t xml:space="preserve">editor</w:t>
      </w:r>
      <w:r>
        <w:t xml:space="preserve"> produces it →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plumbline-editor-data</w:t>
      </w:r>
      <w:r>
        <w:t xml:space="preserve">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8314F"/>
          <w:sz w:val="19"/>
          <w:szCs w:val="19"/>
        </w:rPr>
        <w:t xml:space="preserve">io.parseWorkflow</w:t>
      </w:r>
      <w:r>
        <w:t xml:space="preserve"> imports it → canonical IR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Studio saves it via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PlumblineData.saveWorkflow</w:t>
      </w:r>
      <w:r>
        <w:t xml:space="preserve"> (name, config, toolsExecuted, layout)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Server persists it →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saved_workflows</w:t>
      </w:r>
      <w:r>
        <w:t xml:space="preserve"> columns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workflow/config/tools_executed/layout</w:t>
      </w:r>
    </w:p>
    <w:p>
      <w:pPr>
        <w:spacing w:after="120"/>
      </w:pPr>
      <w:r>
        <w:rPr>
          <w:b/>
          <w:bCs/>
        </w:rPr>
        <w:t xml:space="preserve">Rule: </w:t>
      </w:r>
      <w:r>
        <w:t xml:space="preserve">the saved snapshot must round-trip. What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loadWorkflow</w:t>
      </w:r>
      <w:r>
        <w:t xml:space="preserve"> restores must reproduce the exact configuration, executed tools, and tile positions the user left.</w:t>
      </w:r>
    </w:p>
    <w:p>
      <w:pPr>
        <w:pStyle w:val="Heading2"/>
      </w:pPr>
      <w:r>
        <w:t xml:space="preserve">6.5  The certifying invariant</w:t>
      </w:r>
    </w:p>
    <w:tbl>
      <w:tblPr>
        <w:tblW w:type="dxa" w:w="9360"/>
        <w:tblBorders>
          <w:top w:val="single" w:color="2C6E6B" w:sz="4"/>
          <w:left w:val="single" w:color="2C6E6B" w:sz="28"/>
          <w:bottom w:val="single" w:color="2C6E6B" w:sz="4"/>
          <w:right w:val="single" w:color="2C6E6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CF6F3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C6E6B"/>
                <w:sz w:val="20"/>
                <w:szCs w:val="20"/>
              </w:rPr>
              <w:t xml:space="preserve">DO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Never let a finding skip its verdict</w:t>
            </w:r>
          </w:p>
          <w:p>
            <w:pPr>
              <w:spacing w:after="120"/>
            </w:pPr>
            <w:r>
              <w:t xml:space="preserve">The single most important runtime invariant: </w:t>
            </w:r>
            <w:r>
              <w:rPr>
                <w:b/>
                <w:bCs/>
              </w:rPr>
              <w:t xml:space="preserve">no finding reaches the UI without a Lemma verdict</w:t>
            </w:r>
            <w:r>
              <w:t xml:space="preserve">. Keep the analyser and the kernel wired together in the facade (</w:t>
            </w:r>
            <w:r>
              <w:rPr>
                <w:rFonts w:ascii="Consolas" w:cs="Consolas" w:eastAsia="Consolas" w:hAnsi="Consolas"/>
                <w:color w:val="18314F"/>
                <w:sz w:val="19"/>
                <w:szCs w:val="19"/>
              </w:rPr>
              <w:t xml:space="preserve">analyse(wf, lemma.check)</w:t>
            </w:r>
            <w:r>
              <w:t xml:space="preserve">) so they cannot be called separately.</w:t>
            </w:r>
          </w:p>
        </w:tc>
      </w:tr>
    </w:tbl>
    <w:p>
      <w:pPr>
        <w:pStyle w:val="Heading2"/>
      </w:pPr>
      <w:r>
        <w:t xml:space="preserve">6.6  Versioning &amp; the generated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Bump versions on behaviour change.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engine.version</w:t>
      </w:r>
      <w:r>
        <w:t xml:space="preserve"> and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lemma.VERSION</w:t>
      </w:r>
      <w:r>
        <w:t xml:space="preserve"> appear in every provenance stamp — keep them honest so certificates stay traceable.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Treat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*.gen.js</w:t>
      </w:r>
      <w:r>
        <w:rPr>
          <w:b/>
          <w:bCs/>
        </w:rPr>
        <w:t xml:space="preserve"> as generated.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engine/modules.gen.js</w:t>
      </w:r>
      <w:r>
        <w:t xml:space="preserve"> and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app/ui-modules.gen.js</w:t>
      </w:r>
      <w:r>
        <w:t xml:space="preserve"> are mechanically split from the proven bundle at its module seams. Don't hand-edit; regenerate via the split tool so the code stays provably unchanged, only relocated.</w:t>
      </w:r>
    </w:p>
    <w:p>
      <w:pPr>
        <w:pStyle w:val="Heading2"/>
      </w:pPr>
      <w:r>
        <w:t xml:space="preserve">6.7  Verification workflow (run before you commit)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Syntax: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node --check</w:t>
      </w:r>
      <w:r>
        <w:t xml:space="preserve"> every hand-edited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.js</w:t>
      </w:r>
      <w:r>
        <w:t xml:space="preserve"> file (engine, data, llm, server).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Build: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python build.py --check</w:t>
      </w:r>
      <w:r>
        <w:t xml:space="preserve"> — asserts facades present, no stray markers, prints SHA.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Cross-builder: </w:t>
      </w:r>
      <w:r>
        <w:t xml:space="preserve">run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build.ps1</w:t>
      </w:r>
      <w:r>
        <w:t xml:space="preserve">; confirm the SHA matches build.py.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Headless smoke: </w:t>
      </w:r>
      <w:r>
        <w:t xml:space="preserve">exercise each facade (analyze a fixture, save/load a snapshot, run a mock LLM intent).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it: </w:t>
      </w:r>
      <w:r>
        <w:t xml:space="preserve">open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dist/Plumbline_Studio_V2.html</w:t>
      </w:r>
      <w:r>
        <w:t xml:space="preserve"> and drive the real flow; use </w:t>
      </w:r>
      <w:r>
        <w:rPr>
          <w:rFonts w:ascii="Consolas" w:cs="Consolas" w:eastAsia="Consolas" w:hAnsi="Consolas"/>
          <w:color w:val="18314F"/>
          <w:sz w:val="19"/>
          <w:szCs w:val="19"/>
        </w:rPr>
        <w:t xml:space="preserve">src/plumbline-dev.html</w:t>
      </w:r>
      <w:r>
        <w:t xml:space="preserve"> for fast, no-build iteration.</w:t>
      </w:r>
    </w:p>
    <w:p>
      <w:r>
        <w:br w:type="page"/>
      </w:r>
    </w:p>
    <w:p>
      <w:pPr>
        <w:pStyle w:val="Heading1"/>
      </w:pPr>
      <w:r>
        <w:t xml:space="preserve">7  Anti-pattern catalogue (what not to do)</w:t>
      </w:r>
    </w:p>
    <w:p>
      <w:pPr>
        <w:spacing w:after="160"/>
      </w:pPr>
      <w:r>
        <w:t xml:space="preserve">Consolidated. If a change trips any of these, reconsider before shipping.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650"/>
        <w:gridCol w:w="3450"/>
        <w:gridCol w:w="3260"/>
      </w:tblGrid>
      <w:tr>
        <w:trPr>
          <w:tblHeader/>
        </w:trPr>
        <w:tc>
          <w:tcPr>
            <w:tcW w:type="dxa" w:w="265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Anti-pattern</w:t>
            </w:r>
          </w:p>
        </w:tc>
        <w:tc>
          <w:tcPr>
            <w:tcW w:type="dxa" w:w="345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it's wrong</w:t>
            </w:r>
          </w:p>
        </w:tc>
        <w:tc>
          <w:tcPr>
            <w:tcW w:type="dxa" w:w="3260"/>
            <w:shd w:fill="1624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instead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Math in a presentation module</w:t>
            </w:r>
          </w:p>
        </w:tc>
        <w:tc>
          <w:tcPr>
            <w:tcW w:type="dxa" w:w="3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Breaks the core invariant; makes findings un-auditable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Put it behind PlumblineEngine; UI calls the facade</w:t>
            </w:r>
          </w:p>
        </w:tc>
      </w:tr>
      <w:tr>
        <w:tc>
          <w:tcPr>
            <w:tcW w:type="dxa" w:w="26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Finding without a Lemma verdict</w:t>
            </w:r>
          </w:p>
        </w:tc>
        <w:tc>
          <w:tcPr>
            <w:tcW w:type="dxa" w:w="34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That's an assertion, not a certificate</w:t>
            </w:r>
          </w:p>
        </w:tc>
        <w:tc>
          <w:tcPr>
            <w:tcW w:type="dxa" w:w="3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Wire analyser → lemma.check in the facade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Editing dist/…html by hand</w:t>
            </w:r>
          </w:p>
        </w:tc>
        <w:tc>
          <w:tcPr>
            <w:tcW w:type="dxa" w:w="3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Lost on rebuild; breaks byte-identical build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 the source layer, then rebuild</w:t>
            </w:r>
          </w:p>
        </w:tc>
      </w:tr>
      <w:tr>
        <w:tc>
          <w:tcPr>
            <w:tcW w:type="dxa" w:w="26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Editing a *.gen.js by hand</w:t>
            </w:r>
          </w:p>
        </w:tc>
        <w:tc>
          <w:tcPr>
            <w:tcW w:type="dxa" w:w="34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It's mechanically generated from the bundle</w:t>
            </w:r>
          </w:p>
        </w:tc>
        <w:tc>
          <w:tcPr>
            <w:tcW w:type="dxa" w:w="3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Regenerate via the split tool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Adding to one adapter/provider only</w:t>
            </w:r>
          </w:p>
        </w:tc>
        <w:tc>
          <w:tcPr>
            <w:tcW w:type="dxa" w:w="3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Breaks on mode-swap or going online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Add to both + the delegated method list</w:t>
            </w:r>
          </w:p>
        </w:tc>
      </w:tr>
      <w:tr>
        <w:tc>
          <w:tcPr>
            <w:tcW w:type="dxa" w:w="26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localStorage / fetch / SQL in the UI</w:t>
            </w:r>
          </w:p>
        </w:tc>
        <w:tc>
          <w:tcPr>
            <w:tcW w:type="dxa" w:w="34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Bypasses the data layer's single channel</w:t>
            </w:r>
          </w:p>
        </w:tc>
        <w:tc>
          <w:tcPr>
            <w:tcW w:type="dxa" w:w="3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Call PlumblineData methods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API key or secret in the browser</w:t>
            </w:r>
          </w:p>
        </w:tc>
        <w:tc>
          <w:tcPr>
            <w:tcW w:type="dxa" w:w="3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Leaks the secret; defeats the proxy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Keep it server-side behind /api/llm</w:t>
            </w:r>
          </w:p>
        </w:tc>
      </w:tr>
      <w:tr>
        <w:tc>
          <w:tcPr>
            <w:tcW w:type="dxa" w:w="26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Reordering shell.html markers</w:t>
            </w:r>
          </w:p>
        </w:tc>
        <w:tc>
          <w:tcPr>
            <w:tcW w:type="dxa" w:w="34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Facades won't exist before the UI boots</w:t>
            </w:r>
          </w:p>
        </w:tc>
        <w:tc>
          <w:tcPr>
            <w:tcW w:type="dxa" w:w="3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Preserve the load-bearing order</w:t>
            </w:r>
          </w:p>
        </w:tc>
      </w:tr>
      <w:tr>
        <w:tc>
          <w:tcPr>
            <w:tcW w:type="dxa" w:w="2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New file wired into only one builder</w:t>
            </w:r>
          </w:p>
        </w:tc>
        <w:tc>
          <w:tcPr>
            <w:tcW w:type="dxa" w:w="34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Python and PowerShell outputs diverge</w:t>
            </w:r>
          </w:p>
        </w:tc>
        <w:tc>
          <w:tcPr>
            <w:tcW w:type="dxa" w:w="32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Wire into shell + build.py + build.ps1 + dev shell</w:t>
            </w:r>
          </w:p>
        </w:tc>
      </w:tr>
      <w:tr>
        <w:tc>
          <w:tcPr>
            <w:tcW w:type="dxa" w:w="26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Changing the snapshot shape in one place</w:t>
            </w:r>
          </w:p>
        </w:tc>
        <w:tc>
          <w:tcPr>
            <w:tcW w:type="dxa" w:w="345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Editor, io, DB, and SQL fall out of sync</w:t>
            </w:r>
          </w:p>
        </w:tc>
        <w:tc>
          <w:tcPr>
            <w:tcW w:type="dxa" w:w="3260"/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A2E37"/>
                <w:sz w:val="19"/>
                <w:szCs w:val="19"/>
              </w:rPr>
              <w:t xml:space="preserve">Update every station on the snapshot line</w:t>
            </w:r>
          </w:p>
        </w:tc>
      </w:tr>
    </w:tbl>
    <w:p>
      <w:pPr>
        <w:pStyle w:val="Heading1"/>
      </w:pPr>
      <w:r>
        <w:t xml:space="preserve">8  Contribution checklist</w:t>
      </w:r>
    </w:p>
    <w:p>
      <w:pPr>
        <w:spacing w:after="160"/>
      </w:pPr>
      <w:r>
        <w:t xml:space="preserve">A single pass to run before calling a feature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Layer chosen correctly</w:t>
      </w:r>
      <w:r>
        <w:t xml:space="preserve"> (§4) — math behind the engine facade, storage behind data, text behind LLM, chrome in presentation.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Facade updated</w:t>
      </w:r>
      <w:r>
        <w:t xml:space="preserve"> with a stable new method; all callers go through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Parity honoured</w:t>
      </w:r>
      <w:r>
        <w:t xml:space="preserve"> — both adapters/providers updated where relevant, plus the delegated method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Certifying invariant intact</w:t>
      </w:r>
      <w:r>
        <w:t xml:space="preserve"> — every new finding carries a Lemma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files wired into all four places</w:t>
      </w:r>
      <w:r>
        <w:t xml:space="preserve"> (§6.1); both builders produce identical SHA-256.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Snapshot round-trips</w:t>
      </w:r>
      <w:r>
        <w:t xml:space="preserve"> if its shape changed (editor → io → data → 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Versions bumped</w:t>
      </w:r>
      <w:r>
        <w:t xml:space="preserve"> if engine or kernel behaviour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</w:t>
      </w:r>
      <w:r>
        <w:t xml:space="preserve"> — node --check, build --check, cross-builder SHA, headless smoke, and a real run in the browser.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1C3D5A" w:sz="4"/>
          <w:left w:val="single" w:color="1C3D5A" w:sz="28"/>
          <w:bottom w:val="single" w:color="1C3D5A" w:sz="4"/>
          <w:right w:val="single" w:color="1C3D5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C3D5A"/>
                <w:sz w:val="20"/>
                <w:szCs w:val="20"/>
              </w:rPr>
              <w:t xml:space="preserve">NOTE  </w:t>
            </w:r>
            <w:r>
              <w:rPr>
                <w:b/>
                <w:bCs/>
                <w:color w:val="16243B"/>
                <w:sz w:val="20"/>
                <w:szCs w:val="20"/>
              </w:rPr>
              <w:t xml:space="preserve">The one-line summary</w:t>
            </w:r>
          </w:p>
          <w:p>
            <w:pPr>
              <w:spacing w:after="120"/>
            </w:pPr>
            <w:r>
              <w:t xml:space="preserve">Plumbline stays coordinated because every capability enters through a </w:t>
            </w:r>
            <w:r>
              <w:rPr>
                <w:b/>
                <w:bCs/>
              </w:rPr>
              <w:t xml:space="preserve">named facade</w:t>
            </w:r>
            <w:r>
              <w:t xml:space="preserve">, every implementation has a </w:t>
            </w:r>
            <w:r>
              <w:rPr>
                <w:b/>
                <w:bCs/>
              </w:rPr>
              <w:t xml:space="preserve">parity twin</w:t>
            </w:r>
            <w:r>
              <w:t xml:space="preserve">, every finding gets a </w:t>
            </w:r>
            <w:r>
              <w:rPr>
                <w:b/>
                <w:bCs/>
              </w:rPr>
              <w:t xml:space="preserve">verdict</w:t>
            </w:r>
            <w:r>
              <w:t xml:space="preserve">, and every source file is </w:t>
            </w:r>
            <w:r>
              <w:rPr>
                <w:b/>
                <w:bCs/>
              </w:rPr>
              <w:t xml:space="preserve">wired into both builders</w:t>
            </w:r>
            <w:r>
              <w:t xml:space="preserve">. Hold those four contracts and the line stays true.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6" w:sz="4" w:space="6"/>
      </w:pBdr>
      <w:jc w:val="center"/>
    </w:pPr>
    <w:r>
      <w:rPr>
        <w:color w:val="6B7280"/>
        <w:sz w:val="16"/>
        <w:szCs w:val="16"/>
      </w:rPr>
      <w:t xml:space="preserve">plumbline · true by measure</w:t>
    </w:r>
    <w:r>
      <w:rPr>
        <w:sz w:val="16"/>
        <w:szCs w:val="16"/>
      </w:rPr>
      <w:t xml:space="preserve">     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Plumbline · Developer's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.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37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LTitle">
    <w:name w:val="PL Title"/>
    <w:basedOn w:val="Normal"/>
    <w:next w:val="Normal"/>
    <w:rPr>
      <w:rFonts w:ascii="Calibri" w:cs="Calibri" w:eastAsia="Calibri" w:hAnsi="Calibri"/>
      <w:b/>
      <w:bCs/>
      <w:color w:val="16243B"/>
      <w:sz w:val="60"/>
      <w:szCs w:val="6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6243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Calibri" w:cs="Calibri" w:eastAsia="Calibri" w:hAnsi="Calibri"/>
      <w:b/>
      <w:bCs/>
      <w:color w:val="1C3D5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Calibri" w:hAnsi="Calibri"/>
      <w:b/>
      <w:bCs/>
      <w:color w:val="2C6E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Plumbline Developer's Guide</dc:title>
  <dc:creator>Plumbline</dc:creator>
  <dc:description>How to add features across Plumbline's layers with worked examples and anti-patterns, and how to keep the whole application coordinated.</dc:description>
  <cp:lastModifiedBy>Un-named</cp:lastModifiedBy>
  <cp:revision>1</cp:revision>
  <dcterms:created xsi:type="dcterms:W3CDTF">2026-07-04T06:41:12.357Z</dcterms:created>
  <dcterms:modified xsi:type="dcterms:W3CDTF">2026-07-04T06:41:12.357Z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