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pStyle w:val="PLTitle"/>
        <w:spacing w:after="40"/>
      </w:pPr>
      <w:r>
        <w:t xml:space="preserve">Plumbline Workflow Pipeline</w:t>
      </w:r>
    </w:p>
    <w:p>
      <w:pPr>
        <w:spacing w:after="200"/>
      </w:pPr>
      <w:r>
        <w:rPr>
          <w:i/>
          <w:iCs/>
          <w:color w:val="2C6E6B"/>
          <w:sz w:val="26"/>
          <w:szCs w:val="26"/>
        </w:rPr>
        <w:t xml:space="preserve">How a drawn business process becomes a certified finding</w:t>
      </w:r>
    </w:p>
    <w:p>
      <w:pPr>
        <w:pBdr>
          <w:bottom w:val="single" w:color="16243B" w:sz="12" w:space="1"/>
        </w:pBdr>
        <w:spacing w:after="200"/>
      </w:pPr>
      <w:r>
        <w:t xml:space="preserve"/>
      </w:r>
    </w:p>
    <w:p>
      <w:pPr>
        <w:spacing w:after="40"/>
      </w:pPr>
      <w:r>
        <w:rPr>
          <w:b/>
          <w:bCs/>
          <w:color w:val="16243B"/>
          <w:sz w:val="24"/>
          <w:szCs w:val="24"/>
        </w:rPr>
        <w:t xml:space="preserve">plumbline</w:t>
      </w:r>
      <w:r>
        <w:rPr>
          <w:color w:val="6B7280"/>
          <w:sz w:val="24"/>
          <w:szCs w:val="24"/>
        </w:rPr>
        <w:t xml:space="preserve">  ·  </w:t>
      </w:r>
      <w:r>
        <w:rPr>
          <w:i/>
          <w:iCs/>
          <w:color w:val="6B7280"/>
          <w:sz w:val="22"/>
          <w:szCs w:val="22"/>
        </w:rPr>
        <w:t xml:space="preserve">true by measure</w:t>
      </w:r>
    </w:p>
    <w:p>
      <w:pPr>
        <w:spacing w:after="40"/>
      </w:pPr>
      <w:r>
        <w:rPr>
          <w:color w:val="6B7280"/>
        </w:rPr>
        <w:t xml:space="preserve">Project: </w:t>
      </w:r>
      <w:r>
        <w:rPr>
          <w:b/>
          <w:bCs/>
        </w:rPr>
        <w:t xml:space="preserve">Plumbline 6 — Layered Studio</w:t>
      </w:r>
    </w:p>
    <w:p>
      <w:pPr>
        <w:spacing w:after="40"/>
      </w:pPr>
      <w:r>
        <w:rPr>
          <w:color w:val="6B7280"/>
        </w:rPr>
        <w:t xml:space="preserve">Location: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G:\My Drive\PlumbLine\PlumblineBuild1</w:t>
      </w:r>
    </w:p>
    <w:p>
      <w:pPr>
        <w:spacing w:after="40"/>
      </w:pPr>
      <w:r>
        <w:rPr>
          <w:color w:val="6B7280"/>
        </w:rPr>
        <w:t xml:space="preserve">Revision: </w:t>
      </w:r>
      <w:r>
        <w:t xml:space="preserve">2026-07-04</w:t>
      </w:r>
    </w:p>
    <w:p>
      <w:r>
        <w:br w:type="page"/>
      </w:r>
    </w:p>
    <w:p>
      <w:pPr>
        <w:pStyle w:val="Heading1"/>
        <w:spacing w:after="12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 What the pipeline is</w:t>
      </w:r>
    </w:p>
    <w:p>
      <w:pPr>
        <w:spacing w:after="160"/>
      </w:pPr>
      <w:r>
        <w:rPr>
          <w:b/>
          <w:bCs/>
        </w:rPr>
        <w:t xml:space="preserve">Plumbline</w:t>
      </w:r>
      <w:r>
        <w:t xml:space="preserve"> models a business process as a finite-state machine (FSM), runs six structural tools over it, and </w:t>
      </w:r>
      <w:r>
        <w:rPr>
          <w:b/>
          <w:bCs/>
        </w:rPr>
        <w:t xml:space="preserve">certifies every finding</w:t>
      </w:r>
      <w:r>
        <w:t xml:space="preserve"> — it returns a machine-checkable certificate, or the counterexample that </w:t>
      </w:r>
      <w:r>
        <w:rPr>
          <w:i/>
          <w:iCs/>
        </w:rPr>
        <w:t xml:space="preserve">is</w:t>
      </w:r>
      <w:r>
        <w:t xml:space="preserve"> the finding. The workflow pipeline is the end-to-end path a process takes: from the boxes a user draws in the Workflow Editor, through the encapsulated math engine, to a proven, cost-annotated, saved result.</w:t>
      </w:r>
    </w:p>
    <w:p>
      <w:pPr>
        <w:spacing w:after="120"/>
      </w:pPr>
      <w:r>
        <w:t xml:space="preserve">The central promise is provenance. A traditional tool </w:t>
      </w:r>
      <w:r>
        <w:rPr>
          <w:b/>
          <w:bCs/>
        </w:rPr>
        <w:t xml:space="preserve">asserts</w:t>
      </w:r>
      <w:r>
        <w:t xml:space="preserve"> its conclusions; Plumbline </w:t>
      </w:r>
      <w:r>
        <w:rPr>
          <w:b/>
          <w:bCs/>
        </w:rPr>
        <w:t xml:space="preserve">computes and certifies</w:t>
      </w:r>
      <w:r>
        <w:t xml:space="preserve"> them. Structural findings are labelled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lemma-certified</w:t>
      </w:r>
      <w:r>
        <w:t xml:space="preserve">; cost figures are deliberately labelled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assumption-based</w:t>
      </w:r>
      <w:r>
        <w:t xml:space="preserve">. Nothing crosses into the UI without a verdict attached.</w:t>
      </w:r>
    </w:p>
    <w:tbl>
      <w:tblPr>
        <w:tblW w:type="dxa" w:w="9360"/>
        <w:tblBorders>
          <w:top w:val="single" w:color="1C3D5A" w:sz="4"/>
          <w:left w:val="single" w:color="1C3D5A" w:sz="28"/>
          <w:bottom w:val="single" w:color="1C3D5A" w:sz="4"/>
          <w:right w:val="single" w:color="1C3D5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C3D5A"/>
                <w:sz w:val="20"/>
                <w:szCs w:val="20"/>
              </w:rPr>
              <w:t xml:space="preserve">NOTE  </w:t>
            </w:r>
            <w:r>
              <w:rPr>
                <w:b/>
                <w:bCs/>
                <w:color w:val="16243B"/>
                <w:sz w:val="20"/>
                <w:szCs w:val="20"/>
              </w:rPr>
              <w:t xml:space="preserve">One sentence to remember</w:t>
            </w:r>
          </w:p>
          <w:p>
            <w:pPr>
              <w:spacing w:after="120"/>
            </w:pPr>
            <w:r>
              <w:t xml:space="preserve">Analysers </w:t>
            </w:r>
            <w:r>
              <w:rPr>
                <w:b/>
                <w:bCs/>
              </w:rPr>
              <w:t xml:space="preserve">propose</w:t>
            </w:r>
            <w:r>
              <w:t xml:space="preserve"> a result plus a witness (fast, untrusted); the </w:t>
            </w:r>
            <w:r>
              <w:rPr>
                <w:b/>
                <w:bCs/>
              </w:rPr>
              <w:t xml:space="preserve">Lemma kernel</w:t>
            </w:r>
            <w:r>
              <w:t xml:space="preserve"> </w:t>
            </w:r>
            <w:r>
              <w:rPr>
                <w:b/>
                <w:bCs/>
              </w:rPr>
              <w:t xml:space="preserve">disposes</w:t>
            </w:r>
            <w:r>
              <w:t xml:space="preserve"> — it re-checks the witness and emits a certificate or a counterexample. That “propose → dispose” handshake is the spine of the whole pipeline.</w:t>
            </w:r>
          </w:p>
        </w:tc>
      </w:tr>
    </w:tbl>
    <w:p>
      <w:pPr>
        <w:pStyle w:val="Heading1"/>
      </w:pPr>
      <w:r>
        <w:t xml:space="preserve">2  The two front doors</w:t>
      </w:r>
    </w:p>
    <w:p>
      <w:pPr>
        <w:spacing w:after="160"/>
      </w:pPr>
      <w:r>
        <w:t xml:space="preserve">The built app is a single offline HTML file with a home page that routes between two workspaces plus an auth surface. The router lives in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app/loader.js</w:t>
      </w:r>
      <w:r>
        <w:t xml:space="preserve">.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24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546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 in the pipeline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Home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#homePage</w:t>
            </w:r>
          </w:p>
        </w:tc>
        <w:tc>
          <w:tcPr>
            <w:tcW w:type="dxa" w:w="54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Landing / navigation. Chooses Editor or Studio.</w:t>
            </w:r>
          </w:p>
        </w:tc>
      </w:tr>
      <w:tr>
        <w:tc>
          <w:tcPr>
            <w:tcW w:type="dxa" w:w="1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Workflow Editor</w:t>
            </w:r>
          </w:p>
        </w:tc>
        <w:tc>
          <w:tcPr>
            <w:tcW w:type="dxa" w:w="24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#editorPage → &lt;iframe&gt;</w:t>
            </w:r>
          </w:p>
        </w:tc>
        <w:tc>
          <w:tcPr>
            <w:tcW w:type="dxa" w:w="54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Author the process: categories, named boxes, connections, time &amp; cost metadata, JSON import/export, PNG export.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Analysis Studio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#studioPage</w:t>
            </w:r>
          </w:p>
        </w:tc>
        <w:tc>
          <w:tcPr>
            <w:tcW w:type="dxa" w:w="54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Import the editor's process, run the six tools, view certified findings, cost, saved workflows, demographics, history.</w:t>
            </w:r>
          </w:p>
        </w:tc>
      </w:tr>
      <w:tr>
        <w:tc>
          <w:tcPr>
            <w:tcW w:type="dxa" w:w="1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Auth modal</w:t>
            </w:r>
          </w:p>
        </w:tc>
        <w:tc>
          <w:tcPr>
            <w:tcW w:type="dxa" w:w="24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#authModal</w:t>
            </w:r>
          </w:p>
        </w:tc>
        <w:tc>
          <w:tcPr>
            <w:tcW w:type="dxa" w:w="54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Sign in / create user, demographics, saved-workflow and history lists.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The editor is </w:t>
      </w:r>
      <w:r>
        <w:rPr>
          <w:b/>
          <w:bCs/>
        </w:rPr>
        <w:t xml:space="preserve">base64-embedded</w:t>
      </w:r>
      <w:r>
        <w:t xml:space="preserve"> in the built file and decoded to a Blob URL at runtime, so the single artifact stays self-contained (see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app/loader.js</w:t>
      </w:r>
      <w:r>
        <w:t xml:space="preserve"> →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loadEditor()</w:t>
      </w:r>
      <w:r>
        <w:t xml:space="preserve">).</w:t>
      </w:r>
    </w:p>
    <w:p>
      <w:pPr>
        <w:pStyle w:val="Heading1"/>
      </w:pPr>
      <w:r>
        <w:t xml:space="preserve">3  The pipeline, stage by stage</w:t>
      </w:r>
    </w:p>
    <w:p>
      <w:pPr>
        <w:spacing w:after="160"/>
      </w:pPr>
      <w:r>
        <w:t xml:space="preserve">Each stage below names the layer that owns it, the entry point that is called, and what comes out. Stages 2–8 all sit behind the three facades; the presentation layer only orchestrates them.</w:t>
      </w:r>
    </w:p>
    <w:p>
      <w:pPr>
        <w:pStyle w:val="Heading2"/>
      </w:pPr>
      <w:r>
        <w:t xml:space="preserve">Stage 0 — Author the process (Presentation / Editor)</w:t>
      </w:r>
    </w:p>
    <w:p>
      <w:pPr>
        <w:spacing w:after="120"/>
      </w:pPr>
      <w:r>
        <w:t xml:space="preserve">The user builds the FSM in the Workflow Editor: states (boxes) with roles, transitions (connections), and optional time/cost metadata. Output is a single JSON document combining </w:t>
      </w:r>
      <w:r>
        <w:rPr>
          <w:b/>
          <w:bCs/>
        </w:rPr>
        <w:t xml:space="preserve">workflow</w:t>
      </w:r>
      <w:r>
        <w:t xml:space="preserve"> + </w:t>
      </w:r>
      <w:r>
        <w:rPr>
          <w:b/>
          <w:bCs/>
        </w:rPr>
        <w:t xml:space="preserve">cost</w:t>
      </w:r>
      <w:r>
        <w:t xml:space="preserve"> + </w:t>
      </w:r>
      <w:r>
        <w:rPr>
          <w:b/>
          <w:bCs/>
        </w:rPr>
        <w:t xml:space="preserve">time</w:t>
      </w:r>
      <w:r>
        <w:t xml:space="preserve">.</w:t>
      </w:r>
    </w:p>
    <w:p>
      <w:pPr>
        <w:pStyle w:val="Heading2"/>
      </w:pPr>
      <w:r>
        <w:t xml:space="preserve">Stage 1 — Handoff &amp; sync (Editor → Studio)</w:t>
      </w:r>
    </w:p>
    <w:p>
      <w:pPr>
        <w:spacing w:after="120"/>
      </w:pPr>
      <w:r>
        <w:t xml:space="preserve">Entering the Studio triggers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plumblineRequestEditorSync({openAnalysis:true})</w:t>
      </w:r>
      <w:r>
        <w:t xml:space="preserve">. Two transport paths exist, tried in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Same-origin fast path: </w:t>
      </w:r>
      <w:r>
        <w:t xml:space="preserve">if served over http, the Studio calls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frame.contentWindow.plumblineExportForAnalysis()</w:t>
      </w:r>
      <w:r>
        <w:t xml:space="preserve">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postMessage path (always works, incl.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file://</w:t>
      </w:r>
      <w:r>
        <w:rPr>
          <w:b/>
          <w:bCs/>
        </w:rPr>
        <w:t xml:space="preserve">): </w:t>
      </w:r>
      <w:r>
        <w:t xml:space="preserve">the Studio posts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plumbline-request-editor-data</w:t>
      </w:r>
      <w:r>
        <w:t xml:space="preserve"> into the iframe; the editor replies with a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plumbline-editor-data</w:t>
      </w:r>
      <w:r>
        <w:t xml:space="preserve"> snapshot. The editor also pushes debounced snapshots on every change.</w:t>
      </w:r>
    </w:p>
    <w:tbl>
      <w:tblPr>
        <w:tblW w:type="dxa" w:w="9360"/>
        <w:tblBorders>
          <w:top w:val="single" w:color="1C3D5A" w:sz="4"/>
          <w:left w:val="single" w:color="1C3D5A" w:sz="28"/>
          <w:bottom w:val="single" w:color="1C3D5A" w:sz="4"/>
          <w:right w:val="single" w:color="1C3D5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C3D5A"/>
                <w:sz w:val="20"/>
                <w:szCs w:val="20"/>
              </w:rPr>
              <w:t xml:space="preserve">NOTE  </w:t>
            </w:r>
            <w:r>
              <w:rPr>
                <w:b/>
                <w:bCs/>
                <w:color w:val="16243B"/>
                <w:sz w:val="20"/>
                <w:szCs w:val="20"/>
              </w:rPr>
              <w:t xml:space="preserve">Why this matters for the pipeline</w:t>
            </w:r>
          </w:p>
          <w:p>
            <w:pPr>
              <w:spacing w:after="60"/>
            </w:pPr>
            <w:r>
              <w:t xml:space="preserve">The snapshot is the contract between the two front-ends. Its shape must stay stable — the Studio parses it into the engine's importer in the next stage.</w:t>
            </w:r>
          </w:p>
        </w:tc>
      </w:tr>
    </w:tbl>
    <w:p>
      <w:pPr>
        <w:pStyle w:val="Heading2"/>
      </w:pPr>
      <w:r>
        <w:t xml:space="preserve">Stage 2 — Import &amp; normalise (Engine / io)</w:t>
      </w:r>
    </w:p>
    <w:p>
      <w:pPr>
        <w:spacing w:after="120"/>
      </w:pPr>
      <w:r>
        <w:t xml:space="preserve">The Studio hands the raw JSON to the engine facade. The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io</w:t>
      </w:r>
      <w:r>
        <w:t xml:space="preserve"> package imports untrusted input into the canonical </w:t>
      </w:r>
      <w:r>
        <w:rPr>
          <w:b/>
          <w:bCs/>
        </w:rPr>
        <w:t xml:space="preserve">IR</w:t>
      </w:r>
      <w:r>
        <w:t xml:space="preserve"> (intermediate representation). Problems are returned as data, never thrown.</w:t>
      </w:r>
    </w:p>
    <w:tbl>
      <w:tblPr>
        <w:tblW w:type="dxa" w:w="936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Presentation calls the facade — never parses FSM math itself.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var parsed = PlumblineEngine.parseWorkflow(rawJson); // { workflow, issues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or the whole pipeline in one call: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var out = PlumblineEngine.run(workflowJson, costJson);</w:t>
            </w:r>
          </w:p>
        </w:tc>
      </w:tr>
    </w:tbl>
    <w:p>
      <w:pPr>
        <w:pStyle w:val="Heading2"/>
      </w:pPr>
      <w:r>
        <w:t xml:space="preserve">Stage 3 — Validate (Engine / core.validate)</w:t>
      </w:r>
    </w:p>
    <w:p>
      <w:pPr>
        <w:spacing w:after="120"/>
      </w:pPr>
      <w:r>
        <w:t xml:space="preserve">Structural validation runs first: missing initial state, dangling transitions, unreachable states, malformed terminals. Returns </w:t>
      </w:r>
      <w:r>
        <w:rPr>
          <w:b/>
          <w:bCs/>
        </w:rPr>
        <w:t xml:space="preserve">errors + warnings</w:t>
      </w:r>
      <w:r>
        <w:t xml:space="preserve"> — still no proofs. This keeps the analysers from choking on ill-formed input.</w:t>
      </w:r>
    </w:p>
    <w:p>
      <w:pPr>
        <w:pStyle w:val="Heading2"/>
      </w:pPr>
      <w:r>
        <w:t xml:space="preserve">Stage 4 — Analyse: propose → dispose (Engine / core + lemma)</w:t>
      </w:r>
    </w:p>
    <w:p>
      <w:pPr>
        <w:spacing w:after="120"/>
      </w:pPr>
      <w:r>
        <w:t xml:space="preserve">The heart of the pipeline.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core.analyse(wf, lemma.check)</w:t>
      </w:r>
      <w:r>
        <w:t xml:space="preserve"> runs the five model-only tools. Each analyser proposes a witness; the </w:t>
      </w:r>
      <w:r>
        <w:rPr>
          <w:b/>
          <w:bCs/>
        </w:rPr>
        <w:t xml:space="preserve">Lemma kernel</w:t>
      </w:r>
      <w:r>
        <w:t xml:space="preserve"> disposes it. Every returned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Finding</w:t>
      </w:r>
      <w:r>
        <w:t xml:space="preserve"> already carries a verdict.</w:t>
      </w:r>
    </w:p>
    <w:tbl>
      <w:tblPr>
        <w:tblW w:type="dxa" w:w="936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Facade — the ONLY sanctioned math entry point.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analyze: function (wf) { return core.analyse(wf, lemma.check);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A Finding that reaches the UI always looks like: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{ tool:"find_loops", detail:"...", verdict:{ ok:false, counterexample:{...} } }</w:t>
            </w:r>
          </w:p>
        </w:tc>
      </w:tr>
    </w:tbl>
    <w:p>
      <w:pPr>
        <w:pStyle w:val="Heading2"/>
      </w:pPr>
      <w:r>
        <w:t xml:space="preserve">Stage 4b — Monoid analysis (Engine / monoid)</w:t>
      </w:r>
    </w:p>
    <w:p>
      <w:pPr>
        <w:spacing w:after="120"/>
      </w:pPr>
      <w:r>
        <w:t xml:space="preserve">An independent, algebraic view.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PlumblineMonoid</w:t>
      </w:r>
      <w:r>
        <w:t xml:space="preserve"> materialises the workflow's </w:t>
      </w:r>
      <w:r>
        <w:rPr>
          <w:b/>
          <w:bCs/>
        </w:rPr>
        <w:t xml:space="preserve">transition monoid</w:t>
      </w:r>
      <w:r>
        <w:t xml:space="preserve"> M(A) and recasts the six tools as monoid operations.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checkMonoid()</w:t>
      </w:r>
      <w:r>
        <w:t xml:space="preserve"> rebuilds M(A) from the workflow and re-verifies each witness, so its certificates stand on their own.</w:t>
      </w:r>
    </w:p>
    <w:tbl>
      <w:tblPr>
        <w:tblW w:type="dxa" w:w="9360"/>
        <w:tblBorders>
          <w:top w:val="single" w:color="1C3D5A" w:sz="4"/>
          <w:left w:val="single" w:color="1C3D5A" w:sz="28"/>
          <w:bottom w:val="single" w:color="1C3D5A" w:sz="4"/>
          <w:right w:val="single" w:color="1C3D5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C3D5A"/>
                <w:sz w:val="20"/>
                <w:szCs w:val="20"/>
              </w:rPr>
              <w:t xml:space="preserve">NOTE  </w:t>
            </w:r>
            <w:r>
              <w:rPr>
                <w:b/>
                <w:bCs/>
                <w:color w:val="16243B"/>
                <w:sz w:val="20"/>
                <w:szCs w:val="20"/>
              </w:rPr>
              <w:t xml:space="preserve">Two engines, both true</w:t>
            </w:r>
          </w:p>
          <w:p>
            <w:pPr>
              <w:spacing w:after="120"/>
            </w:pPr>
            <w:r>
              <w:t xml:space="preserve">The classic engine (bisimulation / SCC + ranking) and the monoid engine can label the same property differently and both be correct — e.g. a loop the SCC method </w:t>
            </w:r>
            <w:r>
              <w:rPr>
                <w:b/>
                <w:bCs/>
              </w:rPr>
              <w:t xml:space="preserve">refutes</w:t>
            </w:r>
            <w:r>
              <w:t xml:space="preserve"> can be </w:t>
            </w:r>
            <w:r>
              <w:rPr>
                <w:b/>
                <w:bCs/>
              </w:rPr>
              <w:t xml:space="preserve">certified aperiodic (star-free)</w:t>
            </w:r>
            <w:r>
              <w:t xml:space="preserve"> by the monoid. They answer subtly different questions.</w:t>
            </w:r>
          </w:p>
        </w:tc>
      </w:tr>
    </w:tbl>
    <w:p>
      <w:pPr>
        <w:pStyle w:val="Heading2"/>
      </w:pPr>
      <w:r>
        <w:t xml:space="preserve">Stage 5 — Cost model (Engine / cost)</w:t>
      </w:r>
    </w:p>
    <w:p>
      <w:pPr>
        <w:spacing w:after="120"/>
      </w:pPr>
      <w:r>
        <w:t xml:space="preserve">Certified structure can now be quantified.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expectedCost(wf, model)</w:t>
      </w:r>
      <w:r>
        <w:t xml:space="preserve"> computes expected cost/time over the IR;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whatIf(...)</w:t>
      </w:r>
      <w:r>
        <w:t xml:space="preserve"> prices a proposed fix;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ledger(result)</w:t>
      </w:r>
      <w:r>
        <w:t xml:space="preserve"> renders a human savings ledger. These outputs are </w:t>
      </w:r>
      <w:r>
        <w:rPr>
          <w:b/>
          <w:bCs/>
        </w:rPr>
        <w:t xml:space="preserve">assumption-based</w:t>
      </w:r>
      <w:r>
        <w:t xml:space="preserve">, never certified.</w:t>
      </w:r>
    </w:p>
    <w:p>
      <w:pPr>
        <w:pStyle w:val="Heading2"/>
      </w:pPr>
      <w:r>
        <w:t xml:space="preserve">Stage 6 — Present (Presentation / app)</w:t>
      </w:r>
    </w:p>
    <w:p>
      <w:pPr>
        <w:spacing w:after="120"/>
      </w:pPr>
      <w:r>
        <w:t xml:space="preserve">The Studio renders findings into the Analysis pane (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#results</w:t>
      </w:r>
      <w:r>
        <w:t xml:space="preserve"> iframe), each tagged with its verdict and provenance tier. The UI performs no math — it formats what the engine proved.</w:t>
      </w:r>
    </w:p>
    <w:p>
      <w:pPr>
        <w:pStyle w:val="Heading2"/>
      </w:pPr>
      <w:r>
        <w:t xml:space="preserve">Stage 7 — Persist (Data layer)</w:t>
      </w:r>
    </w:p>
    <w:p>
      <w:pPr>
        <w:spacing w:after="120"/>
      </w:pPr>
      <w:r>
        <w:t xml:space="preserve">Saving captures the workflow </w:t>
      </w:r>
      <w:r>
        <w:rPr>
          <w:b/>
          <w:bCs/>
        </w:rPr>
        <w:t xml:space="preserve">exactly as left</w:t>
      </w:r>
      <w:r>
        <w:t xml:space="preserve">: name, datetime, exact config, tools executed, and tile positions.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PlumblineData.saveWorkflow(snapshot)</w:t>
      </w:r>
      <w:r>
        <w:t xml:space="preserve"> routes to whichever adapter is active — </w:t>
      </w:r>
      <w:r>
        <w:rPr>
          <w:b/>
          <w:bCs/>
        </w:rPr>
        <w:t xml:space="preserve">Local</w:t>
      </w:r>
      <w:r>
        <w:t xml:space="preserve"> (offline localStorage) or </w:t>
      </w:r>
      <w:r>
        <w:rPr>
          <w:b/>
          <w:bCs/>
        </w:rPr>
        <w:t xml:space="preserve">Remote</w:t>
      </w:r>
      <w:r>
        <w:t xml:space="preserve"> (REST to the server). History events are appended alongside.</w:t>
      </w:r>
    </w:p>
    <w:p>
      <w:pPr>
        <w:pStyle w:val="Heading2"/>
      </w:pPr>
      <w:r>
        <w:t xml:space="preserve">Stage 8 — Narrate, optionally (LLM layer)</w:t>
      </w:r>
    </w:p>
    <w:p>
      <w:pPr>
        <w:spacing w:after="120"/>
      </w:pPr>
      <w:r>
        <w:t xml:space="preserve">Strictly advisory.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PlumblineLLM</w:t>
      </w:r>
      <w:r>
        <w:t xml:space="preserve"> adds natural language around results the engine already proved: name zoom-out stages, explain a finding in business terms, name a tile, summarise the workflow. </w:t>
      </w:r>
      <w:r>
        <w:rPr>
          <w:b/>
          <w:bCs/>
        </w:rPr>
        <w:t xml:space="preserve">It never certifies and never invents numbers.</w:t>
      </w:r>
      <w:r>
        <w:t xml:space="preserve"> Offline it uses a deterministic Mock; online it proxies to Anthropic through the server (the API key never reaches the browser).</w:t>
      </w:r>
    </w:p>
    <w:p>
      <w:r>
        <w:br w:type="page"/>
      </w:r>
    </w:p>
    <w:p>
      <w:pPr>
        <w:pStyle w:val="Heading1"/>
      </w:pPr>
      <w:r>
        <w:t xml:space="preserve">4  The load order that makes it work</w:t>
      </w:r>
    </w:p>
    <w:p>
      <w:pPr>
        <w:spacing w:after="160"/>
      </w:pPr>
      <w:r>
        <w:t xml:space="preserve">In the built page the layers boot in a </w:t>
      </w:r>
      <w:r>
        <w:rPr>
          <w:b/>
          <w:bCs/>
        </w:rPr>
        <w:t xml:space="preserve">load-bearing</w:t>
      </w:r>
      <w:r>
        <w:t xml:space="preserve"> order — each facade must be a global before the next layer (and the UI) runs. This is enforced by the marker order in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presentation/shell.html</w:t>
      </w:r>
      <w:r>
        <w:t xml:space="preserve">.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500"/>
        <w:gridCol w:w="2760"/>
        <w:gridCol w:w="3400"/>
        <w:gridCol w:w="2700"/>
      </w:tblGrid>
      <w:tr>
        <w:trPr>
          <w:tblHeader/>
        </w:trPr>
        <w:tc>
          <w:tcPr>
            <w:tcW w:type="dxa" w:w="5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6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34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Publishes</w:t>
            </w:r>
          </w:p>
        </w:tc>
        <w:tc>
          <w:tcPr>
            <w:tcW w:type="dxa" w:w="27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engine/runtime.js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window.__PL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2</w:t>
            </w:r>
          </w:p>
        </w:tc>
        <w:tc>
          <w:tcPr>
            <w:tcW w:type="dxa" w:w="27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engine/modules.gen.js</w:t>
            </w:r>
          </w:p>
        </w:tc>
        <w:tc>
          <w:tcPr>
            <w:tcW w:type="dxa" w:w="34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io · core · cost · lemma modules</w:t>
            </w:r>
          </w:p>
        </w:tc>
        <w:tc>
          <w:tcPr>
            <w:tcW w:type="dxa" w:w="27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__PL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3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engine/facade.js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window.PlumblineEngine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engine modules</w:t>
            </w:r>
          </w:p>
        </w:tc>
      </w:tr>
      <w:tr>
        <w:tc>
          <w:tcPr>
            <w:tcW w:type="dxa" w:w="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3b</w:t>
            </w:r>
          </w:p>
        </w:tc>
        <w:tc>
          <w:tcPr>
            <w:tcW w:type="dxa" w:w="27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engine/monoid.js</w:t>
            </w:r>
          </w:p>
        </w:tc>
        <w:tc>
          <w:tcPr>
            <w:tcW w:type="dxa" w:w="34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window.PlumblineMonoid</w:t>
            </w:r>
          </w:p>
        </w:tc>
        <w:tc>
          <w:tcPr>
            <w:tcW w:type="dxa" w:w="27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__PL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4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data/data-gateway.js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window.PlumblineData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— (self-contained)</w:t>
            </w:r>
          </w:p>
        </w:tc>
      </w:tr>
      <w:tr>
        <w:tc>
          <w:tcPr>
            <w:tcW w:type="dxa" w:w="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5</w:t>
            </w:r>
          </w:p>
        </w:tc>
        <w:tc>
          <w:tcPr>
            <w:tcW w:type="dxa" w:w="27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llm/llm-gateway.js</w:t>
            </w:r>
          </w:p>
        </w:tc>
        <w:tc>
          <w:tcPr>
            <w:tcW w:type="dxa" w:w="34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window.PlumblineLLM</w:t>
            </w:r>
          </w:p>
        </w:tc>
        <w:tc>
          <w:tcPr>
            <w:tcW w:type="dxa" w:w="27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— (self-contained)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6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app/ui-modules.gen.js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render · app · studio modules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__PL</w:t>
            </w:r>
          </w:p>
        </w:tc>
      </w:tr>
      <w:tr>
        <w:tc>
          <w:tcPr>
            <w:tcW w:type="dxa" w:w="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7</w:t>
            </w:r>
          </w:p>
        </w:tc>
        <w:tc>
          <w:tcPr>
            <w:tcW w:type="dxa" w:w="27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app/ui-boot.js</w:t>
            </w:r>
          </w:p>
        </w:tc>
        <w:tc>
          <w:tcPr>
            <w:tcW w:type="dxa" w:w="34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PlumblineServices</w:t>
            </w:r>
            <w:r>
              <w:t xml:space="preserve"> · boots Studio</w:t>
            </w:r>
          </w:p>
        </w:tc>
        <w:tc>
          <w:tcPr>
            <w:tcW w:type="dxa" w:w="27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all three facades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8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app/loader.js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page router + editor iframe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editor b64</w:t>
            </w:r>
          </w:p>
        </w:tc>
      </w:tr>
    </w:tbl>
    <w:p>
      <w:pPr>
        <w:pStyle w:val="Heading1"/>
      </w:pPr>
      <w:r>
        <w:t xml:space="preserve">5  The six tools</w:t>
      </w:r>
    </w:p>
    <w:p>
      <w:pPr>
        <w:spacing w:after="160"/>
      </w:pPr>
      <w:r>
        <w:t xml:space="preserve">The tools are the analytic payload of the pipeline. Each answers one operational question, maps to a classic engine operation and to a monoid operation, and returns a verdict.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430"/>
        <w:gridCol w:w="1500"/>
        <w:gridCol w:w="2400"/>
        <w:gridCol w:w="2530"/>
        <w:gridCol w:w="2500"/>
      </w:tblGrid>
      <w:tr>
        <w:trPr>
          <w:tblHeader/>
        </w:trPr>
        <w:tc>
          <w:tcPr>
            <w:tcW w:type="dxa" w:w="43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4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Operational question</w:t>
            </w:r>
          </w:p>
        </w:tc>
        <w:tc>
          <w:tcPr>
            <w:tcW w:type="dxa" w:w="253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Monoid operation</w:t>
            </w:r>
          </w:p>
        </w:tc>
        <w:tc>
          <w:tcPr>
            <w:tcW w:type="dxa" w:w="25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verdict means</w:t>
            </w:r>
          </w:p>
        </w:tc>
      </w:tr>
      <w:tr>
        <w:tc>
          <w:tcPr>
            <w:tcW w:type="dxa" w:w="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Zoom out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What are the real stages?</w:t>
            </w:r>
          </w:p>
        </w:tc>
        <w:tc>
          <w:tcPr>
            <w:tcW w:type="dxa" w:w="25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Quotient by an M-congruence φ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The rolled-up stages preserve behaviour</w:t>
            </w:r>
          </w:p>
        </w:tc>
      </w:tr>
      <w:tr>
        <w:tc>
          <w:tcPr>
            <w:tcW w:type="dxa" w:w="43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Spot duplicates</w:t>
            </w:r>
          </w:p>
        </w:tc>
        <w:tc>
          <w:tcPr>
            <w:tcW w:type="dxa" w:w="24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Which steps are redundant?</w:t>
            </w:r>
          </w:p>
        </w:tc>
        <w:tc>
          <w:tcPr>
            <w:tcW w:type="dxa" w:w="253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Nerode / syntactic quotient ψ</w:t>
            </w:r>
          </w:p>
        </w:tc>
        <w:tc>
          <w:tcPr>
            <w:tcW w:type="dxa" w:w="2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Two steps are provably interchangeable</w:t>
            </w:r>
          </w:p>
        </w:tc>
      </w:tr>
      <w:tr>
        <w:tc>
          <w:tcPr>
            <w:tcW w:type="dxa" w:w="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Plan vs. reality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Does design match execution?</w:t>
            </w:r>
          </w:p>
        </w:tc>
        <w:tc>
          <w:tcPr>
            <w:tcW w:type="dxa" w:w="25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Compare against observed IR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Where the run diverges from the design</w:t>
            </w:r>
          </w:p>
        </w:tc>
      </w:tr>
      <w:tr>
        <w:tc>
          <w:tcPr>
            <w:tcW w:type="dxa" w:w="43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Move the decision</w:t>
            </w:r>
          </w:p>
        </w:tc>
        <w:tc>
          <w:tcPr>
            <w:tcW w:type="dxa" w:w="24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Can we re-place the gate?</w:t>
            </w:r>
          </w:p>
        </w:tc>
        <w:tc>
          <w:tcPr>
            <w:tcW w:type="dxa" w:w="253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Monoid isomorphism h : M₁ ≅ M₂</w:t>
            </w:r>
          </w:p>
        </w:tc>
        <w:tc>
          <w:tcPr>
            <w:tcW w:type="dxa" w:w="2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The redesign is behaviourally equivalent</w:t>
            </w:r>
          </w:p>
        </w:tc>
      </w:tr>
      <w:tr>
        <w:tc>
          <w:tcPr>
            <w:tcW w:type="dxa" w:w="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Run in parallel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What is independent?</w:t>
            </w:r>
          </w:p>
        </w:tc>
        <w:tc>
          <w:tcPr>
            <w:tcW w:type="dxa" w:w="25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Subdirect product M ↪ M/π₁ × M/π₂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Two tracks can run concurrently</w:t>
            </w:r>
          </w:p>
        </w:tc>
      </w:tr>
      <w:tr>
        <w:tc>
          <w:tcPr>
            <w:tcW w:type="dxa" w:w="43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Find the loops</w:t>
            </w:r>
          </w:p>
        </w:tc>
        <w:tc>
          <w:tcPr>
            <w:tcW w:type="dxa" w:w="24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Does rework terminate?</w:t>
            </w:r>
          </w:p>
        </w:tc>
        <w:tc>
          <w:tcPr>
            <w:tcW w:type="dxa" w:w="253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Aperiodicity (Schützenberger)</w:t>
            </w:r>
          </w:p>
        </w:tc>
        <w:tc>
          <w:tcPr>
            <w:tcW w:type="dxa" w:w="2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Certified terminating — or a group element is the loop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Preset example workflows ship for each methodology domain: </w:t>
      </w:r>
      <w:r>
        <w:rPr>
          <w:b/>
          <w:bCs/>
        </w:rPr>
        <w:t xml:space="preserve">AML/KYC</w:t>
      </w:r>
      <w:r>
        <w:t xml:space="preserve">, </w:t>
      </w:r>
      <w:r>
        <w:rPr>
          <w:b/>
          <w:bCs/>
        </w:rPr>
        <w:t xml:space="preserve">Data Pipeline</w:t>
      </w:r>
      <w:r>
        <w:t xml:space="preserve">, </w:t>
      </w:r>
      <w:r>
        <w:rPr>
          <w:b/>
          <w:bCs/>
        </w:rPr>
        <w:t xml:space="preserve">CARF Reporting</w:t>
      </w:r>
      <w:r>
        <w:t xml:space="preserve">, </w:t>
      </w:r>
      <w:r>
        <w:rPr>
          <w:b/>
          <w:bCs/>
        </w:rPr>
        <w:t xml:space="preserve">FMV Pricing</w:t>
      </w:r>
      <w:r>
        <w:t xml:space="preserve">, and </w:t>
      </w:r>
      <w:r>
        <w:rPr>
          <w:b/>
          <w:bCs/>
        </w:rPr>
        <w:t xml:space="preserve">Change Management</w:t>
      </w:r>
      <w:r>
        <w:t xml:space="preserve"> (see the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Add example…</w:t>
      </w:r>
      <w:r>
        <w:t xml:space="preserve"> selector).</w:t>
      </w:r>
    </w:p>
    <w:p>
      <w:pPr>
        <w:pStyle w:val="Heading1"/>
      </w:pPr>
      <w:r>
        <w:t xml:space="preserve">6  The shape of a workflow</w:t>
      </w:r>
    </w:p>
    <w:p>
      <w:pPr>
        <w:spacing w:after="160"/>
      </w:pPr>
      <w:r>
        <w:t xml:space="preserve">One JSON document carries </w:t>
      </w:r>
      <w:r>
        <w:rPr>
          <w:b/>
          <w:bCs/>
        </w:rPr>
        <w:t xml:space="preserve">workflow</w:t>
      </w:r>
      <w:r>
        <w:t xml:space="preserve"> + </w:t>
      </w:r>
      <w:r>
        <w:rPr>
          <w:b/>
          <w:bCs/>
        </w:rPr>
        <w:t xml:space="preserve">cost</w:t>
      </w:r>
      <w:r>
        <w:t xml:space="preserve"> + </w:t>
      </w:r>
      <w:r>
        <w:rPr>
          <w:b/>
          <w:bCs/>
        </w:rPr>
        <w:t xml:space="preserve">time</w:t>
      </w:r>
      <w:r>
        <w:t xml:space="preserve">. States take a role; exactly one is marked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"initial": true</w:t>
      </w:r>
      <w:r>
        <w:t xml:space="preserve">; terminals take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"accept"</w:t>
      </w:r>
      <w:r>
        <w:t xml:space="preserve"> or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"reject"</w:t>
      </w:r>
      <w:r>
        <w:t xml:space="preserve">.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66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step</w:t>
            </w:r>
          </w:p>
        </w:tc>
        <w:tc>
          <w:tcPr>
            <w:tcW w:type="dxa" w:w="76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A unit of work / status the process passes through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quality</w:t>
            </w:r>
          </w:p>
        </w:tc>
        <w:tc>
          <w:tcPr>
            <w:tcW w:type="dxa" w:w="76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A check or control gate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hold</w:t>
            </w:r>
          </w:p>
        </w:tc>
        <w:tc>
          <w:tcPr>
            <w:tcW w:type="dxa" w:w="76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A wait / queue / pause state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decision</w:t>
            </w:r>
          </w:p>
        </w:tc>
        <w:tc>
          <w:tcPr>
            <w:tcW w:type="dxa" w:w="76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A branch point (the gate that tool 4 relocates)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rework</w:t>
            </w:r>
          </w:p>
        </w:tc>
        <w:tc>
          <w:tcPr>
            <w:tcW w:type="dxa" w:w="76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A corrective loop back into the process (tool 6 territory)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terminal</w:t>
            </w:r>
          </w:p>
        </w:tc>
        <w:tc>
          <w:tcPr>
            <w:tcW w:type="dxa" w:w="76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An outcome; carries accept or reject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default"/>
      </w:r>
    </w:p>
    <w:tbl>
      <w:tblPr>
        <w:tblW w:type="dxa" w:w="936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"workflow":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"states":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  { "id": "intake",  "role": "step",     "initial": true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  { "id": "review",  "role": "quality"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  { "id": "decide",  "role": "decision"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  { "id": "rework",  "role": "rework"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  { "id": "approved","role": "terminal",  "accept": true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  { "id": "rejected","role": "terminal",  "reject": true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"transitions":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  { "from": "intake",  "on": "submit",  "to": "review"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  { "from": "review",  "on": "ok",      "to": "decide"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  { "from": "review",  "on": "fix",     "to": "rework"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  { "from": "rework",  "on": "resubmit","to": "review"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  { "from": "decide",  "on": "approve", "to": "approved"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  { "from": "decide",  "on": "reject",  "to": "rejected"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"cost": { "review": 40, "rework": 25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"time": { "review": 2,  "rework": 1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</w:pPr>
      <w:r>
        <w:t xml:space="preserve">7  End-to-end walk-through</w:t>
      </w:r>
    </w:p>
    <w:p>
      <w:pPr>
        <w:spacing w:after="160"/>
      </w:pPr>
      <w:r>
        <w:t xml:space="preserve">Following one process from drawing to a saved, certified result: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Draw. </w:t>
      </w:r>
      <w:r>
        <w:t xml:space="preserve">User lays out states and transitions in the Editor; adds illustrative time/cost.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Sync. </w:t>
      </w:r>
      <w:r>
        <w:t xml:space="preserve">Opening the Studio pulls the live snapshot via postMessage (or the same-origin fast path).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Import.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PlumblineEngine.parseWorkflow(json)</w:t>
      </w:r>
      <w:r>
        <w:t xml:space="preserve"> → canonical IR; issues collected, not thrown.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Validate.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core.validate(wf)</w:t>
      </w:r>
      <w:r>
        <w:t xml:space="preserve"> screens structure; blocking errors surface in the status 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Analyse.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analyze(wf)</w:t>
      </w:r>
      <w:r>
        <w:t xml:space="preserve"> runs the six tools; Lemma attaches a certificate or counterexample to each finding.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Cross-check.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analyzeMonoid(wf)</w:t>
      </w:r>
      <w:r>
        <w:t xml:space="preserve"> independently re-derives the algebra and re-verifies.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Cost.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expectedCost(wf, model)</w:t>
      </w:r>
      <w:r>
        <w:t xml:space="preserve"> quantifies the certified structure (assumption-based).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Present. </w:t>
      </w:r>
      <w:r>
        <w:t xml:space="preserve">Findings render in the Analysis pane, each tagged with its provenance tier.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Persist.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PlumblineData.saveWorkflow(snapshot)</w:t>
      </w:r>
      <w:r>
        <w:t xml:space="preserve"> stores the exact state; a history event is appended.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Narrate. </w:t>
      </w:r>
      <w:r>
        <w:t xml:space="preserve">Optionally,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PlumblineLLM.explainFinding(f)</w:t>
      </w:r>
      <w:r>
        <w:t xml:space="preserve"> adds a plain-language paragraph — advisory only.</w:t>
      </w:r>
    </w:p>
    <w:p>
      <w:pPr>
        <w:pStyle w:val="Heading1"/>
      </w:pPr>
      <w:r>
        <w:t xml:space="preserve">8  Provenance &amp; trust</w:t>
      </w:r>
    </w:p>
    <w:p>
      <w:pPr>
        <w:spacing w:after="160"/>
      </w:pPr>
      <w:r>
        <w:t xml:space="preserve">The pipeline emits a three-tier provenance stamp so every number and claim is traceable to how much it can be trusted.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1400"/>
        <w:gridCol w:w="2200"/>
        <w:gridCol w:w="3360"/>
        <w:gridCol w:w="2400"/>
      </w:tblGrid>
      <w:tr>
        <w:trPr>
          <w:tblHeader/>
        </w:trPr>
        <w:tc>
          <w:tcPr>
            <w:tcW w:type="dxa" w:w="14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2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336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Produced by</w:t>
            </w:r>
          </w:p>
        </w:tc>
        <w:tc>
          <w:tcPr>
            <w:tcW w:type="dxa" w:w="24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Trust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Structure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lemma-certified</w:t>
            </w:r>
          </w:p>
        </w:tc>
        <w:tc>
          <w:tcPr>
            <w:tcW w:type="dxa" w:w="3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Lemma kernel (small, trusted, version-locked)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Machine-checkable proof or counterexample</w:t>
            </w:r>
          </w:p>
        </w:tc>
      </w:tr>
      <w:tr>
        <w:tc>
          <w:tcPr>
            <w:tcW w:type="dxa" w:w="14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Cost</w:t>
            </w:r>
          </w:p>
        </w:tc>
        <w:tc>
          <w:tcPr>
            <w:tcW w:type="dxa" w:w="22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assumption-based</w:t>
            </w:r>
          </w:p>
        </w:tc>
        <w:tc>
          <w:tcPr>
            <w:tcW w:type="dxa" w:w="33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cost package over the IR</w:t>
            </w:r>
          </w:p>
        </w:tc>
        <w:tc>
          <w:tcPr>
            <w:tcW w:type="dxa" w:w="24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Only as good as the supplied model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Narrative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narrative-only</w:t>
            </w:r>
          </w:p>
        </w:tc>
        <w:tc>
          <w:tcPr>
            <w:tcW w:type="dxa" w:w="3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LLM layer (Mock / Anthropic)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Advisory; never a certificate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1C3D5A" w:sz="4"/>
          <w:left w:val="single" w:color="1C3D5A" w:sz="28"/>
          <w:bottom w:val="single" w:color="1C3D5A" w:sz="4"/>
          <w:right w:val="single" w:color="1C3D5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C3D5A"/>
                <w:sz w:val="20"/>
                <w:szCs w:val="20"/>
              </w:rPr>
              <w:t xml:space="preserve">NOTE  </w:t>
            </w:r>
            <w:r>
              <w:rPr>
                <w:b/>
                <w:bCs/>
                <w:color w:val="16243B"/>
                <w:sz w:val="20"/>
                <w:szCs w:val="20"/>
              </w:rPr>
              <w:t xml:space="preserve">The invariant that guards the whole pipeline</w:t>
            </w:r>
          </w:p>
          <w:p>
            <w:pPr>
              <w:spacing w:after="120"/>
            </w:pPr>
            <w:r>
              <w:t xml:space="preserve">A finding never reaches the UI without a verdict. The facade wires the analyser and the kernel together so that </w:t>
            </w:r>
            <w:r>
              <w:rPr>
                <w:b/>
                <w:bCs/>
              </w:rPr>
              <w:t xml:space="preserve">propose</w:t>
            </w:r>
            <w:r>
              <w:t xml:space="preserve"> and </w:t>
            </w:r>
            <w:r>
              <w:rPr>
                <w:b/>
                <w:bCs/>
              </w:rPr>
              <w:t xml:space="preserve">dispose</w:t>
            </w:r>
            <w:r>
              <w:t xml:space="preserve"> cannot be separated — which is exactly what lets Plumbline say it is </w:t>
            </w:r>
            <w:r>
              <w:rPr>
                <w:b/>
                <w:bCs/>
              </w:rPr>
              <w:t xml:space="preserve">true by measure</w:t>
            </w:r>
            <w:r>
              <w:t xml:space="preserve">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ED6" w:sz="4" w:space="6"/>
      </w:pBdr>
      <w:jc w:val="center"/>
    </w:pPr>
    <w:r>
      <w:rPr>
        <w:color w:val="6B7280"/>
        <w:sz w:val="16"/>
        <w:szCs w:val="16"/>
      </w:rPr>
      <w:t xml:space="preserve">plumbline · true by measure</w:t>
    </w:r>
    <w:r>
      <w:rPr>
        <w:sz w:val="16"/>
        <w:szCs w:val="16"/>
      </w:rPr>
      <w:t xml:space="preserve">        </w:t>
    </w:r>
    <w:r>
      <w:rPr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Plumbline · Workflow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  <w:lvl w:ilvl="2" w15:tentative="1">
      <w:start w:val="1"/>
      <w:numFmt w:val="bullet"/>
      <w:lvlText w:val="·"/>
      <w:lvlJc w:val="left"/>
      <w:pPr>
        <w:ind w:left="10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lowerLetter"/>
      <w:lvlText w:val="%2."/>
      <w:lvlJc w:val="left"/>
      <w:pPr>
        <w:ind w:left="8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E37"/>
        <w:sz w:val="21"/>
        <w:szCs w:val="21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LTitle">
    <w:name w:val="PL Title"/>
    <w:basedOn w:val="Normal"/>
    <w:next w:val="Normal"/>
    <w:rPr>
      <w:rFonts w:ascii="Calibri" w:cs="Calibri" w:eastAsia="Calibri" w:hAnsi="Calibri"/>
      <w:b/>
      <w:bCs/>
      <w:color w:val="16243B"/>
      <w:sz w:val="60"/>
      <w:szCs w:val="6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Calibri" w:cs="Calibri" w:eastAsia="Calibri" w:hAnsi="Calibri"/>
      <w:b/>
      <w:bCs/>
      <w:color w:val="16243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Calibri" w:cs="Calibri" w:eastAsia="Calibri" w:hAnsi="Calibri"/>
      <w:b/>
      <w:bCs/>
      <w:color w:val="1C3D5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80"/>
      <w:outlineLvl w:val="2"/>
    </w:pPr>
    <w:rPr>
      <w:rFonts w:ascii="Calibri" w:cs="Calibri" w:eastAsia="Calibri" w:hAnsi="Calibri"/>
      <w:b/>
      <w:bCs/>
      <w:color w:val="2C6E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Plumbline Workflow Pipeline</dc:title>
  <dc:creator>Plumbline</dc:creator>
  <dc:description>The end-to-end path a business process takes through Plumbline, from drawn FSM to certified, cost-annotated, saved finding.</dc:description>
  <cp:lastModifiedBy>Un-named</cp:lastModifiedBy>
  <cp:revision>1</cp:revision>
  <dcterms:created xsi:type="dcterms:W3CDTF">2026-07-04T06:41:12.128Z</dcterms:created>
  <dcterms:modified xsi:type="dcterms:W3CDTF">2026-07-04T06:41:12.128Z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