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Business Requirements Document</w:t>
      </w:r>
    </w:p>
    <w:p>
      <w:pPr>
        <w:spacing w:after="400"/>
        <w:jc w:val="center"/>
      </w:pPr>
      <w:r>
        <w:rPr>
          <w:color w:val="555555"/>
          <w:sz w:val="28"/>
          <w:szCs w:val="28"/>
        </w:rPr>
        <w:t xml:space="preserve">Loan Default &amp; Credit Risk Analysis Dashboard</w:t>
      </w:r>
    </w:p>
    <w:p>
      <w:pPr>
        <w:pStyle w:val="Heading2"/>
        <w:spacing w:after="100" w:before="20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tcPr>
          <w:p>
            <w:r>
              <w:t xml:space="preserve">Project Name</w:t>
            </w:r>
          </w:p>
        </w:tc>
        <w:tc>
          <w:tcPr>
            <w:tcW w:type="dxa" w:w="6240"/>
          </w:tcPr>
          <w:p>
            <w:r>
              <w:t xml:space="preserve">Loan Default &amp; Credit Risk Analysis Dashboard</w:t>
            </w:r>
          </w:p>
        </w:tc>
      </w:tr>
      <w:tr>
        <w:tc>
          <w:tcPr>
            <w:tcW w:type="dxa" w:w="3120"/>
          </w:tcPr>
          <w:p>
            <w:r>
              <w:t xml:space="preserve">Prepared By</w:t>
            </w:r>
          </w:p>
        </w:tc>
        <w:tc>
          <w:tcPr>
            <w:tcW w:type="dxa" w:w="6240"/>
          </w:tcPr>
          <w:p>
            <w:r>
              <w:t xml:space="preserve">[Your Name] – Data Analyst</w:t>
            </w:r>
          </w:p>
        </w:tc>
      </w:tr>
      <w:tr>
        <w:tc>
          <w:tcPr>
            <w:tcW w:type="dxa" w:w="3120"/>
          </w:tcPr>
          <w:p>
            <w:r>
              <w:t xml:space="preserve">Date</w:t>
            </w:r>
          </w:p>
        </w:tc>
        <w:tc>
          <w:tcPr>
            <w:tcW w:type="dxa" w:w="6240"/>
          </w:tcPr>
          <w:p>
            <w:r>
              <w:t xml:space="preserve">July 3, 2026</w:t>
            </w:r>
          </w:p>
        </w:tc>
      </w:tr>
      <w:tr>
        <w:tc>
          <w:tcPr>
            <w:tcW w:type="dxa" w:w="3120"/>
          </w:tcPr>
          <w:p>
            <w:r>
              <w:t xml:space="preserve">Status</w:t>
            </w:r>
          </w:p>
        </w:tc>
        <w:tc>
          <w:tcPr>
            <w:tcW w:type="dxa" w:w="6240"/>
          </w:tcPr>
          <w:p>
            <w:r>
              <w:t xml:space="preserve">Draft v1.0</w:t>
            </w:r>
          </w:p>
        </w:tc>
      </w:tr>
      <w:tr>
        <w:tc>
          <w:tcPr>
            <w:tcW w:type="dxa" w:w="3120"/>
          </w:tcPr>
          <w:p>
            <w:r>
              <w:t xml:space="preserve">Tool</w:t>
            </w:r>
          </w:p>
        </w:tc>
        <w:tc>
          <w:tcPr>
            <w:tcW w:type="dxa" w:w="6240"/>
          </w:tcPr>
          <w:p>
            <w:r>
              <w:t xml:space="preserve">Microsoft Power BI</w:t>
            </w:r>
          </w:p>
        </w:tc>
      </w:tr>
    </w:tbl>
    <w:p>
      <w:pPr>
        <w:pStyle w:val="Heading1"/>
        <w:spacing w:after="150" w:before="300"/>
      </w:pPr>
      <w:r>
        <w:t xml:space="preserve">1. Project Background</w:t>
      </w:r>
    </w:p>
    <w:p>
      <w:pPr>
        <w:spacing w:after="120"/>
      </w:pPr>
      <w:r>
        <w:t xml:space="preserve">The lending organization issues personal and small-business loans through an online platform. While loan issuance volume has grown steadily, the finance and risk teams have observed inconsistent profitability and rising default rates in certain borrower segments. Currently, loan performance is reviewed manually through static spreadsheet reports, making it difficult to identify risk patterns quickly or respond to emerging default trends.</w:t>
      </w:r>
    </w:p>
    <w:p>
      <w:pPr>
        <w:pStyle w:val="Heading1"/>
        <w:spacing w:after="150" w:before="300"/>
      </w:pPr>
      <w:r>
        <w:t xml:space="preserve">2. Business Problem Statement</w:t>
      </w:r>
    </w:p>
    <w:p>
      <w:pPr>
        <w:spacing w:after="120"/>
      </w:pPr>
      <w:r>
        <w:t xml:space="preserve">Which customer and loan segments are driving loan defaults, and how much capital is the organization exposed to as a result? Leadership lacks a consolidated, interactive view of loan performance that links borrower characteristics (income, employment length, home ownership) and loan attributes (grade, interest rate, purpose) to default outcomes.</w:t>
      </w:r>
    </w:p>
    <w:p>
      <w:pPr>
        <w:pStyle w:val="Heading1"/>
        <w:spacing w:after="150" w:before="300"/>
      </w:pPr>
      <w:r>
        <w:t xml:space="preserve">3. Business Objectives</w:t>
      </w:r>
    </w:p>
    <w:p>
      <w:pPr>
        <w:pStyle w:val="ListParagraph"/>
        <w:numPr>
          <w:ilvl w:val="0"/>
          <w:numId w:val="1"/>
        </w:numPr>
        <w:spacing w:after="60"/>
      </w:pPr>
      <w:r>
        <w:t xml:space="preserve">Identify borrower and loan segments with the highest default rates.</w:t>
      </w:r>
    </w:p>
    <w:p>
      <w:pPr>
        <w:pStyle w:val="ListParagraph"/>
        <w:numPr>
          <w:ilvl w:val="0"/>
          <w:numId w:val="1"/>
        </w:numPr>
        <w:spacing w:after="60"/>
      </w:pPr>
      <w:r>
        <w:t xml:space="preserve">Quantify total loan amount at risk from defaulted or late loans.</w:t>
      </w:r>
    </w:p>
    <w:p>
      <w:pPr>
        <w:pStyle w:val="ListParagraph"/>
        <w:numPr>
          <w:ilvl w:val="0"/>
          <w:numId w:val="1"/>
        </w:numPr>
        <w:spacing w:after="60"/>
      </w:pPr>
      <w:r>
        <w:t xml:space="preserve">Evaluate whether interest rate and loan grade adequately price risk.</w:t>
      </w:r>
    </w:p>
    <w:p>
      <w:pPr>
        <w:pStyle w:val="ListParagraph"/>
        <w:numPr>
          <w:ilvl w:val="0"/>
          <w:numId w:val="1"/>
        </w:numPr>
        <w:spacing w:after="60"/>
      </w:pPr>
      <w:r>
        <w:t xml:space="preserve">Provide leadership with a self-service, interactive dashboard to monitor risk trends over time.</w:t>
      </w:r>
    </w:p>
    <w:p>
      <w:pPr>
        <w:pStyle w:val="ListParagraph"/>
        <w:numPr>
          <w:ilvl w:val="0"/>
          <w:numId w:val="1"/>
        </w:numPr>
        <w:spacing w:after="60"/>
      </w:pPr>
      <w:r>
        <w:t xml:space="preserve">Recommend data-driven adjustments to lending/pricing policy.</w:t>
      </w:r>
    </w:p>
    <w:p>
      <w:pPr>
        <w:pStyle w:val="Heading1"/>
        <w:spacing w:after="150" w:before="300"/>
      </w:pPr>
      <w:r>
        <w:t xml:space="preserve">4. Project Scope</w:t>
      </w:r>
    </w:p>
    <w:p>
      <w:pPr>
        <w:pStyle w:val="Heading2"/>
        <w:spacing w:after="100" w:before="200"/>
      </w:pPr>
      <w:r>
        <w:t xml:space="preserve">4.1 In Scope</w:t>
      </w:r>
    </w:p>
    <w:p>
      <w:pPr>
        <w:pStyle w:val="ListParagraph"/>
        <w:numPr>
          <w:ilvl w:val="0"/>
          <w:numId w:val="1"/>
        </w:numPr>
        <w:spacing w:after="60"/>
      </w:pPr>
      <w:r>
        <w:t xml:space="preserve">Historical loan-level data (issue date, amount, term, grade, status).</w:t>
      </w:r>
    </w:p>
    <w:p>
      <w:pPr>
        <w:pStyle w:val="ListParagraph"/>
        <w:numPr>
          <w:ilvl w:val="0"/>
          <w:numId w:val="1"/>
        </w:numPr>
        <w:spacing w:after="60"/>
      </w:pPr>
      <w:r>
        <w:t xml:space="preserve">Borrower attributes (income, employment length, home ownership, state).</w:t>
      </w:r>
    </w:p>
    <w:p>
      <w:pPr>
        <w:pStyle w:val="ListParagraph"/>
        <w:numPr>
          <w:ilvl w:val="0"/>
          <w:numId w:val="1"/>
        </w:numPr>
        <w:spacing w:after="60"/>
      </w:pPr>
      <w:r>
        <w:t xml:space="preserve">Data cleaning and transformation in Power Query.</w:t>
      </w:r>
    </w:p>
    <w:p>
      <w:pPr>
        <w:pStyle w:val="ListParagraph"/>
        <w:numPr>
          <w:ilvl w:val="0"/>
          <w:numId w:val="1"/>
        </w:numPr>
        <w:spacing w:after="60"/>
      </w:pPr>
      <w:r>
        <w:t xml:space="preserve">DAX measures for default rate, amount at risk, and interest yield.</w:t>
      </w:r>
    </w:p>
    <w:p>
      <w:pPr>
        <w:pStyle w:val="ListParagraph"/>
        <w:numPr>
          <w:ilvl w:val="0"/>
          <w:numId w:val="1"/>
        </w:numPr>
        <w:spacing w:after="60"/>
      </w:pPr>
      <w:r>
        <w:t xml:space="preserve">Interactive Power BI dashboard with 3 pages: Overview, Borrower Risk Profile, Loan Grade Analysis.</w:t>
      </w:r>
    </w:p>
    <w:p>
      <w:pPr>
        <w:pStyle w:val="ListParagraph"/>
        <w:numPr>
          <w:ilvl w:val="0"/>
          <w:numId w:val="1"/>
        </w:numPr>
        <w:spacing w:after="60"/>
      </w:pPr>
      <w:r>
        <w:t xml:space="preserve">Written summary of key insights and recommendations.</w:t>
      </w:r>
    </w:p>
    <w:p>
      <w:pPr>
        <w:pStyle w:val="Heading2"/>
        <w:spacing w:after="100" w:before="200"/>
      </w:pPr>
      <w:r>
        <w:t xml:space="preserve">4.2 Out of Scope</w:t>
      </w:r>
    </w:p>
    <w:p>
      <w:pPr>
        <w:pStyle w:val="ListParagraph"/>
        <w:numPr>
          <w:ilvl w:val="0"/>
          <w:numId w:val="1"/>
        </w:numPr>
        <w:spacing w:after="60"/>
      </w:pPr>
      <w:r>
        <w:t xml:space="preserve">Real-time/live data integration (dataset is static/historical).</w:t>
      </w:r>
    </w:p>
    <w:p>
      <w:pPr>
        <w:pStyle w:val="ListParagraph"/>
        <w:numPr>
          <w:ilvl w:val="0"/>
          <w:numId w:val="1"/>
        </w:numPr>
        <w:spacing w:after="60"/>
      </w:pPr>
      <w:r>
        <w:t xml:space="preserve">Predictive machine learning model for default probability (future phase).</w:t>
      </w:r>
    </w:p>
    <w:p>
      <w:pPr>
        <w:pStyle w:val="ListParagraph"/>
        <w:numPr>
          <w:ilvl w:val="0"/>
          <w:numId w:val="1"/>
        </w:numPr>
        <w:spacing w:after="60"/>
      </w:pPr>
      <w:r>
        <w:t xml:space="preserve">Integration with production banking systems.</w:t>
      </w:r>
    </w:p>
    <w:p>
      <w:pPr>
        <w:pStyle w:val="Heading1"/>
        <w:spacing w:after="150" w:before="300"/>
      </w:pPr>
      <w:r>
        <w:t xml:space="preserve">5.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2E3B4E" w:val="clear"/>
          </w:tcPr>
          <w:p>
            <w:r>
              <w:rPr>
                <w:b/>
                <w:bCs/>
                <w:color w:val="FFFFFF"/>
              </w:rPr>
              <w:t xml:space="preserve">Role</w:t>
            </w:r>
          </w:p>
        </w:tc>
        <w:tc>
          <w:tcPr>
            <w:tcW w:type="dxa" w:w="3120"/>
            <w:shd w:fill="2E3B4E" w:val="clear"/>
          </w:tcPr>
          <w:p>
            <w:r>
              <w:rPr>
                <w:b/>
                <w:bCs/>
                <w:color w:val="FFFFFF"/>
              </w:rPr>
              <w:t xml:space="preserve">Responsibility</w:t>
            </w:r>
          </w:p>
        </w:tc>
        <w:tc>
          <w:tcPr>
            <w:tcW w:type="dxa" w:w="3120"/>
            <w:shd w:fill="2E3B4E" w:val="clear"/>
          </w:tcPr>
          <w:p>
            <w:r>
              <w:rPr>
                <w:b/>
                <w:bCs/>
                <w:color w:val="FFFFFF"/>
              </w:rPr>
              <w:t xml:space="preserve">Interest</w:t>
            </w:r>
          </w:p>
        </w:tc>
      </w:tr>
      <w:tr>
        <w:tc>
          <w:tcPr>
            <w:tcW w:type="dxa" w:w="2860"/>
          </w:tcPr>
          <w:p>
            <w:r>
              <w:t xml:space="preserve">Risk Management Lead</w:t>
            </w:r>
          </w:p>
        </w:tc>
        <w:tc>
          <w:tcPr>
            <w:tcW w:type="dxa" w:w="3860"/>
          </w:tcPr>
          <w:p>
            <w:r>
              <w:t xml:space="preserve">Reviews default trends, approves risk thresholds</w:t>
            </w:r>
          </w:p>
        </w:tc>
        <w:tc>
          <w:tcPr>
            <w:tcW w:type="dxa" w:w="2640"/>
          </w:tcPr>
          <w:p>
            <w:r>
              <w:t xml:space="preserve">High</w:t>
            </w:r>
          </w:p>
        </w:tc>
      </w:tr>
      <w:tr>
        <w:tc>
          <w:tcPr>
            <w:tcW w:type="dxa" w:w="2860"/>
          </w:tcPr>
          <w:p>
            <w:r>
              <w:t xml:space="preserve">Finance Director</w:t>
            </w:r>
          </w:p>
        </w:tc>
        <w:tc>
          <w:tcPr>
            <w:tcW w:type="dxa" w:w="3860"/>
          </w:tcPr>
          <w:p>
            <w:r>
              <w:t xml:space="preserve">Monitors capital exposure and profitability</w:t>
            </w:r>
          </w:p>
        </w:tc>
        <w:tc>
          <w:tcPr>
            <w:tcW w:type="dxa" w:w="2640"/>
          </w:tcPr>
          <w:p>
            <w:r>
              <w:t xml:space="preserve">High</w:t>
            </w:r>
          </w:p>
        </w:tc>
      </w:tr>
      <w:tr>
        <w:tc>
          <w:tcPr>
            <w:tcW w:type="dxa" w:w="2860"/>
          </w:tcPr>
          <w:p>
            <w:r>
              <w:t xml:space="preserve">Data Analyst (You)</w:t>
            </w:r>
          </w:p>
        </w:tc>
        <w:tc>
          <w:tcPr>
            <w:tcW w:type="dxa" w:w="3860"/>
          </w:tcPr>
          <w:p>
            <w:r>
              <w:t xml:space="preserve">Builds and maintains the dashboard</w:t>
            </w:r>
          </w:p>
        </w:tc>
        <w:tc>
          <w:tcPr>
            <w:tcW w:type="dxa" w:w="2640"/>
          </w:tcPr>
          <w:p>
            <w:r>
              <w:t xml:space="preserve">Owner</w:t>
            </w:r>
          </w:p>
        </w:tc>
      </w:tr>
      <w:tr>
        <w:tc>
          <w:tcPr>
            <w:tcW w:type="dxa" w:w="2860"/>
          </w:tcPr>
          <w:p>
            <w:r>
              <w:t xml:space="preserve">Loan Operations Team</w:t>
            </w:r>
          </w:p>
        </w:tc>
        <w:tc>
          <w:tcPr>
            <w:tcW w:type="dxa" w:w="3860"/>
          </w:tcPr>
          <w:p>
            <w:r>
              <w:t xml:space="preserve">Consumes insights for underwriting decisions</w:t>
            </w:r>
          </w:p>
        </w:tc>
        <w:tc>
          <w:tcPr>
            <w:tcW w:type="dxa" w:w="2640"/>
          </w:tcPr>
          <w:p>
            <w:r>
              <w:t xml:space="preserve">Medium</w:t>
            </w:r>
          </w:p>
        </w:tc>
      </w:tr>
    </w:tbl>
    <w:p>
      <w:pPr>
        <w:pStyle w:val="Heading1"/>
        <w:spacing w:after="150" w:before="300"/>
      </w:pPr>
      <w:r>
        <w:t xml:space="preserve">6. Data Requirements</w:t>
      </w:r>
    </w:p>
    <w:p>
      <w:pPr>
        <w:spacing w:after="120"/>
      </w:pPr>
      <w:r>
        <w:t xml:space="preserve">Source: Public Lending Club Loan Dataset (Kaggle). Key fields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2E3B4E" w:val="clear"/>
          </w:tcPr>
          <w:p>
            <w:r>
              <w:rPr>
                <w:b/>
                <w:bCs/>
                <w:color w:val="FFFFFF"/>
              </w:rPr>
              <w:t xml:space="preserve">Field</w:t>
            </w:r>
          </w:p>
        </w:tc>
        <w:tc>
          <w:tcPr>
            <w:tcW w:type="dxa" w:w="4680"/>
            <w:shd w:fill="2E3B4E" w:val="clear"/>
          </w:tcPr>
          <w:p>
            <w:r>
              <w:rPr>
                <w:b/>
                <w:bCs/>
                <w:color w:val="FFFFFF"/>
              </w:rPr>
              <w:t xml:space="preserve">Description</w:t>
            </w:r>
          </w:p>
        </w:tc>
      </w:tr>
      <w:tr>
        <w:tc>
          <w:tcPr>
            <w:tcW w:type="dxa" w:w="3120"/>
          </w:tcPr>
          <w:p>
            <w:r>
              <w:t xml:space="preserve">loan_amnt / funded_amnt</w:t>
            </w:r>
          </w:p>
        </w:tc>
        <w:tc>
          <w:tcPr>
            <w:tcW w:type="dxa" w:w="6240"/>
          </w:tcPr>
          <w:p>
            <w:r>
              <w:t xml:space="preserve">Loan principal amount</w:t>
            </w:r>
          </w:p>
        </w:tc>
      </w:tr>
      <w:tr>
        <w:tc>
          <w:tcPr>
            <w:tcW w:type="dxa" w:w="3120"/>
          </w:tcPr>
          <w:p>
            <w:r>
              <w:t xml:space="preserve">int_rate</w:t>
            </w:r>
          </w:p>
        </w:tc>
        <w:tc>
          <w:tcPr>
            <w:tcW w:type="dxa" w:w="6240"/>
          </w:tcPr>
          <w:p>
            <w:r>
              <w:t xml:space="preserve">Interest rate charged</w:t>
            </w:r>
          </w:p>
        </w:tc>
      </w:tr>
      <w:tr>
        <w:tc>
          <w:tcPr>
            <w:tcW w:type="dxa" w:w="3120"/>
          </w:tcPr>
          <w:p>
            <w:r>
              <w:t xml:space="preserve">grade / sub_grade</w:t>
            </w:r>
          </w:p>
        </w:tc>
        <w:tc>
          <w:tcPr>
            <w:tcW w:type="dxa" w:w="6240"/>
          </w:tcPr>
          <w:p>
            <w:r>
              <w:t xml:space="preserve">Risk grade assigned to loan (A–G)</w:t>
            </w:r>
          </w:p>
        </w:tc>
      </w:tr>
      <w:tr>
        <w:tc>
          <w:tcPr>
            <w:tcW w:type="dxa" w:w="3120"/>
          </w:tcPr>
          <w:p>
            <w:r>
              <w:t xml:space="preserve">loan_status</w:t>
            </w:r>
          </w:p>
        </w:tc>
        <w:tc>
          <w:tcPr>
            <w:tcW w:type="dxa" w:w="6240"/>
          </w:tcPr>
          <w:p>
            <w:r>
              <w:t xml:space="preserve">Current repayment status (default indicator)</w:t>
            </w:r>
          </w:p>
        </w:tc>
      </w:tr>
      <w:tr>
        <w:tc>
          <w:tcPr>
            <w:tcW w:type="dxa" w:w="3120"/>
          </w:tcPr>
          <w:p>
            <w:r>
              <w:t xml:space="preserve">annual_inc</w:t>
            </w:r>
          </w:p>
        </w:tc>
        <w:tc>
          <w:tcPr>
            <w:tcW w:type="dxa" w:w="6240"/>
          </w:tcPr>
          <w:p>
            <w:r>
              <w:t xml:space="preserve">Borrower's annual income</w:t>
            </w:r>
          </w:p>
        </w:tc>
      </w:tr>
      <w:tr>
        <w:tc>
          <w:tcPr>
            <w:tcW w:type="dxa" w:w="3120"/>
          </w:tcPr>
          <w:p>
            <w:r>
              <w:t xml:space="preserve">emp_length</w:t>
            </w:r>
          </w:p>
        </w:tc>
        <w:tc>
          <w:tcPr>
            <w:tcW w:type="dxa" w:w="6240"/>
          </w:tcPr>
          <w:p>
            <w:r>
              <w:t xml:space="preserve">Borrower's employment length</w:t>
            </w:r>
          </w:p>
        </w:tc>
      </w:tr>
      <w:tr>
        <w:tc>
          <w:tcPr>
            <w:tcW w:type="dxa" w:w="3120"/>
          </w:tcPr>
          <w:p>
            <w:r>
              <w:t xml:space="preserve">home_ownership</w:t>
            </w:r>
          </w:p>
        </w:tc>
        <w:tc>
          <w:tcPr>
            <w:tcW w:type="dxa" w:w="6240"/>
          </w:tcPr>
          <w:p>
            <w:r>
              <w:t xml:space="preserve">Own / mortgage / rent</w:t>
            </w:r>
          </w:p>
        </w:tc>
      </w:tr>
      <w:tr>
        <w:tc>
          <w:tcPr>
            <w:tcW w:type="dxa" w:w="3120"/>
          </w:tcPr>
          <w:p>
            <w:r>
              <w:t xml:space="preserve">purpose</w:t>
            </w:r>
          </w:p>
        </w:tc>
        <w:tc>
          <w:tcPr>
            <w:tcW w:type="dxa" w:w="6240"/>
          </w:tcPr>
          <w:p>
            <w:r>
              <w:t xml:space="preserve">Stated purpose of loan</w:t>
            </w:r>
          </w:p>
        </w:tc>
      </w:tr>
      <w:tr>
        <w:tc>
          <w:tcPr>
            <w:tcW w:type="dxa" w:w="3120"/>
          </w:tcPr>
          <w:p>
            <w:r>
              <w:t xml:space="preserve">term</w:t>
            </w:r>
          </w:p>
        </w:tc>
        <w:tc>
          <w:tcPr>
            <w:tcW w:type="dxa" w:w="6240"/>
          </w:tcPr>
          <w:p>
            <w:r>
              <w:t xml:space="preserve">Loan repayment term</w:t>
            </w:r>
          </w:p>
        </w:tc>
      </w:tr>
      <w:tr>
        <w:tc>
          <w:tcPr>
            <w:tcW w:type="dxa" w:w="3120"/>
          </w:tcPr>
          <w:p>
            <w:r>
              <w:t xml:space="preserve">addr_state</w:t>
            </w:r>
          </w:p>
        </w:tc>
        <w:tc>
          <w:tcPr>
            <w:tcW w:type="dxa" w:w="6240"/>
          </w:tcPr>
          <w:p>
            <w:r>
              <w:t xml:space="preserve">Borrower's state</w:t>
            </w:r>
          </w:p>
        </w:tc>
      </w:tr>
      <w:tr>
        <w:tc>
          <w:tcPr>
            <w:tcW w:type="dxa" w:w="3120"/>
          </w:tcPr>
          <w:p>
            <w:r>
              <w:t xml:space="preserve">issue_d</w:t>
            </w:r>
          </w:p>
        </w:tc>
        <w:tc>
          <w:tcPr>
            <w:tcW w:type="dxa" w:w="6240"/>
          </w:tcPr>
          <w:p>
            <w:r>
              <w:t xml:space="preserve">Loan issue date</w:t>
            </w:r>
          </w:p>
        </w:tc>
      </w:tr>
    </w:tbl>
    <w:p>
      <w:pPr>
        <w:pStyle w:val="Heading1"/>
        <w:spacing w:after="150" w:before="300"/>
      </w:pPr>
      <w:r>
        <w:t xml:space="preserve">7.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2E3B4E" w:val="clear"/>
          </w:tcPr>
          <w:p>
            <w:r>
              <w:rPr>
                <w:b/>
                <w:bCs/>
                <w:color w:val="FFFFFF"/>
              </w:rPr>
              <w:t xml:space="preserve">ID</w:t>
            </w:r>
          </w:p>
        </w:tc>
        <w:tc>
          <w:tcPr>
            <w:tcW w:type="dxa" w:w="3120"/>
            <w:shd w:fill="2E3B4E" w:val="clear"/>
          </w:tcPr>
          <w:p>
            <w:r>
              <w:rPr>
                <w:b/>
                <w:bCs/>
                <w:color w:val="FFFFFF"/>
              </w:rPr>
              <w:t xml:space="preserve">Requirement</w:t>
            </w:r>
          </w:p>
        </w:tc>
        <w:tc>
          <w:tcPr>
            <w:tcW w:type="dxa" w:w="3120"/>
            <w:shd w:fill="2E3B4E" w:val="clear"/>
          </w:tcPr>
          <w:p>
            <w:r>
              <w:rPr>
                <w:b/>
                <w:bCs/>
                <w:color w:val="FFFFFF"/>
              </w:rPr>
              <w:t xml:space="preserve">Priority</w:t>
            </w:r>
          </w:p>
        </w:tc>
      </w:tr>
      <w:tr>
        <w:tc>
          <w:tcPr>
            <w:tcW w:type="dxa" w:w="1400"/>
          </w:tcPr>
          <w:p>
            <w:r>
              <w:t xml:space="preserve">FR-1</w:t>
            </w:r>
          </w:p>
        </w:tc>
        <w:tc>
          <w:tcPr>
            <w:tcW w:type="dxa" w:w="6300"/>
          </w:tcPr>
          <w:p>
            <w:r>
              <w:t xml:space="preserve">Dashboard shall display total loans issued, default rate %, and total amount at risk as KPI cards</w:t>
            </w:r>
          </w:p>
        </w:tc>
        <w:tc>
          <w:tcPr>
            <w:tcW w:type="dxa" w:w="1660"/>
          </w:tcPr>
          <w:p>
            <w:r>
              <w:t xml:space="preserve">High</w:t>
            </w:r>
          </w:p>
        </w:tc>
      </w:tr>
      <w:tr>
        <w:tc>
          <w:tcPr>
            <w:tcW w:type="dxa" w:w="1400"/>
          </w:tcPr>
          <w:p>
            <w:r>
              <w:t xml:space="preserve">FR-2</w:t>
            </w:r>
          </w:p>
        </w:tc>
        <w:tc>
          <w:tcPr>
            <w:tcW w:type="dxa" w:w="6300"/>
          </w:tcPr>
          <w:p>
            <w:r>
              <w:t xml:space="preserve">Dashboard shall show loan issuance and default trend over time (monthly/yearly)</w:t>
            </w:r>
          </w:p>
        </w:tc>
        <w:tc>
          <w:tcPr>
            <w:tcW w:type="dxa" w:w="1660"/>
          </w:tcPr>
          <w:p>
            <w:r>
              <w:t xml:space="preserve">High</w:t>
            </w:r>
          </w:p>
        </w:tc>
      </w:tr>
      <w:tr>
        <w:tc>
          <w:tcPr>
            <w:tcW w:type="dxa" w:w="1400"/>
          </w:tcPr>
          <w:p>
            <w:r>
              <w:t xml:space="preserve">FR-3</w:t>
            </w:r>
          </w:p>
        </w:tc>
        <w:tc>
          <w:tcPr>
            <w:tcW w:type="dxa" w:w="6300"/>
          </w:tcPr>
          <w:p>
            <w:r>
              <w:t xml:space="preserve">Dashboard shall break down default rate by income bracket, employment length, and home ownership</w:t>
            </w:r>
          </w:p>
        </w:tc>
        <w:tc>
          <w:tcPr>
            <w:tcW w:type="dxa" w:w="1660"/>
          </w:tcPr>
          <w:p>
            <w:r>
              <w:t xml:space="preserve">High</w:t>
            </w:r>
          </w:p>
        </w:tc>
      </w:tr>
      <w:tr>
        <w:tc>
          <w:tcPr>
            <w:tcW w:type="dxa" w:w="1400"/>
          </w:tcPr>
          <w:p>
            <w:r>
              <w:t xml:space="preserve">FR-4</w:t>
            </w:r>
          </w:p>
        </w:tc>
        <w:tc>
          <w:tcPr>
            <w:tcW w:type="dxa" w:w="6300"/>
          </w:tcPr>
          <w:p>
            <w:r>
              <w:t xml:space="preserve">Dashboard shall show relationship between interest rate/loan grade and default rate</w:t>
            </w:r>
          </w:p>
        </w:tc>
        <w:tc>
          <w:tcPr>
            <w:tcW w:type="dxa" w:w="1660"/>
          </w:tcPr>
          <w:p>
            <w:r>
              <w:t xml:space="preserve">High</w:t>
            </w:r>
          </w:p>
        </w:tc>
      </w:tr>
      <w:tr>
        <w:tc>
          <w:tcPr>
            <w:tcW w:type="dxa" w:w="1400"/>
          </w:tcPr>
          <w:p>
            <w:r>
              <w:t xml:space="preserve">FR-5</w:t>
            </w:r>
          </w:p>
        </w:tc>
        <w:tc>
          <w:tcPr>
            <w:tcW w:type="dxa" w:w="6300"/>
          </w:tcPr>
          <w:p>
            <w:r>
              <w:t xml:space="preserve">Dashboard shall allow filtering by loan grade, purpose, term, and state</w:t>
            </w:r>
          </w:p>
        </w:tc>
        <w:tc>
          <w:tcPr>
            <w:tcW w:type="dxa" w:w="1660"/>
          </w:tcPr>
          <w:p>
            <w:r>
              <w:t xml:space="preserve">Medium</w:t>
            </w:r>
          </w:p>
        </w:tc>
      </w:tr>
      <w:tr>
        <w:tc>
          <w:tcPr>
            <w:tcW w:type="dxa" w:w="1400"/>
          </w:tcPr>
          <w:p>
            <w:r>
              <w:t xml:space="preserve">FR-6</w:t>
            </w:r>
          </w:p>
        </w:tc>
        <w:tc>
          <w:tcPr>
            <w:tcW w:type="dxa" w:w="6300"/>
          </w:tcPr>
          <w:p>
            <w:r>
              <w:t xml:space="preserve">Dashboard shall include narrative insight callouts on each page</w:t>
            </w:r>
          </w:p>
        </w:tc>
        <w:tc>
          <w:tcPr>
            <w:tcW w:type="dxa" w:w="1660"/>
          </w:tcPr>
          <w:p>
            <w:r>
              <w:t xml:space="preserve">Medium</w:t>
            </w:r>
          </w:p>
        </w:tc>
      </w:tr>
    </w:tbl>
    <w:p>
      <w:pPr>
        <w:pStyle w:val="Heading1"/>
        <w:spacing w:after="150" w:before="300"/>
      </w:pPr>
      <w:r>
        <w:t xml:space="preserve">8. Key Metrics (DAX Measures)</w:t>
      </w:r>
    </w:p>
    <w:p>
      <w:pPr>
        <w:pStyle w:val="ListParagraph"/>
        <w:numPr>
          <w:ilvl w:val="0"/>
          <w:numId w:val="1"/>
        </w:numPr>
        <w:spacing w:after="60"/>
      </w:pPr>
      <w:r>
        <w:t xml:space="preserve">Default Rate % = Defaulted Loans ÷ Total Loans</w:t>
      </w:r>
    </w:p>
    <w:p>
      <w:pPr>
        <w:pStyle w:val="ListParagraph"/>
        <w:numPr>
          <w:ilvl w:val="0"/>
          <w:numId w:val="1"/>
        </w:numPr>
        <w:spacing w:after="60"/>
      </w:pPr>
      <w:r>
        <w:t xml:space="preserve">Total Amount at Risk = Sum of outstanding balance on defaulted/late loans</w:t>
      </w:r>
    </w:p>
    <w:p>
      <w:pPr>
        <w:pStyle w:val="ListParagraph"/>
        <w:numPr>
          <w:ilvl w:val="0"/>
          <w:numId w:val="1"/>
        </w:numPr>
        <w:spacing w:after="60"/>
      </w:pPr>
      <w:r>
        <w:t xml:space="preserve">Average Interest Rate by Grade</w:t>
      </w:r>
    </w:p>
    <w:p>
      <w:pPr>
        <w:pStyle w:val="ListParagraph"/>
        <w:numPr>
          <w:ilvl w:val="0"/>
          <w:numId w:val="1"/>
        </w:numPr>
        <w:spacing w:after="60"/>
      </w:pPr>
      <w:r>
        <w:t xml:space="preserve">Year-over-Year Loan Issuance Growth</w:t>
      </w:r>
    </w:p>
    <w:p>
      <w:pPr>
        <w:pStyle w:val="Heading1"/>
        <w:spacing w:after="150" w:before="300"/>
      </w:pPr>
      <w:r>
        <w:t xml:space="preserve">9. Assumptions &amp; Constraints</w:t>
      </w:r>
    </w:p>
    <w:p>
      <w:pPr>
        <w:pStyle w:val="ListParagraph"/>
        <w:numPr>
          <w:ilvl w:val="0"/>
          <w:numId w:val="1"/>
        </w:numPr>
        <w:spacing w:after="60"/>
      </w:pPr>
      <w:r>
        <w:t xml:space="preserve">Dataset is historical and used for retrospective analysis, not live monitoring.</w:t>
      </w:r>
    </w:p>
    <w:p>
      <w:pPr>
        <w:pStyle w:val="ListParagraph"/>
        <w:numPr>
          <w:ilvl w:val="0"/>
          <w:numId w:val="1"/>
        </w:numPr>
        <w:spacing w:after="60"/>
      </w:pPr>
      <w:r>
        <w:t xml:space="preserve">Data quality (nulls, inconsistent categories) will be addressed during Power Query cleaning.</w:t>
      </w:r>
    </w:p>
    <w:p>
      <w:pPr>
        <w:pStyle w:val="ListParagraph"/>
        <w:numPr>
          <w:ilvl w:val="0"/>
          <w:numId w:val="1"/>
        </w:numPr>
        <w:spacing w:after="60"/>
      </w:pPr>
      <w:r>
        <w:t xml:space="preserve">Analysis reflects patterns in the public dataset and is illustrative of the business problem, not the actual institution's live portfolio.</w:t>
      </w:r>
    </w:p>
    <w:p>
      <w:pPr>
        <w:pStyle w:val="Heading1"/>
        <w:spacing w:after="150" w:before="300"/>
      </w:pPr>
      <w:r>
        <w:t xml:space="preserve">10. Deliverables</w:t>
      </w:r>
    </w:p>
    <w:p>
      <w:pPr>
        <w:pStyle w:val="ListParagraph"/>
        <w:numPr>
          <w:ilvl w:val="0"/>
          <w:numId w:val="1"/>
        </w:numPr>
        <w:spacing w:after="60"/>
      </w:pPr>
      <w:r>
        <w:t xml:space="preserve">Cleaned and modeled dataset in Power BI.</w:t>
      </w:r>
    </w:p>
    <w:p>
      <w:pPr>
        <w:pStyle w:val="ListParagraph"/>
        <w:numPr>
          <w:ilvl w:val="0"/>
          <w:numId w:val="1"/>
        </w:numPr>
        <w:spacing w:after="60"/>
      </w:pPr>
      <w:r>
        <w:t xml:space="preserve">3-page interactive Power BI dashboard (.pbix).</w:t>
      </w:r>
    </w:p>
    <w:p>
      <w:pPr>
        <w:pStyle w:val="ListParagraph"/>
        <w:numPr>
          <w:ilvl w:val="0"/>
          <w:numId w:val="1"/>
        </w:numPr>
        <w:spacing w:after="60"/>
      </w:pPr>
      <w:r>
        <w:t xml:space="preserve">Summary of insights and recommendations (1-page write-up).</w:t>
      </w:r>
    </w:p>
    <w:p>
      <w:pPr>
        <w:pStyle w:val="Heading1"/>
        <w:spacing w:after="150" w:before="300"/>
      </w:pPr>
      <w:r>
        <w:t xml:space="preserve">11. Success Criteria</w:t>
      </w:r>
    </w:p>
    <w:p>
      <w:pPr>
        <w:pStyle w:val="ListParagraph"/>
        <w:numPr>
          <w:ilvl w:val="0"/>
          <w:numId w:val="1"/>
        </w:numPr>
        <w:spacing w:after="60"/>
      </w:pPr>
      <w:r>
        <w:t xml:space="preserve">Dashboard clearly identifies at least 2-3 borrower/loan segments with elevated default risk.</w:t>
      </w:r>
    </w:p>
    <w:p>
      <w:pPr>
        <w:pStyle w:val="ListParagraph"/>
        <w:numPr>
          <w:ilvl w:val="0"/>
          <w:numId w:val="1"/>
        </w:numPr>
        <w:spacing w:after="60"/>
      </w:pPr>
      <w:r>
        <w:t xml:space="preserve">Stakeholders can filter and explore data without needing analyst support.</w:t>
      </w:r>
    </w:p>
    <w:p>
      <w:pPr>
        <w:pStyle w:val="ListParagraph"/>
        <w:numPr>
          <w:ilvl w:val="0"/>
          <w:numId w:val="1"/>
        </w:numPr>
        <w:spacing w:after="60"/>
      </w:pPr>
      <w:r>
        <w:t xml:space="preserve">Insights lead to at least one actionable, quantified recommendation (e.g., pricing or underwriting adjustment).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2026-07-03T13:04:07.509Z</dcterms:created>
  <dcterms:modified xsi:type="dcterms:W3CDTF">2026-07-03T13:04:07.509Z</dcterms:modified>
</cp:coreProperties>
</file>

<file path=docProps/custom.xml><?xml version="1.0" encoding="utf-8"?>
<Properties xmlns="http://schemas.openxmlformats.org/officeDocument/2006/custom-properties" xmlns:vt="http://schemas.openxmlformats.org/officeDocument/2006/docPropsVTypes"/>
</file>