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Profile &amp; 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2.1/2.2 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Engineering Leadership: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Agile &amp; Scrum Leadership, Certified ScrumMaster (CSM), SDLC Optimization, Workday Platform Uploads, Budget Management, Vendor Management, Talent Acquisition, Coaching &amp; Mentorship.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/ 2.2 AA, Section 508, ADA Compliance, axe-core, Lighthouse CI, NVDA Audits, Content Security Policy (CSP),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Claude, OpenAI APIs,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Adobe Experience Manager (AEM / CQ5), Workday HRIS.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 — Frontend Architecture &amp; Engineering Leadership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 —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 — UI Development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Led UI engineering pods for enterprise web applications, collaborating closely with senior leadership to govern UI standards and usability lifecycles.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Defined design systems, development standards, SEO architecture, and W3C web compliance.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Designed and launched compliant web interfaces while conducting R&amp;D on emerging client-side web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