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spacing w:before="0" w:after="40"/>
        <w:jc w:val="center"/>
      </w:pPr>
      <w:r>
        <w:rPr>
          <w:rFonts w:ascii="Arial" w:hAnsi="Arial" w:cs="Arial"/>
          <w:b/>
          <w:bCs/>
          <w:color w:val="1A202C"/>
          <w:sz w:val="38"/>
          <w:szCs w:val="38"/>
        </w:rPr>
        <w:t xml:space="preserve">RAVINDRAKUMAR M. SUTHAR</w:t>
      </w:r>
    </w:p>
    <w:p>
      <w:pPr>
        <w:spacing w:before="0" w:after="60"/>
        <w:jc w:val="center"/>
      </w:pPr>
      <w:r>
        <w:rPr>
          <w:rFonts w:ascii="Arial" w:hAnsi="Arial" w:cs="Arial"/>
          <w:b/>
          <w:bCs/>
          <w:i/>
          <w:iCs/>
          <w:color w:val="2B6CB0"/>
          <w:sz w:val="21"/>
          <w:szCs w:val="21"/>
        </w:rPr>
        <w:t xml:space="preserve">Senior Principal Architect &amp; Engineering Leader</w:t>
      </w:r>
    </w:p>
    <w:p>
      <w:pPr>
        <w:spacing w:before="0" w:after="30"/>
        <w:jc w:val="center"/>
      </w:pPr>
      <w:r>
        <w:rPr>
          <w:rFonts w:ascii="Arial" w:hAnsi="Arial" w:cs="Arial"/>
          <w:b/>
          <w:bCs/>
          <w:color w:val="4A5568"/>
          <w:sz w:val="18"/>
          <w:szCs w:val="18"/>
        </w:rPr>
        <w:t xml:space="preserve">Location:</w:t>
      </w:r>
      <w:r>
        <w:rPr>
          <w:rFonts w:ascii="Arial" w:hAnsi="Arial" w:cs="Arial"/>
          <w:color w:val="4A5568"/>
          <w:sz w:val="18"/>
          <w:szCs w:val="18"/>
        </w:rPr>
        <w:t xml:space="preserve">Pune, Maharashtra, India  |</w:t>
      </w:r>
      <w:r>
        <w:rPr>
          <w:rFonts w:ascii="Arial" w:hAnsi="Arial" w:cs="Arial"/>
          <w:b/>
          <w:bCs/>
          <w:color w:val="4A5568"/>
          <w:sz w:val="18"/>
          <w:szCs w:val="18"/>
        </w:rPr>
        <w:t xml:space="preserve">Phone:</w:t>
      </w:r>
      <w:r>
        <w:rPr>
          <w:rFonts w:ascii="Arial" w:hAnsi="Arial" w:cs="Arial"/>
          <w:color w:val="4A5568"/>
          <w:sz w:val="18"/>
          <w:szCs w:val="18"/>
        </w:rPr>
        <w:t xml:space="preserve">+91 83800 99988  |</w:t>
      </w:r>
      <w:r>
        <w:rPr>
          <w:rFonts w:ascii="Arial" w:hAnsi="Arial" w:cs="Arial"/>
          <w:b/>
          <w:bCs/>
          <w:color w:val="4A5568"/>
          <w:sz w:val="18"/>
          <w:szCs w:val="18"/>
        </w:rPr>
        <w:t xml:space="preserve">Email:</w:t>
      </w:r>
      <w:r>
        <w:rPr>
          <w:rFonts w:ascii="Arial" w:hAnsi="Arial" w:cs="Arial"/>
          <w:color w:val="2B6CB0"/>
          <w:sz w:val="18"/>
          <w:szCs w:val="18"/>
        </w:rPr>
        <w:t xml:space="preserve">ravindra.suthar@me.com</w:t>
      </w:r>
    </w:p>
    <w:p>
      <w:pPr>
        <w:spacing w:before="0" w:after="140"/>
        <w:jc w:val="center"/>
      </w:pPr>
      <w:r>
        <w:rPr>
          <w:rFonts w:ascii="Arial" w:hAnsi="Arial" w:cs="Arial"/>
          <w:b/>
          <w:bCs/>
          <w:color w:val="4A5568"/>
          <w:sz w:val="18"/>
          <w:szCs w:val="18"/>
        </w:rPr>
        <w:t xml:space="preserve">LinkedIn:</w:t>
      </w:r>
      <w:r>
        <w:rPr>
          <w:rFonts w:ascii="Arial" w:hAnsi="Arial" w:cs="Arial"/>
          <w:color w:val="2B6CB0"/>
          <w:sz w:val="18"/>
          <w:szCs w:val="18"/>
        </w:rPr>
        <w:t xml:space="preserve">linkedin.com/in/ravindrasuthar  |</w:t>
      </w:r>
      <w:r>
        <w:rPr>
          <w:rFonts w:ascii="Arial" w:hAnsi="Arial" w:cs="Arial"/>
          <w:b/>
          <w:bCs/>
          <w:color w:val="4A5568"/>
          <w:sz w:val="18"/>
          <w:szCs w:val="18"/>
        </w:rPr>
        <w:t xml:space="preserve">GitHub:</w:t>
      </w:r>
      <w:r>
        <w:rPr>
          <w:rFonts w:ascii="Arial" w:hAnsi="Arial" w:cs="Arial"/>
          <w:color w:val="2B6CB0"/>
          <w:sz w:val="18"/>
          <w:szCs w:val="18"/>
        </w:rPr>
        <w:t xml:space="preserve">github.com/rmsuthar  |</w:t>
      </w:r>
      <w:r>
        <w:rPr>
          <w:rFonts w:ascii="Arial" w:hAnsi="Arial" w:cs="Arial"/>
          <w:b/>
          <w:bCs/>
          <w:color w:val="4A5568"/>
          <w:sz w:val="18"/>
          <w:szCs w:val="18"/>
        </w:rPr>
        <w:t xml:space="preserve">Portfolio:</w:t>
      </w:r>
      <w:r>
        <w:rPr>
          <w:rFonts w:ascii="Arial" w:hAnsi="Arial" w:cs="Arial"/>
          <w:color w:val="2B6CB0"/>
          <w:sz w:val="18"/>
          <w:szCs w:val="18"/>
        </w:rPr>
        <w:t xml:space="preserve">ravindra.lets.gen.in</w:t>
      </w:r>
    </w:p>
    <w:p>
      <w:pPr>
        <w:pBdr>
          <w:bottom w:val="single" w:sz="12" w:space="4" w:color="1A365D"/>
        </w:pBdr>
        <w:spacing w:before="260" w:after="90"/>
      </w:pPr>
      <w:r>
        <w:rPr>
          <w:rFonts w:ascii="Arial" w:hAnsi="Arial" w:cs="Arial"/>
          <w:b/>
          <w:bCs/>
          <w:color w:val="1A365D"/>
          <w:sz w:val="23"/>
          <w:szCs w:val="23"/>
        </w:rPr>
        <w:t xml:space="preserve">PROFESSIONAL SUMMARY</w:t>
      </w:r>
    </w:p>
    <w:p>
      <w:pPr>
        <w:spacing w:before="30" w:after="60"/>
      </w:pPr>
      <w:r>
        <w:rPr>
          <w:rFonts w:ascii="Arial" w:hAnsi="Arial" w:cs="Arial"/>
          <w:color w:val="2D3748"/>
          <w:sz w:val="19"/>
          <w:szCs w:val="19"/>
        </w:rPr>
        <w:t xml:space="preserve">Engineering leader with</w:t>
      </w:r>
      <w:r>
        <w:rPr>
          <w:rFonts w:ascii="Arial" w:hAnsi="Arial" w:cs="Arial"/>
          <w:b/>
          <w:bCs/>
          <w:color w:val="2D3748"/>
          <w:sz w:val="19"/>
          <w:szCs w:val="19"/>
        </w:rPr>
        <w:t xml:space="preserve">17+ years of experience</w:t>
      </w:r>
      <w:r>
        <w:rPr>
          <w:rFonts w:ascii="Arial" w:hAnsi="Arial" w:cs="Arial"/>
          <w:color w:val="2D3748"/>
          <w:sz w:val="19"/>
          <w:szCs w:val="19"/>
        </w:rPr>
        <w:t xml:space="preserve">steering multi-team engineering organisations through large-scale digital transformation in regulated Banking, Financial Services, and Insurance (BFSI) environments. At Citicorp Services India, progressed through the engineering ladder from Technical Lead to</w:t>
      </w:r>
      <w:r>
        <w:rPr>
          <w:rFonts w:ascii="Arial" w:hAnsi="Arial" w:cs="Arial"/>
          <w:b/>
          <w:bCs/>
          <w:color w:val="2D3748"/>
          <w:sz w:val="19"/>
          <w:szCs w:val="19"/>
        </w:rPr>
        <w:t xml:space="preserve">Senior Principal Architect &amp; Engineering Leader</w:t>
      </w:r>
      <w:r>
        <w:rPr>
          <w:rFonts w:ascii="Arial" w:hAnsi="Arial" w:cs="Arial"/>
          <w:color w:val="2D3748"/>
          <w:sz w:val="19"/>
          <w:szCs w:val="19"/>
        </w:rPr>
        <w:t xml:space="preserve">, building and retaining high-performance squads with sustained</w:t>
      </w:r>
      <w:r>
        <w:rPr>
          <w:rFonts w:ascii="Arial" w:hAnsi="Arial" w:cs="Arial"/>
          <w:b/>
          <w:bCs/>
          <w:color w:val="2D3748"/>
          <w:sz w:val="19"/>
          <w:szCs w:val="19"/>
        </w:rPr>
        <w:t xml:space="preserve">&lt;8% attrition</w:t>
      </w:r>
      <w:r>
        <w:rPr>
          <w:rFonts w:ascii="Arial" w:hAnsi="Arial" w:cs="Arial"/>
          <w:color w:val="2D3748"/>
          <w:sz w:val="19"/>
          <w:szCs w:val="19"/>
        </w:rPr>
        <w:t xml:space="preserve">— a benchmark exceptional in enterprise engineering.</w:t>
      </w:r>
    </w:p>
    <w:p>
      <w:pPr>
        <w:spacing w:before="30" w:after="100"/>
      </w:pPr>
      <w:r>
        <w:rPr>
          <w:rFonts w:ascii="Arial" w:hAnsi="Arial" w:cs="Arial"/>
          <w:color w:val="2D3748"/>
          <w:sz w:val="19"/>
          <w:szCs w:val="19"/>
        </w:rPr>
        <w:t xml:space="preserve">Delivered measurable, executive-visible impact:</w:t>
      </w:r>
      <w:r>
        <w:rPr>
          <w:rFonts w:ascii="Arial" w:hAnsi="Arial" w:cs="Arial"/>
          <w:b/>
          <w:bCs/>
          <w:color w:val="2D3748"/>
          <w:sz w:val="19"/>
          <w:szCs w:val="19"/>
        </w:rPr>
        <w:t xml:space="preserve">60% reduction in migration cycle times</w:t>
      </w:r>
      <w:r>
        <w:rPr>
          <w:rFonts w:ascii="Arial" w:hAnsi="Arial" w:cs="Arial"/>
          <w:color w:val="2D3748"/>
          <w:sz w:val="19"/>
          <w:szCs w:val="19"/>
        </w:rPr>
        <w:t xml:space="preserve">via an autonomous AI agent &amp; integrated VS Code extension;</w:t>
      </w:r>
      <w:r>
        <w:rPr>
          <w:rFonts w:ascii="Arial" w:hAnsi="Arial" w:cs="Arial"/>
          <w:b/>
          <w:bCs/>
          <w:color w:val="2D3748"/>
          <w:sz w:val="19"/>
          <w:szCs w:val="19"/>
        </w:rPr>
        <w:t xml:space="preserve">50% application load-time improvement</w:t>
      </w:r>
      <w:r>
        <w:rPr>
          <w:rFonts w:ascii="Arial" w:hAnsi="Arial" w:cs="Arial"/>
          <w:color w:val="2D3748"/>
          <w:sz w:val="19"/>
          <w:szCs w:val="19"/>
        </w:rPr>
        <w:t xml:space="preserve">through React / Next.js performance engineering;</w:t>
      </w:r>
      <w:r>
        <w:rPr>
          <w:rFonts w:ascii="Arial" w:hAnsi="Arial" w:cs="Arial"/>
          <w:b/>
          <w:bCs/>
          <w:color w:val="2D3748"/>
          <w:sz w:val="19"/>
          <w:szCs w:val="19"/>
        </w:rPr>
        <w:t xml:space="preserve">40% cut in integration complexity</w:t>
      </w:r>
      <w:r>
        <w:rPr>
          <w:rFonts w:ascii="Arial" w:hAnsi="Arial" w:cs="Arial"/>
          <w:color w:val="2D3748"/>
          <w:sz w:val="19"/>
          <w:szCs w:val="19"/>
        </w:rPr>
        <w:t xml:space="preserve">across distributed platforms; and</w:t>
      </w:r>
      <w:r>
        <w:rPr>
          <w:rFonts w:ascii="Arial" w:hAnsi="Arial" w:cs="Arial"/>
          <w:b/>
          <w:bCs/>
          <w:color w:val="2D3748"/>
          <w:sz w:val="19"/>
          <w:szCs w:val="19"/>
        </w:rPr>
        <w:t xml:space="preserve">35% developer effort saved</w:t>
      </w:r>
      <w:r>
        <w:rPr>
          <w:rFonts w:ascii="Arial" w:hAnsi="Arial" w:cs="Arial"/>
          <w:color w:val="2D3748"/>
          <w:sz w:val="19"/>
          <w:szCs w:val="19"/>
        </w:rPr>
        <w:t xml:space="preserve">through AI-augmented workflows (Devin AI, GitHub Copilot). Deep practitioner across micro-frontend architecture, enterprise accessibility (WCAG 2.1/2.2 AA/AAA, ADA, Section 508), and agentic AI developer toolchains.</w:t>
      </w:r>
    </w:p>
    <w:p>
      <w:pPr>
        <w:pBdr>
          <w:bottom w:val="single" w:sz="12" w:space="4" w:color="1A365D"/>
        </w:pBdr>
        <w:spacing w:before="260" w:after="90"/>
      </w:pPr>
      <w:r>
        <w:rPr>
          <w:rFonts w:ascii="Arial" w:hAnsi="Arial" w:cs="Arial"/>
          <w:b/>
          <w:bCs/>
          <w:color w:val="1A365D"/>
          <w:sz w:val="23"/>
          <w:szCs w:val="23"/>
        </w:rPr>
        <w:t xml:space="preserve">TECHNICAL SKILLS &amp; COMPETENCIES</w:t>
      </w:r>
    </w:p>
    <w:p>
      <w:pPr>
        <w:spacing w:before="25" w:after="25"/>
      </w:pPr>
      <w:r>
        <w:rPr>
          <w:rFonts w:ascii="Arial" w:hAnsi="Arial" w:cs="Arial"/>
          <w:b/>
          <w:bCs/>
          <w:color w:val="1A202C"/>
          <w:sz w:val="19"/>
          <w:szCs w:val="19"/>
        </w:rPr>
        <w:t xml:space="preserve">Frontend Architecture:</w:t>
      </w:r>
      <w:r>
        <w:rPr>
          <w:rFonts w:ascii="Arial" w:hAnsi="Arial" w:cs="Arial"/>
          <w:color w:val="2D3748"/>
          <w:sz w:val="19"/>
          <w:szCs w:val="19"/>
        </w:rPr>
        <w:t xml:space="preserve">Micro-frontends, Module Federation, Reference Architecture, UI SDK Development, npm &amp; Yarn Workspaces, System Design, UI Platforms, API and Iframe Integration, postMessage Protocols, Core Web Vitals, Bundle Optimization, Server-Side Rendering (SSR).</w:t>
      </w:r>
    </w:p>
    <w:p>
      <w:pPr>
        <w:spacing w:before="25" w:after="25"/>
      </w:pPr>
      <w:r>
        <w:rPr>
          <w:rFonts w:ascii="Arial" w:hAnsi="Arial" w:cs="Arial"/>
          <w:b/>
          <w:bCs/>
          <w:color w:val="1A202C"/>
          <w:sz w:val="19"/>
          <w:szCs w:val="19"/>
        </w:rPr>
        <w:t xml:space="preserve">Core Technologies:</w:t>
      </w:r>
      <w:r>
        <w:rPr>
          <w:rFonts w:ascii="Arial" w:hAnsi="Arial" w:cs="Arial"/>
          <w:color w:val="2D3748"/>
          <w:sz w:val="19"/>
          <w:szCs w:val="19"/>
        </w:rPr>
        <w:t xml:space="preserve">React, Next.js, Angular (v10–v21), TypeScript, JavaScript (ES6+), Redux, Redux Toolkit, Zustand, Tailwind CSS, Vanilla CSS, SCSS, LESS, Vite, Webpack, Babel, Cypress, Jest, React Testing Library.</w:t>
      </w:r>
    </w:p>
    <w:p>
      <w:pPr>
        <w:spacing w:before="25" w:after="25"/>
      </w:pPr>
      <w:r>
        <w:rPr>
          <w:rFonts w:ascii="Arial" w:hAnsi="Arial" w:cs="Arial"/>
          <w:b/>
          <w:bCs/>
          <w:color w:val="1A202C"/>
          <w:sz w:val="19"/>
          <w:szCs w:val="19"/>
        </w:rPr>
        <w:t xml:space="preserve">Delivery &amp; Project Governance:</w:t>
      </w:r>
      <w:r>
        <w:rPr>
          <w:rFonts w:ascii="Arial" w:hAnsi="Arial" w:cs="Arial"/>
          <w:color w:val="2D3748"/>
          <w:sz w:val="19"/>
          <w:szCs w:val="19"/>
        </w:rPr>
        <w:t xml:space="preserve">Agile / Scrum / Kanban, Certified ScrumMaster (CSM), SDLC, Release Management, Change Management, Risk &amp; Issue Management, Budget &amp; Resource Planning, Financial Management, Executive Reporting &amp; Governance, Vendor Management, GitHub Enterprise (GHE) Migration, Renovate Bot.</w:t>
      </w:r>
    </w:p>
    <w:p>
      <w:pPr>
        <w:spacing w:before="25" w:after="25"/>
      </w:pPr>
      <w:r>
        <w:rPr>
          <w:rFonts w:ascii="Arial" w:hAnsi="Arial" w:cs="Arial"/>
          <w:b/>
          <w:bCs/>
          <w:color w:val="1A202C"/>
          <w:sz w:val="19"/>
          <w:szCs w:val="19"/>
        </w:rPr>
        <w:t xml:space="preserve">Enterprise Tools &amp; PM Platforms:</w:t>
      </w:r>
      <w:r>
        <w:rPr>
          <w:rFonts w:ascii="Arial" w:hAnsi="Arial" w:cs="Arial"/>
          <w:color w:val="2D3748"/>
          <w:sz w:val="19"/>
          <w:szCs w:val="19"/>
        </w:rPr>
        <w:t xml:space="preserve">Jira, OpenShift DevOps, ServiceNow, Clarity, MS Project, GitHub Projects, Workday Platform Uploads, Workday HRIS, Adobe Experience Manager (AEM / CQ5), OpenText TeamSite, Salesforce SSG Gateway, Bitbucket, TeamCity, UrbanDeploy.</w:t>
      </w:r>
    </w:p>
    <w:p>
      <w:pPr>
        <w:spacing w:before="25" w:after="25"/>
      </w:pPr>
      <w:r>
        <w:rPr>
          <w:rFonts w:ascii="Arial" w:hAnsi="Arial" w:cs="Arial"/>
          <w:b/>
          <w:bCs/>
          <w:color w:val="1A202C"/>
          <w:sz w:val="19"/>
          <w:szCs w:val="19"/>
        </w:rPr>
        <w:t xml:space="preserve">Leadership &amp; Key Competencies:</w:t>
      </w:r>
      <w:r>
        <w:rPr>
          <w:rFonts w:ascii="Arial" w:hAnsi="Arial" w:cs="Arial"/>
          <w:color w:val="2D3748"/>
          <w:sz w:val="19"/>
          <w:szCs w:val="19"/>
        </w:rPr>
        <w:t xml:space="preserve">Cross-Functional Leadership, Strategic Thinking, Leadership and Influence, Stakeholder Management, Financial Management, Vendor Management, Communication and Presentation Skills, Decision Making, Conflict Resolution, Team Collaboration and Coaching, Talent Acquisition, Citi Ignite Innovation 2026.</w:t>
      </w:r>
    </w:p>
    <w:p>
      <w:pPr>
        <w:spacing w:before="25" w:after="25"/>
      </w:pPr>
      <w:r>
        <w:rPr>
          <w:rFonts w:ascii="Arial" w:hAnsi="Arial" w:cs="Arial"/>
          <w:b/>
          <w:bCs/>
          <w:color w:val="1A202C"/>
          <w:sz w:val="19"/>
          <w:szCs w:val="19"/>
        </w:rPr>
        <w:t xml:space="preserve">Accessibility &amp; Security:</w:t>
      </w:r>
      <w:r>
        <w:rPr>
          <w:rFonts w:ascii="Arial" w:hAnsi="Arial" w:cs="Arial"/>
          <w:color w:val="2D3748"/>
          <w:sz w:val="19"/>
          <w:szCs w:val="19"/>
        </w:rPr>
        <w:t xml:space="preserve">WCAG 2.1 &amp; 2.2 (Level AA / AAA), Section 508, ADA Compliance, Focus Appearance (SC 2.4.13), Focus Not Obscured (SC 2.4.11), Target Size (SC 2.5.8), Kaltura Player Accessibility, axe-core, Lighthouse CI, NVDA Audits, Content Security Policy (CSP), Zero-Latency Dynamic Edge CSP (EdgeNonce), OWASP Top 10, DOM Runtime Integrity (StateGuard.js), Checkmarx, CVM Remediation.</w:t>
      </w:r>
    </w:p>
    <w:p>
      <w:pPr>
        <w:spacing w:before="25" w:after="25"/>
      </w:pPr>
      <w:r>
        <w:rPr>
          <w:rFonts w:ascii="Arial" w:hAnsi="Arial" w:cs="Arial"/>
          <w:b/>
          <w:bCs/>
          <w:color w:val="1A202C"/>
          <w:sz w:val="19"/>
          <w:szCs w:val="19"/>
        </w:rPr>
        <w:t xml:space="preserve">AI &amp; Developer Productivity:</w:t>
      </w:r>
      <w:r>
        <w:rPr>
          <w:rFonts w:ascii="Arial" w:hAnsi="Arial" w:cs="Arial"/>
          <w:color w:val="2D3748"/>
          <w:sz w:val="19"/>
          <w:szCs w:val="19"/>
        </w:rPr>
        <w:t xml:space="preserve">RAG (Retrieval-Augmented Generation), Local Vector Store RAG, Non-AEM to AEM Migration AI Agent &amp; Integrated VS Code Extension, ARC (Gemini ADK), Stylus Workspace Presets &amp; Tooling, Devin AI Autonomous Agents &amp; Devin Scheduler, GitHub Copilot, Enterprise Prompt Engineering, AST Transformation Scripts, Google Antigravity SDK, LangChain, Automated Test Scaffolding.</w:t>
      </w:r>
    </w:p>
    <w:p>
      <w:pPr>
        <w:spacing w:before="25" w:after="25"/>
      </w:pPr>
      <w:r>
        <w:rPr>
          <w:rFonts w:ascii="Arial" w:hAnsi="Arial" w:cs="Arial"/>
          <w:b/>
          <w:bCs/>
          <w:color w:val="1A202C"/>
          <w:sz w:val="19"/>
          <w:szCs w:val="19"/>
        </w:rPr>
        <w:t xml:space="preserve">Cloud &amp; DevOps:</w:t>
      </w:r>
      <w:r>
        <w:rPr>
          <w:rFonts w:ascii="Arial" w:hAnsi="Arial" w:cs="Arial"/>
          <w:color w:val="2D3748"/>
          <w:sz w:val="19"/>
          <w:szCs w:val="19"/>
        </w:rPr>
        <w:t xml:space="preserve">Cloudflare Pages &amp; Workers, GitHub Actions, GitHub Advanced Security, Dependabot, Docker, Kubernetes, OpenShift, Spring Boot 4.x.</w:t>
      </w:r>
    </w:p>
    <w:p>
      <w:pPr>
        <w:pBdr>
          <w:bottom w:val="single" w:sz="12" w:space="4" w:color="1A365D"/>
        </w:pBdr>
        <w:spacing w:before="260" w:after="90"/>
      </w:pPr>
      <w:r>
        <w:rPr>
          <w:rFonts w:ascii="Arial" w:hAnsi="Arial" w:cs="Arial"/>
          <w:b/>
          <w:bCs/>
          <w:color w:val="1A365D"/>
          <w:sz w:val="23"/>
          <w:szCs w:val="23"/>
        </w:rPr>
        <w:t xml:space="preserve">PROFESSIONAL EXPERIENCE</w:t>
      </w:r>
    </w:p>
    <w:p>
      <w:pPr>
        <w:spacing w:before="120" w:after="20"/>
      </w:pPr>
      <w:r>
        <w:rPr>
          <w:rFonts w:ascii="Arial" w:hAnsi="Arial" w:cs="Arial"/>
          <w:b/>
          <w:bCs/>
          <w:color w:val="1A202C"/>
          <w:sz w:val="21"/>
          <w:szCs w:val="21"/>
        </w:rPr>
        <w:t xml:space="preserve">Senior Principal Architect &amp; AI Platform Lead</w:t>
      </w:r>
    </w:p>
    <w:p>
      <w:pPr>
        <w:spacing w:before="0" w:after="40"/>
      </w:pPr>
      <w:r>
        <w:rPr>
          <w:rFonts w:ascii="Arial" w:hAnsi="Arial" w:cs="Arial"/>
          <w:b/>
          <w:bCs/>
          <w:color w:val="2B6CB0"/>
          <w:sz w:val="19"/>
          <w:szCs w:val="19"/>
        </w:rPr>
        <w:t xml:space="preserve">Citicorp Services India Pvt. Ltd.</w:t>
      </w:r>
      <w:r>
        <w:rPr>
          <w:rFonts w:ascii="Arial" w:hAnsi="Arial" w:cs="Arial"/>
          <w:color w:val="4A5568"/>
          <w:sz w:val="19"/>
          <w:szCs w:val="19"/>
        </w:rPr>
        <w:t xml:space="preserve">|  Pune, India  |</w:t>
      </w:r>
      <w:r>
        <w:rPr>
          <w:rFonts w:ascii="Arial" w:hAnsi="Arial" w:cs="Arial"/>
          <w:b/>
          <w:bCs/>
          <w:color w:val="1A56A8"/>
          <w:sz w:val="19"/>
          <w:szCs w:val="19"/>
        </w:rPr>
        <w:t xml:space="preserve">2022 – Present</w:t>
      </w:r>
    </w:p>
    <w:p>
      <w:pPr>
        <w:spacing w:before="25" w:after="25"/>
        <w:pStyle w:val="ListParagraph"/>
        <w:numPr>
          <w:ilvl w:val="0"/>
          <w:numId w:val="2"/>
        </w:numPr>
      </w:pPr>
      <w:r>
        <w:rPr>
          <w:rFonts w:ascii="Arial" w:hAnsi="Arial" w:cs="Arial"/>
          <w:b/>
          <w:bCs/>
          <w:color w:val="1A202C"/>
          <w:sz w:val="19"/>
          <w:szCs w:val="19"/>
        </w:rPr>
        <w:t xml:space="preserve">Led enterprise CMS modernisation:</w:t>
      </w:r>
      <w:r>
        <w:rPr>
          <w:rFonts w:ascii="Arial" w:hAnsi="Arial" w:cs="Arial"/>
          <w:color w:val="2D3748"/>
          <w:sz w:val="19"/>
          <w:szCs w:val="19"/>
        </w:rPr>
        <w:t xml:space="preserve">Orchestrated the full migration of Citi's OpenText TeamSite to Adobe Experience Manager (AEM), standardising content authoring workflows, component governance, and multi-brand publishing pipelines across institutional platforms.</w:t>
      </w:r>
    </w:p>
    <w:p>
      <w:pPr>
        <w:spacing w:before="25" w:after="25"/>
        <w:pStyle w:val="ListParagraph"/>
        <w:numPr>
          <w:ilvl w:val="0"/>
          <w:numId w:val="2"/>
        </w:numPr>
      </w:pPr>
      <w:r>
        <w:rPr>
          <w:rFonts w:ascii="Arial" w:hAnsi="Arial" w:cs="Arial"/>
          <w:b/>
          <w:bCs/>
          <w:color w:val="1A202C"/>
          <w:sz w:val="19"/>
          <w:szCs w:val="19"/>
        </w:rPr>
        <w:t xml:space="preserve">Architected Autonomous Non-AEM to AEM Migration AI Agent &amp; Integrated VS Code Extension:</w:t>
      </w:r>
      <w:r>
        <w:rPr>
          <w:rFonts w:ascii="Arial" w:hAnsi="Arial" w:cs="Arial"/>
          <w:color w:val="2D3748"/>
          <w:sz w:val="19"/>
          <w:szCs w:val="19"/>
        </w:rPr>
        <w:t xml:space="preserve">Engineered a unified developer productivity platform where an autonomous AI migration agent operates directly within a custom VS Code extension — combining Retrieval-Augmented Generation (RAG), automated prompt engineering templates, and custom AST parsing scripts to migrate legacy non-AEM component trees into idiomatic Adobe Experience Manager (AEM) Core Components, HTL templates, and Sling models, slashing migration cycle times by over 60% with automated validation.</w:t>
      </w:r>
    </w:p>
    <w:p>
      <w:pPr>
        <w:spacing w:before="25" w:after="25"/>
        <w:pStyle w:val="ListParagraph"/>
        <w:numPr>
          <w:ilvl w:val="0"/>
          <w:numId w:val="2"/>
        </w:numPr>
      </w:pPr>
      <w:r>
        <w:rPr>
          <w:rFonts w:ascii="Arial" w:hAnsi="Arial" w:cs="Arial"/>
          <w:b/>
          <w:bCs/>
          <w:color w:val="1A202C"/>
          <w:sz w:val="19"/>
          <w:szCs w:val="19"/>
        </w:rPr>
        <w:t xml:space="preserve">Pioneered enterprise-wide Devin AI and GitHub Copilot adoption:</w:t>
      </w:r>
      <w:r>
        <w:rPr>
          <w:rFonts w:ascii="Arial" w:hAnsi="Arial" w:cs="Arial"/>
          <w:color w:val="2D3748"/>
          <w:sz w:val="19"/>
          <w:szCs w:val="19"/>
        </w:rPr>
        <w:t xml:space="preserve">across squads, saving ~35% developer effort on boilerplate, test scaffolding, and migrations while boosting PR review velocity by 40%.</w:t>
      </w:r>
    </w:p>
    <w:p>
      <w:pPr>
        <w:spacing w:before="25" w:after="25"/>
        <w:pStyle w:val="ListParagraph"/>
        <w:numPr>
          <w:ilvl w:val="0"/>
          <w:numId w:val="2"/>
        </w:numPr>
      </w:pPr>
      <w:r>
        <w:rPr>
          <w:rFonts w:ascii="Arial" w:hAnsi="Arial" w:cs="Arial"/>
          <w:b/>
          <w:bCs/>
          <w:color w:val="1A202C"/>
          <w:sz w:val="19"/>
          <w:szCs w:val="19"/>
        </w:rPr>
        <w:t xml:space="preserve">Lead cross-functional frontend engineering squads (~12 engineers):</w:t>
      </w:r>
      <w:r>
        <w:rPr>
          <w:rFonts w:ascii="Arial" w:hAnsi="Arial" w:cs="Arial"/>
          <w:color w:val="2D3748"/>
          <w:sz w:val="19"/>
          <w:szCs w:val="19"/>
        </w:rPr>
        <w:t xml:space="preserve">with sustained &lt;8% attrition through structured 1-on-1s, technical skill ladders, and internal Communities of Practice.</w:t>
      </w:r>
    </w:p>
    <w:p>
      <w:pPr>
        <w:spacing w:before="25" w:after="25"/>
        <w:pStyle w:val="ListParagraph"/>
        <w:numPr>
          <w:ilvl w:val="0"/>
          <w:numId w:val="2"/>
        </w:numPr>
      </w:pPr>
      <w:r>
        <w:rPr>
          <w:rFonts w:ascii="Arial" w:hAnsi="Arial" w:cs="Arial"/>
          <w:b/>
          <w:bCs/>
          <w:color w:val="1A202C"/>
          <w:sz w:val="19"/>
          <w:szCs w:val="19"/>
        </w:rPr>
        <w:t xml:space="preserve">Executive reporting &amp; governance:</w:t>
      </w:r>
      <w:r>
        <w:rPr>
          <w:rFonts w:ascii="Arial" w:hAnsi="Arial" w:cs="Arial"/>
          <w:color w:val="2D3748"/>
          <w:sz w:val="19"/>
          <w:szCs w:val="19"/>
        </w:rPr>
        <w:t xml:space="preserve">Translated multi-quarter engineering roadmaps into C-suite narratives; managed programme risk, release calendar, vendor relationships, and End-of-Vendor-Support (EOVS/EOL) transitions with zero business disruption.</w:t>
      </w:r>
    </w:p>
    <w:p>
      <w:pPr>
        <w:spacing w:before="25" w:after="25"/>
        <w:pStyle w:val="ListParagraph"/>
        <w:numPr>
          <w:ilvl w:val="0"/>
          <w:numId w:val="2"/>
        </w:numPr>
      </w:pPr>
      <w:r>
        <w:rPr>
          <w:rFonts w:ascii="Arial" w:hAnsi="Arial" w:cs="Arial"/>
          <w:b/>
          <w:bCs/>
          <w:color w:val="1A202C"/>
          <w:sz w:val="19"/>
          <w:szCs w:val="19"/>
        </w:rPr>
        <w:t xml:space="preserve">Enterprise GenAI Tooling, RAG &amp; Operational Presets (Demonstrated to Senior Leadership):</w:t>
      </w:r>
      <w:r>
        <w:rPr>
          <w:rFonts w:ascii="Arial" w:hAnsi="Arial" w:cs="Arial"/>
          <w:color w:val="2D3748"/>
          <w:sz w:val="19"/>
          <w:szCs w:val="19"/>
        </w:rPr>
        <w:t xml:space="preserve">Enhanced integration with ARC (Gemini ADK) agent to leverage enterprise project-level Gemini LLMs rather than consuming individual developer tokens; implemented offline local vector store RAG for secure contextual retrieval within bank network boundaries. Engineered custom Stylus Workspace Presets including AEM Assistant &amp; Layout Analyser (screenshot-to-wireframe mapping to AEM layout templates), Adobe Experience Cloud (AEC) Release Tracker (automated risk tiering across Launch, Analytics, and Target), and automated JIRA JQL / EEMS CVM / Mythos release sign-off tools replacing manual validation.</w:t>
      </w:r>
    </w:p>
    <w:p>
      <w:pPr>
        <w:spacing w:before="25" w:after="25"/>
        <w:pStyle w:val="ListParagraph"/>
        <w:numPr>
          <w:ilvl w:val="0"/>
          <w:numId w:val="2"/>
        </w:numPr>
      </w:pPr>
      <w:r>
        <w:rPr>
          <w:rFonts w:ascii="Arial" w:hAnsi="Arial" w:cs="Arial"/>
          <w:b/>
          <w:bCs/>
          <w:color w:val="1A202C"/>
          <w:sz w:val="19"/>
          <w:szCs w:val="19"/>
        </w:rPr>
        <w:t xml:space="preserve">Autonomous Code Remediation &amp; Devin Scheduler:</w:t>
      </w:r>
      <w:r>
        <w:rPr>
          <w:rFonts w:ascii="Arial" w:hAnsi="Arial" w:cs="Arial"/>
          <w:color w:val="2D3748"/>
          <w:sz w:val="19"/>
          <w:szCs w:val="19"/>
        </w:rPr>
        <w:t xml:space="preserve">Configured Devin Scheduler workflows to automatically detect End-of-Vendor-Support (EOVS) components, generate automated pull requests, apply CCP framework Java upgrades, and update tracking JIRAs autonomously; successfully onboarded CPB and CGCPC applications across AEM, EEMS, and Drupal onto Devin post-GHE migration.</w:t>
      </w:r>
    </w:p>
    <w:p>
      <w:pPr>
        <w:spacing w:before="25" w:after="25"/>
        <w:pStyle w:val="ListParagraph"/>
        <w:numPr>
          <w:ilvl w:val="0"/>
          <w:numId w:val="2"/>
        </w:numPr>
      </w:pPr>
      <w:r>
        <w:rPr>
          <w:rFonts w:ascii="Arial" w:hAnsi="Arial" w:cs="Arial"/>
          <w:b/>
          <w:bCs/>
          <w:color w:val="1A202C"/>
          <w:sz w:val="19"/>
          <w:szCs w:val="19"/>
        </w:rPr>
        <w:t xml:space="preserve">Strategic Platform Modernization &amp; Angular Ecosystem Upgrade:</w:t>
      </w:r>
      <w:r>
        <w:rPr>
          <w:rFonts w:ascii="Arial" w:hAnsi="Arial" w:cs="Arial"/>
          <w:color w:val="2D3748"/>
          <w:sz w:val="19"/>
          <w:szCs w:val="19"/>
        </w:rPr>
        <w:t xml:space="preserve">Directed frontend ecosystem modernization upgrading Angular from 10.x to 21.x across MSA PCF and non-PCF services integrated seamlessly within Drupal; resolved critical Server-Side Rendering (SSR) routing challenges between PCF and non-PCF modules and spearheaded ongoing Angular component upgrades for the ESOK Intranet platform.</w:t>
      </w:r>
    </w:p>
    <w:p>
      <w:pPr>
        <w:spacing w:before="25" w:after="25"/>
        <w:pStyle w:val="ListParagraph"/>
        <w:numPr>
          <w:ilvl w:val="0"/>
          <w:numId w:val="2"/>
        </w:numPr>
      </w:pPr>
      <w:r>
        <w:rPr>
          <w:rFonts w:ascii="Arial" w:hAnsi="Arial" w:cs="Arial"/>
          <w:b/>
          <w:bCs/>
          <w:color w:val="1A202C"/>
          <w:sz w:val="19"/>
          <w:szCs w:val="19"/>
        </w:rPr>
        <w:t xml:space="preserve">GitHub Enterprise (GHE) Migration Ownership &amp; CI/CD Optimization:</w:t>
      </w:r>
      <w:r>
        <w:rPr>
          <w:rFonts w:ascii="Arial" w:hAnsi="Arial" w:cs="Arial"/>
          <w:color w:val="2D3748"/>
          <w:sz w:val="19"/>
          <w:szCs w:val="19"/>
        </w:rPr>
        <w:t xml:space="preserve">Assumed full technical ownership of GHE migration initiative, engineering Bitbucket cleanup automation, designing standardized repository structures, integrating Renovate for automated dependency management, and optimizing CI/CD delivery pipelines with zero downtime.</w:t>
      </w:r>
    </w:p>
    <w:p>
      <w:pPr>
        <w:spacing w:before="25" w:after="25"/>
        <w:pStyle w:val="ListParagraph"/>
        <w:numPr>
          <w:ilvl w:val="0"/>
          <w:numId w:val="2"/>
        </w:numPr>
      </w:pPr>
      <w:r>
        <w:rPr>
          <w:rFonts w:ascii="Arial" w:hAnsi="Arial" w:cs="Arial"/>
          <w:b/>
          <w:bCs/>
          <w:color w:val="1A202C"/>
          <w:sz w:val="19"/>
          <w:szCs w:val="19"/>
        </w:rPr>
        <w:t xml:space="preserve">Enterprise Security &amp; Accessibility (WCAG 2.2 AA):</w:t>
      </w:r>
      <w:r>
        <w:rPr>
          <w:rFonts w:ascii="Arial" w:hAnsi="Arial" w:cs="Arial"/>
          <w:color w:val="2D3748"/>
          <w:sz w:val="19"/>
          <w:szCs w:val="19"/>
        </w:rPr>
        <w:t xml:space="preserve">Spearheaded monthly analysis and resolution of critical accessibility challenges impacting Citi Global Wealth and Public Site platforms, partnering with Kaltura to engineer bespoke video player fixes for non-standard defects (WCAG 2.2 AA); systematically cleared CVM vulnerabilities and Checkmarx findings across core EEMS microservices (including Spring Boot 3.x to 4.x upgrades).</w:t>
      </w:r>
    </w:p>
    <w:p>
      <w:pPr>
        <w:spacing w:before="25" w:after="25"/>
        <w:pStyle w:val="ListParagraph"/>
        <w:numPr>
          <w:ilvl w:val="0"/>
          <w:numId w:val="2"/>
        </w:numPr>
      </w:pPr>
      <w:r>
        <w:rPr>
          <w:rFonts w:ascii="Arial" w:hAnsi="Arial" w:cs="Arial"/>
          <w:b/>
          <w:bCs/>
          <w:color w:val="1A202C"/>
          <w:sz w:val="19"/>
          <w:szCs w:val="19"/>
        </w:rPr>
        <w:t xml:space="preserve">Salesforce Integration &amp; Production Validation Automation:</w:t>
      </w:r>
      <w:r>
        <w:rPr>
          <w:rFonts w:ascii="Arial" w:hAnsi="Arial" w:cs="Arial"/>
          <w:color w:val="2D3748"/>
          <w:sz w:val="19"/>
          <w:szCs w:val="19"/>
        </w:rPr>
        <w:t xml:space="preserve">Delivered Contact Us backend message-routing enhancements via SSG gateway with 2026 mandatory custom security header compliance; built Shell automation suites validating EEMS APIs, container health, and OpenShift deployment statuses, slashing release validation overhead.</w:t>
      </w:r>
    </w:p>
    <w:p>
      <w:pPr>
        <w:spacing w:before="25" w:after="25"/>
        <w:pStyle w:val="ListParagraph"/>
        <w:numPr>
          <w:ilvl w:val="0"/>
          <w:numId w:val="2"/>
        </w:numPr>
      </w:pPr>
      <w:r>
        <w:rPr>
          <w:rFonts w:ascii="Arial" w:hAnsi="Arial" w:cs="Arial"/>
          <w:b/>
          <w:bCs/>
          <w:color w:val="1A202C"/>
          <w:sz w:val="19"/>
          <w:szCs w:val="19"/>
        </w:rPr>
        <w:t xml:space="preserve">Firm-Wide Innovation (Citi Ignite 2026):</w:t>
      </w:r>
      <w:r>
        <w:rPr>
          <w:rFonts w:ascii="Arial" w:hAnsi="Arial" w:cs="Arial"/>
          <w:color w:val="2D3748"/>
          <w:sz w:val="19"/>
          <w:szCs w:val="19"/>
        </w:rPr>
        <w:t xml:space="preserve">Volunteered for the global Citi Ignite Innovation Program 2026, actively evaluating and championing transformative engineering ideas across Citi.</w:t>
      </w:r>
    </w:p>
    <w:p>
      <w:pPr>
        <w:spacing w:before="120" w:after="20"/>
      </w:pPr>
      <w:r>
        <w:rPr>
          <w:rFonts w:ascii="Arial" w:hAnsi="Arial" w:cs="Arial"/>
          <w:b/>
          <w:bCs/>
          <w:color w:val="1A202C"/>
          <w:sz w:val="21"/>
          <w:szCs w:val="21"/>
        </w:rPr>
        <w:t xml:space="preserve">Senior Lead Engineer — Frontend Architecture</w:t>
      </w:r>
    </w:p>
    <w:p>
      <w:pPr>
        <w:spacing w:before="0" w:after="40"/>
      </w:pPr>
      <w:r>
        <w:rPr>
          <w:rFonts w:ascii="Arial" w:hAnsi="Arial" w:cs="Arial"/>
          <w:b/>
          <w:bCs/>
          <w:color w:val="2B6CB0"/>
          <w:sz w:val="19"/>
          <w:szCs w:val="19"/>
        </w:rPr>
        <w:t xml:space="preserve">Citicorp Services India Pvt. Ltd.</w:t>
      </w:r>
      <w:r>
        <w:rPr>
          <w:rFonts w:ascii="Arial" w:hAnsi="Arial" w:cs="Arial"/>
          <w:color w:val="4A5568"/>
          <w:sz w:val="19"/>
          <w:szCs w:val="19"/>
        </w:rPr>
        <w:t xml:space="preserve">|  Pune, India  |</w:t>
      </w:r>
      <w:r>
        <w:rPr>
          <w:rFonts w:ascii="Arial" w:hAnsi="Arial" w:cs="Arial"/>
          <w:b/>
          <w:bCs/>
          <w:color w:val="1A56A8"/>
          <w:sz w:val="19"/>
          <w:szCs w:val="19"/>
        </w:rPr>
        <w:t xml:space="preserve">2018 – 2022</w:t>
      </w:r>
    </w:p>
    <w:p>
      <w:pPr>
        <w:spacing w:before="25" w:after="25"/>
        <w:pStyle w:val="ListParagraph"/>
        <w:numPr>
          <w:ilvl w:val="0"/>
          <w:numId w:val="2"/>
        </w:numPr>
      </w:pPr>
      <w:r>
        <w:rPr>
          <w:rFonts w:ascii="Arial" w:hAnsi="Arial" w:cs="Arial"/>
          <w:b/>
          <w:bCs/>
          <w:color w:val="1A202C"/>
          <w:sz w:val="19"/>
          <w:szCs w:val="19"/>
        </w:rPr>
        <w:t xml:space="preserve">Led legacy BFSI platform migration:</w:t>
      </w:r>
      <w:r>
        <w:rPr>
          <w:rFonts w:ascii="Arial" w:hAnsi="Arial" w:cs="Arial"/>
          <w:color w:val="2D3748"/>
          <w:sz w:val="19"/>
          <w:szCs w:val="19"/>
        </w:rPr>
        <w:t xml:space="preserve">to micro-frontend architectures across 2 squads (~8 engineers), ensuring 100% business continuity throughout the multi-phase rollout using Module Federation and npm Workspaces.</w:t>
      </w:r>
    </w:p>
    <w:p>
      <w:pPr>
        <w:spacing w:before="25" w:after="25"/>
        <w:pStyle w:val="ListParagraph"/>
        <w:numPr>
          <w:ilvl w:val="0"/>
          <w:numId w:val="2"/>
        </w:numPr>
      </w:pPr>
      <w:r>
        <w:rPr>
          <w:rFonts w:ascii="Arial" w:hAnsi="Arial" w:cs="Arial"/>
          <w:b/>
          <w:bCs/>
          <w:color w:val="1A202C"/>
          <w:sz w:val="19"/>
          <w:szCs w:val="19"/>
        </w:rPr>
        <w:t xml:space="preserve">Delivered up to 50% application load-time improvement:</w:t>
      </w:r>
      <w:r>
        <w:rPr>
          <w:rFonts w:ascii="Arial" w:hAnsi="Arial" w:cs="Arial"/>
          <w:color w:val="2D3748"/>
          <w:sz w:val="19"/>
          <w:szCs w:val="19"/>
        </w:rPr>
        <w:t xml:space="preserve">via React, Next.js, TypeScript, route-based code splitting, and automated Core Web Vitals telemetry integrated into CI pipelines.</w:t>
      </w:r>
    </w:p>
    <w:p>
      <w:pPr>
        <w:spacing w:before="25" w:after="25"/>
        <w:pStyle w:val="ListParagraph"/>
        <w:numPr>
          <w:ilvl w:val="0"/>
          <w:numId w:val="2"/>
        </w:numPr>
      </w:pPr>
      <w:r>
        <w:rPr>
          <w:rFonts w:ascii="Arial" w:hAnsi="Arial" w:cs="Arial"/>
          <w:b/>
          <w:bCs/>
          <w:color w:val="1A202C"/>
          <w:sz w:val="19"/>
          <w:szCs w:val="19"/>
        </w:rPr>
        <w:t xml:space="preserve">Established enterprise-wide Section 508 and ADA compliance programme:</w:t>
      </w:r>
      <w:r>
        <w:rPr>
          <w:rFonts w:ascii="Arial" w:hAnsi="Arial" w:cs="Arial"/>
          <w:color w:val="2D3748"/>
          <w:sz w:val="19"/>
          <w:szCs w:val="19"/>
        </w:rPr>
        <w:t xml:space="preserve">integrating axe-core and Lighthouse CI into GitHub Actions alongside NVDA screen-reader audits, reducing post-deployment remediation spend by 60%.</w:t>
      </w:r>
    </w:p>
    <w:p>
      <w:pPr>
        <w:spacing w:before="25" w:after="25"/>
        <w:pStyle w:val="ListParagraph"/>
        <w:numPr>
          <w:ilvl w:val="0"/>
          <w:numId w:val="2"/>
        </w:numPr>
      </w:pPr>
      <w:r>
        <w:rPr>
          <w:rFonts w:ascii="Arial" w:hAnsi="Arial" w:cs="Arial"/>
          <w:b/>
          <w:bCs/>
          <w:color w:val="1A202C"/>
          <w:sz w:val="19"/>
          <w:szCs w:val="19"/>
        </w:rPr>
        <w:t xml:space="preserve">Facilitated Workday platform uploads:</w:t>
      </w:r>
      <w:r>
        <w:rPr>
          <w:rFonts w:ascii="Arial" w:hAnsi="Arial" w:cs="Arial"/>
          <w:color w:val="2D3748"/>
          <w:sz w:val="19"/>
          <w:szCs w:val="19"/>
        </w:rPr>
        <w:t xml:space="preserve">and HRIS configuration workflows, validating data integrity at enterprise scale with zero business disruption.</w:t>
      </w:r>
    </w:p>
    <w:p>
      <w:pPr>
        <w:spacing w:before="25" w:after="25"/>
        <w:pStyle w:val="ListParagraph"/>
        <w:numPr>
          <w:ilvl w:val="0"/>
          <w:numId w:val="2"/>
        </w:numPr>
      </w:pPr>
      <w:r>
        <w:rPr>
          <w:rFonts w:ascii="Arial" w:hAnsi="Arial" w:cs="Arial"/>
          <w:b/>
          <w:bCs/>
          <w:color w:val="1A202C"/>
          <w:sz w:val="19"/>
          <w:szCs w:val="19"/>
        </w:rPr>
        <w:t xml:space="preserve">Engineered GitHub-first DevOps pipelines:</w:t>
      </w:r>
      <w:r>
        <w:rPr>
          <w:rFonts w:ascii="Arial" w:hAnsi="Arial" w:cs="Arial"/>
          <w:color w:val="2D3748"/>
          <w:sz w:val="19"/>
          <w:szCs w:val="19"/>
        </w:rPr>
        <w:t xml:space="preserve">using GitHub Actions, Advanced Security scanning, Dependabot auto-patching, and GitHub Projects for Agile delivery governance.</w:t>
      </w:r>
    </w:p>
    <w:p>
      <w:pPr>
        <w:spacing w:before="120" w:after="20"/>
      </w:pPr>
      <w:r>
        <w:rPr>
          <w:rFonts w:ascii="Arial" w:hAnsi="Arial" w:cs="Arial"/>
          <w:b/>
          <w:bCs/>
          <w:color w:val="1A202C"/>
          <w:sz w:val="21"/>
          <w:szCs w:val="21"/>
        </w:rPr>
        <w:t xml:space="preserve">Senior Engineer / Technical Lead — UI Architecture</w:t>
      </w:r>
    </w:p>
    <w:p>
      <w:pPr>
        <w:spacing w:before="0" w:after="40"/>
      </w:pPr>
      <w:r>
        <w:rPr>
          <w:rFonts w:ascii="Arial" w:hAnsi="Arial" w:cs="Arial"/>
          <w:b/>
          <w:bCs/>
          <w:color w:val="2B6CB0"/>
          <w:sz w:val="19"/>
          <w:szCs w:val="19"/>
        </w:rPr>
        <w:t xml:space="preserve">Citicorp Services India Pvt. Ltd.</w:t>
      </w:r>
      <w:r>
        <w:rPr>
          <w:rFonts w:ascii="Arial" w:hAnsi="Arial" w:cs="Arial"/>
          <w:color w:val="4A5568"/>
          <w:sz w:val="19"/>
          <w:szCs w:val="19"/>
        </w:rPr>
        <w:t xml:space="preserve">|  Pune, India  |</w:t>
      </w:r>
      <w:r>
        <w:rPr>
          <w:rFonts w:ascii="Arial" w:hAnsi="Arial" w:cs="Arial"/>
          <w:b/>
          <w:bCs/>
          <w:color w:val="1A56A8"/>
          <w:sz w:val="19"/>
          <w:szCs w:val="19"/>
        </w:rPr>
        <w:t xml:space="preserve">2013 – 2018</w:t>
      </w:r>
    </w:p>
    <w:p>
      <w:pPr>
        <w:spacing w:before="25" w:after="25"/>
        <w:pStyle w:val="ListParagraph"/>
        <w:numPr>
          <w:ilvl w:val="0"/>
          <w:numId w:val="2"/>
        </w:numPr>
      </w:pPr>
      <w:r>
        <w:rPr>
          <w:rFonts w:ascii="Arial" w:hAnsi="Arial" w:cs="Arial"/>
          <w:b/>
          <w:bCs/>
          <w:color w:val="1A202C"/>
          <w:sz w:val="19"/>
          <w:szCs w:val="19"/>
        </w:rPr>
        <w:t xml:space="preserve">Architected enterprise UI, API, and iframe integrations:</w:t>
      </w:r>
      <w:r>
        <w:rPr>
          <w:rFonts w:ascii="Arial" w:hAnsi="Arial" w:cs="Arial"/>
          <w:color w:val="2D3748"/>
          <w:sz w:val="19"/>
          <w:szCs w:val="19"/>
        </w:rPr>
        <w:t xml:space="preserve">across multiple distributed BFSI platforms, cutting integration complexity by 40% and accelerating feature time-to-market for global trading and retail banking products.</w:t>
      </w:r>
    </w:p>
    <w:p>
      <w:pPr>
        <w:spacing w:before="25" w:after="25"/>
        <w:pStyle w:val="ListParagraph"/>
        <w:numPr>
          <w:ilvl w:val="0"/>
          <w:numId w:val="2"/>
        </w:numPr>
      </w:pPr>
      <w:r>
        <w:rPr>
          <w:rFonts w:ascii="Arial" w:hAnsi="Arial" w:cs="Arial"/>
          <w:b/>
          <w:bCs/>
          <w:color w:val="1A202C"/>
          <w:sz w:val="19"/>
          <w:szCs w:val="19"/>
        </w:rPr>
        <w:t xml:space="preserve">Established frontend architecture reference standards:</w:t>
      </w:r>
      <w:r>
        <w:rPr>
          <w:rFonts w:ascii="Arial" w:hAnsi="Arial" w:cs="Arial"/>
          <w:color w:val="2D3748"/>
          <w:sz w:val="19"/>
          <w:szCs w:val="19"/>
        </w:rPr>
        <w:t xml:space="preserve">postMessage protocol governance, and API integration patterns adopted across 6+ product squads.</w:t>
      </w:r>
    </w:p>
    <w:p>
      <w:pPr>
        <w:spacing w:before="25" w:after="25"/>
        <w:pStyle w:val="ListParagraph"/>
        <w:numPr>
          <w:ilvl w:val="0"/>
          <w:numId w:val="2"/>
        </w:numPr>
      </w:pPr>
      <w:r>
        <w:rPr>
          <w:rFonts w:ascii="Arial" w:hAnsi="Arial" w:cs="Arial"/>
          <w:b/>
          <w:bCs/>
          <w:color w:val="1A202C"/>
          <w:sz w:val="19"/>
          <w:szCs w:val="19"/>
        </w:rPr>
        <w:t xml:space="preserve">Built and grew a team of 4–5 frontend engineers:</w:t>
      </w:r>
      <w:r>
        <w:rPr>
          <w:rFonts w:ascii="Arial" w:hAnsi="Arial" w:cs="Arial"/>
          <w:color w:val="2D3748"/>
          <w:sz w:val="19"/>
          <w:szCs w:val="19"/>
        </w:rPr>
        <w:t xml:space="preserve">instituting code review culture, reusable UI component libraries, and cross-browser compatibility benchmarks.</w:t>
      </w:r>
    </w:p>
    <w:p>
      <w:pPr>
        <w:spacing w:before="120" w:after="20"/>
      </w:pPr>
      <w:r>
        <w:rPr>
          <w:rFonts w:ascii="Arial" w:hAnsi="Arial" w:cs="Arial"/>
          <w:b/>
          <w:bCs/>
          <w:color w:val="1A202C"/>
          <w:sz w:val="21"/>
          <w:szCs w:val="21"/>
        </w:rPr>
        <w:t xml:space="preserve">Senior Consultant, CRM UI Architecture</w:t>
      </w:r>
    </w:p>
    <w:p>
      <w:pPr>
        <w:spacing w:before="0" w:after="40"/>
      </w:pPr>
      <w:r>
        <w:rPr>
          <w:rFonts w:ascii="Arial" w:hAnsi="Arial" w:cs="Arial"/>
          <w:b/>
          <w:bCs/>
          <w:color w:val="2B6CB0"/>
          <w:sz w:val="19"/>
          <w:szCs w:val="19"/>
        </w:rPr>
        <w:t xml:space="preserve">Cognizant Technology Solutions</w:t>
      </w:r>
      <w:r>
        <w:rPr>
          <w:rFonts w:ascii="Arial" w:hAnsi="Arial" w:cs="Arial"/>
          <w:color w:val="4A5568"/>
          <w:sz w:val="19"/>
          <w:szCs w:val="19"/>
        </w:rPr>
        <w:t xml:space="preserve">|  Hyderabad, India  |</w:t>
      </w:r>
      <w:r>
        <w:rPr>
          <w:rFonts w:ascii="Arial" w:hAnsi="Arial" w:cs="Arial"/>
          <w:b/>
          <w:bCs/>
          <w:color w:val="1A56A8"/>
          <w:sz w:val="19"/>
          <w:szCs w:val="19"/>
        </w:rPr>
        <w:t xml:space="preserve">December 2010 – February 2013</w:t>
      </w:r>
    </w:p>
    <w:p>
      <w:pPr>
        <w:spacing w:before="25" w:after="25"/>
        <w:pStyle w:val="ListParagraph"/>
        <w:numPr>
          <w:ilvl w:val="0"/>
          <w:numId w:val="2"/>
        </w:numPr>
      </w:pPr>
      <w:r>
        <w:rPr>
          <w:rFonts w:ascii="Arial" w:hAnsi="Arial" w:cs="Arial"/>
          <w:b/>
          <w:bCs/>
          <w:color w:val="1A202C"/>
          <w:sz w:val="19"/>
          <w:szCs w:val="19"/>
        </w:rPr>
        <w:t xml:space="preserve">Architected mobile CRM frontends:</w:t>
      </w:r>
      <w:r>
        <w:rPr>
          <w:rFonts w:ascii="Arial" w:hAnsi="Arial" w:cs="Arial"/>
          <w:color w:val="2D3748"/>
          <w:sz w:val="19"/>
          <w:szCs w:val="19"/>
        </w:rPr>
        <w:t xml:space="preserve">with Siebel CRM targeting Google Chrome and enterprise tablets, boosting field-force productivity.</w:t>
      </w:r>
    </w:p>
    <w:p>
      <w:pPr>
        <w:spacing w:before="25" w:after="25"/>
        <w:pStyle w:val="ListParagraph"/>
        <w:numPr>
          <w:ilvl w:val="0"/>
          <w:numId w:val="2"/>
        </w:numPr>
      </w:pPr>
      <w:r>
        <w:rPr>
          <w:rFonts w:ascii="Arial" w:hAnsi="Arial" w:cs="Arial"/>
          <w:b/>
          <w:bCs/>
          <w:color w:val="1A202C"/>
          <w:sz w:val="19"/>
          <w:szCs w:val="19"/>
        </w:rPr>
        <w:t xml:space="preserve">Developed Oracle CRM API SOAP integrations:</w:t>
      </w:r>
      <w:r>
        <w:rPr>
          <w:rFonts w:ascii="Arial" w:hAnsi="Arial" w:cs="Arial"/>
          <w:color w:val="2D3748"/>
          <w:sz w:val="19"/>
          <w:szCs w:val="19"/>
        </w:rPr>
        <w:t xml:space="preserve">and led usability testing and heuristic evaluations.</w:t>
      </w:r>
    </w:p>
    <w:p>
      <w:pPr>
        <w:spacing w:before="120" w:after="20"/>
      </w:pPr>
      <w:r>
        <w:rPr>
          <w:rFonts w:ascii="Arial" w:hAnsi="Arial" w:cs="Arial"/>
          <w:b/>
          <w:bCs/>
          <w:color w:val="1A202C"/>
          <w:sz w:val="21"/>
          <w:szCs w:val="21"/>
        </w:rPr>
        <w:t xml:space="preserve">Module Lead, UI Development &amp; Usability Analyst</w:t>
      </w:r>
    </w:p>
    <w:p>
      <w:pPr>
        <w:spacing w:before="0" w:after="40"/>
      </w:pPr>
      <w:r>
        <w:rPr>
          <w:rFonts w:ascii="Arial" w:hAnsi="Arial" w:cs="Arial"/>
          <w:b/>
          <w:bCs/>
          <w:color w:val="2B6CB0"/>
          <w:sz w:val="19"/>
          <w:szCs w:val="19"/>
        </w:rPr>
        <w:t xml:space="preserve">Impetus Infotech India Pvt. Ltd.</w:t>
      </w:r>
      <w:r>
        <w:rPr>
          <w:rFonts w:ascii="Arial" w:hAnsi="Arial" w:cs="Arial"/>
          <w:color w:val="4A5568"/>
          <w:sz w:val="19"/>
          <w:szCs w:val="19"/>
        </w:rPr>
        <w:t xml:space="preserve">|  Indore, MP, India  |</w:t>
      </w:r>
      <w:r>
        <w:rPr>
          <w:rFonts w:ascii="Arial" w:hAnsi="Arial" w:cs="Arial"/>
          <w:b/>
          <w:bCs/>
          <w:color w:val="1A56A8"/>
          <w:sz w:val="19"/>
          <w:szCs w:val="19"/>
        </w:rPr>
        <w:t xml:space="preserve">June 2007 – December 2010</w:t>
      </w:r>
    </w:p>
    <w:p>
      <w:pPr>
        <w:spacing w:before="25" w:after="25"/>
        <w:pStyle w:val="ListParagraph"/>
        <w:numPr>
          <w:ilvl w:val="0"/>
          <w:numId w:val="2"/>
        </w:numPr>
      </w:pPr>
      <w:r>
        <w:rPr>
          <w:rFonts w:ascii="Arial" w:hAnsi="Arial" w:cs="Arial"/>
          <w:b/>
          <w:bCs/>
          <w:color w:val="1A202C"/>
          <w:sz w:val="19"/>
          <w:szCs w:val="19"/>
        </w:rPr>
        <w:t xml:space="preserve">Led UI engineering pods and concept implementations:</w:t>
      </w:r>
      <w:r>
        <w:rPr>
          <w:rFonts w:ascii="Arial" w:hAnsi="Arial" w:cs="Arial"/>
          <w:color w:val="2D3748"/>
          <w:sz w:val="19"/>
          <w:szCs w:val="19"/>
        </w:rPr>
        <w:t xml:space="preserve">for enterprise web clients, translating product specs into robust architectures and governing client-side standards.</w:t>
      </w:r>
    </w:p>
    <w:p>
      <w:pPr>
        <w:spacing w:before="25" w:after="25"/>
        <w:pStyle w:val="ListParagraph"/>
        <w:numPr>
          <w:ilvl w:val="0"/>
          <w:numId w:val="2"/>
        </w:numPr>
      </w:pPr>
      <w:r>
        <w:rPr>
          <w:rFonts w:ascii="Arial" w:hAnsi="Arial" w:cs="Arial"/>
          <w:b/>
          <w:bCs/>
          <w:color w:val="1A202C"/>
          <w:sz w:val="19"/>
          <w:szCs w:val="19"/>
        </w:rPr>
        <w:t xml:space="preserve">Directed usability studies and heuristic evaluations,:</w:t>
      </w:r>
      <w:r>
        <w:rPr>
          <w:rFonts w:ascii="Arial" w:hAnsi="Arial" w:cs="Arial"/>
          <w:color w:val="2D3748"/>
          <w:sz w:val="19"/>
          <w:szCs w:val="19"/>
        </w:rPr>
        <w:t xml:space="preserve">conducting competitive benchmarking, usability testing, and UX analysis to optimize web clients.</w:t>
      </w:r>
    </w:p>
    <w:p>
      <w:pPr>
        <w:spacing w:before="25" w:after="25"/>
        <w:pStyle w:val="ListParagraph"/>
        <w:numPr>
          <w:ilvl w:val="0"/>
          <w:numId w:val="2"/>
        </w:numPr>
      </w:pPr>
      <w:r>
        <w:rPr>
          <w:rFonts w:ascii="Arial" w:hAnsi="Arial" w:cs="Arial"/>
          <w:b/>
          <w:bCs/>
          <w:color w:val="1A202C"/>
          <w:sz w:val="19"/>
          <w:szCs w:val="19"/>
        </w:rPr>
        <w:t xml:space="preserve">Partnered with organizational leads:</w:t>
      </w:r>
      <w:r>
        <w:rPr>
          <w:rFonts w:ascii="Arial" w:hAnsi="Arial" w:cs="Arial"/>
          <w:color w:val="2D3748"/>
          <w:sz w:val="19"/>
          <w:szCs w:val="19"/>
        </w:rPr>
        <w:t xml:space="preserve">to drive collaborative technical discussions, architectural decisions, design standards, and industry best practices.</w:t>
      </w:r>
    </w:p>
    <w:p>
      <w:pPr>
        <w:spacing w:before="120" w:after="20"/>
      </w:pPr>
      <w:r>
        <w:rPr>
          <w:rFonts w:ascii="Arial" w:hAnsi="Arial" w:cs="Arial"/>
          <w:b/>
          <w:bCs/>
          <w:color w:val="1A202C"/>
          <w:sz w:val="21"/>
          <w:szCs w:val="21"/>
        </w:rPr>
        <w:t xml:space="preserve">Lead Web Specialist</w:t>
      </w:r>
    </w:p>
    <w:p>
      <w:pPr>
        <w:spacing w:before="0" w:after="40"/>
      </w:pPr>
      <w:r>
        <w:rPr>
          <w:rFonts w:ascii="Arial" w:hAnsi="Arial" w:cs="Arial"/>
          <w:b/>
          <w:bCs/>
          <w:color w:val="2B6CB0"/>
          <w:sz w:val="19"/>
          <w:szCs w:val="19"/>
        </w:rPr>
        <w:t xml:space="preserve">Gatesix Technologies India Pvt. Ltd.</w:t>
      </w:r>
      <w:r>
        <w:rPr>
          <w:rFonts w:ascii="Arial" w:hAnsi="Arial" w:cs="Arial"/>
          <w:color w:val="4A5568"/>
          <w:sz w:val="19"/>
          <w:szCs w:val="19"/>
        </w:rPr>
        <w:t xml:space="preserve">|  Indore, MP, India  |</w:t>
      </w:r>
      <w:r>
        <w:rPr>
          <w:rFonts w:ascii="Arial" w:hAnsi="Arial" w:cs="Arial"/>
          <w:b/>
          <w:bCs/>
          <w:color w:val="1A56A8"/>
          <w:sz w:val="19"/>
          <w:szCs w:val="19"/>
        </w:rPr>
        <w:t xml:space="preserve">August 2004 – June 2007</w:t>
      </w:r>
    </w:p>
    <w:p>
      <w:pPr>
        <w:spacing w:before="25" w:after="25"/>
        <w:pStyle w:val="ListParagraph"/>
        <w:numPr>
          <w:ilvl w:val="0"/>
          <w:numId w:val="2"/>
        </w:numPr>
      </w:pPr>
      <w:r>
        <w:rPr>
          <w:rFonts w:ascii="Arial" w:hAnsi="Arial" w:cs="Arial"/>
          <w:b/>
          <w:bCs/>
          <w:color w:val="1A202C"/>
          <w:sz w:val="19"/>
          <w:szCs w:val="19"/>
        </w:rPr>
        <w:t xml:space="preserve">Formulated frontend and SEO strategies:</w:t>
      </w:r>
      <w:r>
        <w:rPr>
          <w:rFonts w:ascii="Arial" w:hAnsi="Arial" w:cs="Arial"/>
          <w:color w:val="2D3748"/>
          <w:sz w:val="19"/>
          <w:szCs w:val="19"/>
        </w:rPr>
        <w:t xml:space="preserve">spanning UI/UX design, development standards, W3C compliance, and search architecture for web applications.</w:t>
      </w:r>
    </w:p>
    <w:p>
      <w:pPr>
        <w:spacing w:before="25" w:after="25"/>
        <w:pStyle w:val="ListParagraph"/>
        <w:numPr>
          <w:ilvl w:val="0"/>
          <w:numId w:val="2"/>
        </w:numPr>
      </w:pPr>
      <w:r>
        <w:rPr>
          <w:rFonts w:ascii="Arial" w:hAnsi="Arial" w:cs="Arial"/>
          <w:b/>
          <w:bCs/>
          <w:color w:val="1A202C"/>
          <w:sz w:val="19"/>
          <w:szCs w:val="19"/>
        </w:rPr>
        <w:t xml:space="preserve">Directed concept visualization and application flows,:</w:t>
      </w:r>
      <w:r>
        <w:rPr>
          <w:rFonts w:ascii="Arial" w:hAnsi="Arial" w:cs="Arial"/>
          <w:color w:val="2D3748"/>
          <w:sz w:val="19"/>
          <w:szCs w:val="19"/>
        </w:rPr>
        <w:t xml:space="preserve">translating business requirements into intuitive UI designs and interactive web experiences.</w:t>
      </w:r>
    </w:p>
    <w:p>
      <w:pPr>
        <w:spacing w:before="25" w:after="25"/>
        <w:pStyle w:val="ListParagraph"/>
        <w:numPr>
          <w:ilvl w:val="0"/>
          <w:numId w:val="2"/>
        </w:numPr>
      </w:pPr>
      <w:r>
        <w:rPr>
          <w:rFonts w:ascii="Arial" w:hAnsi="Arial" w:cs="Arial"/>
          <w:b/>
          <w:bCs/>
          <w:color w:val="1A202C"/>
          <w:sz w:val="19"/>
          <w:szCs w:val="19"/>
        </w:rPr>
        <w:t xml:space="preserve">Spearheaded client-side R&amp;D:</w:t>
      </w:r>
      <w:r>
        <w:rPr>
          <w:rFonts w:ascii="Arial" w:hAnsi="Arial" w:cs="Arial"/>
          <w:color w:val="2D3748"/>
          <w:sz w:val="19"/>
          <w:szCs w:val="19"/>
        </w:rPr>
        <w:t xml:space="preserve">on emerging web technologies and established implementation standards across project teams.</w:t>
      </w:r>
    </w:p>
    <w:p>
      <w:pPr>
        <w:spacing w:before="120" w:after="20"/>
      </w:pPr>
      <w:r>
        <w:rPr>
          <w:rFonts w:ascii="Arial" w:hAnsi="Arial" w:cs="Arial"/>
          <w:b/>
          <w:bCs/>
          <w:color w:val="1A202C"/>
          <w:sz w:val="21"/>
          <w:szCs w:val="21"/>
        </w:rPr>
        <w:t xml:space="preserve">Senior Web Designer</w:t>
      </w:r>
    </w:p>
    <w:p>
      <w:pPr>
        <w:spacing w:before="0" w:after="40"/>
      </w:pPr>
      <w:r>
        <w:rPr>
          <w:rFonts w:ascii="Arial" w:hAnsi="Arial" w:cs="Arial"/>
          <w:b/>
          <w:bCs/>
          <w:color w:val="2B6CB0"/>
          <w:sz w:val="19"/>
          <w:szCs w:val="19"/>
        </w:rPr>
        <w:t xml:space="preserve">Pinnacle Technosys</w:t>
      </w:r>
      <w:r>
        <w:rPr>
          <w:rFonts w:ascii="Arial" w:hAnsi="Arial" w:cs="Arial"/>
          <w:color w:val="4A5568"/>
          <w:sz w:val="19"/>
          <w:szCs w:val="19"/>
        </w:rPr>
        <w:t xml:space="preserve">|  Vadodara, Gujarat, India  |</w:t>
      </w:r>
      <w:r>
        <w:rPr>
          <w:rFonts w:ascii="Arial" w:hAnsi="Arial" w:cs="Arial"/>
          <w:b/>
          <w:bCs/>
          <w:color w:val="1A56A8"/>
          <w:sz w:val="19"/>
          <w:szCs w:val="19"/>
        </w:rPr>
        <w:t xml:space="preserve">May 2003 – July 2004</w:t>
      </w:r>
    </w:p>
    <w:p>
      <w:pPr>
        <w:spacing w:before="25" w:after="25"/>
        <w:pStyle w:val="ListParagraph"/>
        <w:numPr>
          <w:ilvl w:val="0"/>
          <w:numId w:val="2"/>
        </w:numPr>
      </w:pPr>
      <w:r>
        <w:rPr>
          <w:rFonts w:ascii="Arial" w:hAnsi="Arial" w:cs="Arial"/>
          <w:b/>
          <w:bCs/>
          <w:color w:val="1A202C"/>
          <w:sz w:val="19"/>
          <w:szCs w:val="19"/>
        </w:rPr>
        <w:t xml:space="preserve">Designed, developed, and maintained client portals:</w:t>
      </w:r>
      <w:r>
        <w:rPr>
          <w:rFonts w:ascii="Arial" w:hAnsi="Arial" w:cs="Arial"/>
          <w:color w:val="2D3748"/>
          <w:sz w:val="19"/>
          <w:szCs w:val="19"/>
        </w:rPr>
        <w:t xml:space="preserve">and digital marketing platforms with bespoke software integrations.</w:t>
      </w:r>
    </w:p>
    <w:p>
      <w:pPr>
        <w:spacing w:before="25" w:after="25"/>
        <w:pStyle w:val="ListParagraph"/>
        <w:numPr>
          <w:ilvl w:val="0"/>
          <w:numId w:val="2"/>
        </w:numPr>
      </w:pPr>
      <w:r>
        <w:rPr>
          <w:rFonts w:ascii="Arial" w:hAnsi="Arial" w:cs="Arial"/>
          <w:b/>
          <w:bCs/>
          <w:color w:val="1A202C"/>
          <w:sz w:val="19"/>
          <w:szCs w:val="19"/>
        </w:rPr>
        <w:t xml:space="preserve">Engineered W3C-compliant website architectures:</w:t>
      </w:r>
      <w:r>
        <w:rPr>
          <w:rFonts w:ascii="Arial" w:hAnsi="Arial" w:cs="Arial"/>
          <w:color w:val="2D3748"/>
          <w:sz w:val="19"/>
          <w:szCs w:val="19"/>
        </w:rPr>
        <w:t xml:space="preserve">and structured content implementations, ensuring cross-platform browser compatibility.</w:t>
      </w:r>
    </w:p>
    <w:p>
      <w:pPr>
        <w:spacing w:before="25" w:after="25"/>
        <w:pStyle w:val="ListParagraph"/>
        <w:numPr>
          <w:ilvl w:val="0"/>
          <w:numId w:val="2"/>
        </w:numPr>
      </w:pPr>
      <w:r>
        <w:rPr>
          <w:rFonts w:ascii="Arial" w:hAnsi="Arial" w:cs="Arial"/>
          <w:b/>
          <w:bCs/>
          <w:color w:val="1A202C"/>
          <w:sz w:val="19"/>
          <w:szCs w:val="19"/>
        </w:rPr>
        <w:t xml:space="preserve">Produced interactive Flash applications:</w:t>
      </w:r>
      <w:r>
        <w:rPr>
          <w:rFonts w:ascii="Arial" w:hAnsi="Arial" w:cs="Arial"/>
          <w:color w:val="2D3748"/>
          <w:sz w:val="19"/>
          <w:szCs w:val="19"/>
        </w:rPr>
        <w:t xml:space="preserve">and comprehensive digital media and print marketing collateral.</w:t>
      </w:r>
    </w:p>
    <w:p>
      <w:pPr>
        <w:pBdr>
          <w:bottom w:val="single" w:sz="12" w:space="4" w:color="1A365D"/>
        </w:pBdr>
        <w:spacing w:before="260" w:after="90"/>
      </w:pPr>
      <w:r>
        <w:rPr>
          <w:rFonts w:ascii="Arial" w:hAnsi="Arial" w:cs="Arial"/>
          <w:b/>
          <w:bCs/>
          <w:color w:val="1A365D"/>
          <w:sz w:val="23"/>
          <w:szCs w:val="23"/>
        </w:rPr>
        <w:t xml:space="preserve">FEATURED TECHNICAL INNOVATIONS &amp; OPEN SYSTEMS</w:t>
      </w:r>
    </w:p>
    <w:p>
      <w:pPr>
        <w:spacing w:before="25" w:after="25"/>
      </w:pPr>
      <w:r>
        <w:rPr>
          <w:rFonts w:ascii="Arial" w:hAnsi="Arial" w:cs="Arial"/>
          <w:b/>
          <w:bCs/>
          <w:color w:val="1A202C"/>
          <w:sz w:val="19"/>
          <w:szCs w:val="19"/>
        </w:rPr>
        <w:t xml:space="preserve">FoodScan AI (AI Dietary Scanner &amp; Label Decoder):</w:t>
      </w:r>
      <w:r>
        <w:rPr>
          <w:rFonts w:ascii="Arial" w:hAnsi="Arial" w:cs="Arial"/>
          <w:color w:val="2D3748"/>
          <w:sz w:val="19"/>
          <w:szCs w:val="19"/>
        </w:rPr>
        <w:t xml:space="preserve">Mobile AI application officially published on the Google Play Store engineered for conscious travelers (Vegetarian, Jain, Vegan, Celiac gluten-free, and severe allergen sufferers). Leverages dual barcode scanning and multilingual OCR to decode foreign food labels (French, German, Japanese, etc.) and European E-numbers in under one second with deterministic dietary safeguards (play.google.com/store/apps/details?id=in.gen.lets.foodscan | foodscan.lets.gen.in/packaging-marks).</w:t>
      </w:r>
    </w:p>
    <w:p>
      <w:pPr>
        <w:spacing w:before="25" w:after="25"/>
      </w:pPr>
      <w:r>
        <w:rPr>
          <w:rFonts w:ascii="Arial" w:hAnsi="Arial" w:cs="Arial"/>
          <w:b/>
          <w:bCs/>
          <w:color w:val="1A202C"/>
          <w:sz w:val="19"/>
          <w:szCs w:val="19"/>
        </w:rPr>
        <w:t xml:space="preserve">EdgeNonce (Zero-Latency CSP Nonce Streaming Engine):</w:t>
      </w:r>
      <w:r>
        <w:rPr>
          <w:rFonts w:ascii="Arial" w:hAnsi="Arial" w:cs="Arial"/>
          <w:color w:val="2D3748"/>
          <w:sz w:val="19"/>
          <w:szCs w:val="19"/>
        </w:rPr>
        <w:t xml:space="preserve">Enterprise Content Security Policy engine at the network edge deployed on Cloudflare Workers. Injects dynamic 128-bit cryptographic nonces into cached HTML responses via streaming HTMLRewriter in &lt;1.5ms without breaking origin CDN or AEM Dispatcher caching (100% cache retention). Enforces CSP Level 3 and satisfies PCI-DSS v4.0 (6.4.3 &amp; 11.6.1), HIPAA, and GDPR (edge-nonce.com).</w:t>
      </w:r>
    </w:p>
    <w:p>
      <w:pPr>
        <w:spacing w:before="25" w:after="25"/>
      </w:pPr>
      <w:r>
        <w:rPr>
          <w:rFonts w:ascii="Arial" w:hAnsi="Arial" w:cs="Arial"/>
          <w:b/>
          <w:bCs/>
          <w:color w:val="1A202C"/>
          <w:sz w:val="19"/>
          <w:szCs w:val="19"/>
        </w:rPr>
        <w:t xml:space="preserve">StateGuard.js:</w:t>
      </w:r>
      <w:r>
        <w:rPr>
          <w:rFonts w:ascii="Arial" w:hAnsi="Arial" w:cs="Arial"/>
          <w:color w:val="2D3748"/>
          <w:sz w:val="19"/>
          <w:szCs w:val="19"/>
        </w:rPr>
        <w:t xml:space="preserve">Specialized browser runtime JavaScript utility that protects DOM attributes from tampering via browser developer tools. Engineered for client-side state integrity in mission-critical Banking, Financial Services, and Insurance (BFSI) transactional workflows (rmsuthar.github.io/StateGuard).</w:t>
      </w:r>
    </w:p>
    <w:p>
      <w:pPr>
        <w:spacing w:before="25" w:after="60"/>
      </w:pPr>
      <w:r>
        <w:rPr>
          <w:rFonts w:ascii="Arial" w:hAnsi="Arial" w:cs="Arial"/>
          <w:b/>
          <w:bCs/>
          <w:color w:val="1A202C"/>
          <w:sz w:val="19"/>
          <w:szCs w:val="19"/>
        </w:rPr>
        <w:t xml:space="preserve">Global Edge Sandbox &amp; Multi-Region Load Balancer Inspector:</w:t>
      </w:r>
      <w:r>
        <w:rPr>
          <w:rFonts w:ascii="Arial" w:hAnsi="Arial" w:cs="Arial"/>
          <w:color w:val="2D3748"/>
          <w:sz w:val="19"/>
          <w:szCs w:val="19"/>
        </w:rPr>
        <w:t xml:space="preserve">Edge proxy platform built on Cloudflare Workers simulating web access across 12 global PoPs with framebuster neutralization, biometric WebAuthn security, and WCAG AAA theme system (gateway.lets.gen.in).</w:t>
      </w:r>
    </w:p>
    <w:p>
      <w:pPr>
        <w:pBdr>
          <w:bottom w:val="single" w:sz="12" w:space="4" w:color="1A365D"/>
        </w:pBdr>
        <w:spacing w:before="260" w:after="90"/>
      </w:pPr>
      <w:r>
        <w:rPr>
          <w:rFonts w:ascii="Arial" w:hAnsi="Arial" w:cs="Arial"/>
          <w:b/>
          <w:bCs/>
          <w:color w:val="1A365D"/>
          <w:sz w:val="23"/>
          <w:szCs w:val="23"/>
        </w:rPr>
        <w:t xml:space="preserve">EDUCATION</w:t>
      </w:r>
    </w:p>
    <w:p>
      <w:pPr>
        <w:spacing w:before="60" w:after="10"/>
      </w:pPr>
      <w:r>
        <w:rPr>
          <w:rFonts w:ascii="Arial" w:hAnsi="Arial" w:cs="Arial"/>
          <w:b/>
          <w:bCs/>
          <w:color w:val="1A202C"/>
          <w:sz w:val="19"/>
          <w:szCs w:val="19"/>
        </w:rPr>
        <w:t xml:space="preserve">Post Graduate Diploma in Information Technology</w:t>
      </w:r>
    </w:p>
    <w:p>
      <w:pPr>
        <w:spacing w:before="0" w:after="30"/>
      </w:pPr>
      <w:r>
        <w:rPr>
          <w:rFonts w:ascii="Arial" w:hAnsi="Arial" w:cs="Arial"/>
          <w:color w:val="4A5568"/>
          <w:sz w:val="19"/>
          <w:szCs w:val="19"/>
        </w:rPr>
        <w:t xml:space="preserve">Sikkim Manipal University</w:t>
      </w:r>
      <w:r>
        <w:rPr>
          <w:rFonts w:ascii="Arial" w:hAnsi="Arial" w:cs="Arial"/>
          <w:color w:val="718096"/>
          <w:sz w:val="19"/>
          <w:szCs w:val="19"/>
        </w:rPr>
        <w:t xml:space="preserve">|  1999 – 2001  |  India</w:t>
      </w:r>
    </w:p>
    <w:p>
      <w:pPr>
        <w:spacing w:before="60" w:after="10"/>
      </w:pPr>
      <w:r>
        <w:rPr>
          <w:rFonts w:ascii="Arial" w:hAnsi="Arial" w:cs="Arial"/>
          <w:b/>
          <w:bCs/>
          <w:color w:val="1A202C"/>
          <w:sz w:val="19"/>
          <w:szCs w:val="19"/>
        </w:rPr>
        <w:t xml:space="preserve">Higher Diploma in Software Engineering (HDSE)</w:t>
      </w:r>
    </w:p>
    <w:p>
      <w:pPr>
        <w:spacing w:before="0" w:after="30"/>
      </w:pPr>
      <w:r>
        <w:rPr>
          <w:rFonts w:ascii="Arial" w:hAnsi="Arial" w:cs="Arial"/>
          <w:color w:val="4A5568"/>
          <w:sz w:val="19"/>
          <w:szCs w:val="19"/>
        </w:rPr>
        <w:t xml:space="preserve">Aptech Computer Education</w:t>
      </w:r>
      <w:r>
        <w:rPr>
          <w:rFonts w:ascii="Arial" w:hAnsi="Arial" w:cs="Arial"/>
          <w:color w:val="718096"/>
          <w:sz w:val="19"/>
          <w:szCs w:val="19"/>
        </w:rPr>
        <w:t xml:space="preserve">|  1999 – 2001  |  India</w:t>
      </w:r>
    </w:p>
    <w:p>
      <w:pPr>
        <w:spacing w:before="60" w:after="10"/>
      </w:pPr>
      <w:r>
        <w:rPr>
          <w:rFonts w:ascii="Arial" w:hAnsi="Arial" w:cs="Arial"/>
          <w:b/>
          <w:bCs/>
          <w:color w:val="1A202C"/>
          <w:sz w:val="19"/>
          <w:szCs w:val="19"/>
        </w:rPr>
        <w:t xml:space="preserve">Bachelor of Science (B.Sc.) in Chemistry &amp; Mathematics</w:t>
      </w:r>
    </w:p>
    <w:p>
      <w:pPr>
        <w:spacing w:before="0" w:after="30"/>
      </w:pPr>
      <w:r>
        <w:rPr>
          <w:rFonts w:ascii="Arial" w:hAnsi="Arial" w:cs="Arial"/>
          <w:color w:val="4A5568"/>
          <w:sz w:val="19"/>
          <w:szCs w:val="19"/>
        </w:rPr>
        <w:t xml:space="preserve">Gujarat University</w:t>
      </w:r>
      <w:r>
        <w:rPr>
          <w:rFonts w:ascii="Arial" w:hAnsi="Arial" w:cs="Arial"/>
          <w:color w:val="718096"/>
          <w:sz w:val="19"/>
          <w:szCs w:val="19"/>
        </w:rPr>
        <w:t xml:space="preserve">|  1996 – 1999  |  India</w:t>
      </w:r>
    </w:p>
    <w:p>
      <w:pPr>
        <w:pBdr>
          <w:bottom w:val="single" w:sz="12" w:space="4" w:color="1A365D"/>
        </w:pBdr>
        <w:spacing w:before="260" w:after="90"/>
      </w:pPr>
      <w:r>
        <w:rPr>
          <w:rFonts w:ascii="Arial" w:hAnsi="Arial" w:cs="Arial"/>
          <w:b/>
          <w:bCs/>
          <w:color w:val="1A365D"/>
          <w:sz w:val="23"/>
          <w:szCs w:val="23"/>
        </w:rPr>
        <w:t xml:space="preserve">CERTIFICATIONS &amp; CREDENTIALS</w:t>
      </w:r>
    </w:p>
    <w:p>
      <w:pPr>
        <w:spacing w:before="20" w:after="20"/>
        <w:pStyle w:val="ListParagraph"/>
        <w:numPr>
          <w:ilvl w:val="0"/>
          <w:numId w:val="2"/>
        </w:numPr>
      </w:pPr>
      <w:r>
        <w:rPr>
          <w:rFonts w:ascii="Arial" w:hAnsi="Arial" w:cs="Arial"/>
          <w:b/>
          <w:bCs/>
          <w:color w:val="1A202C"/>
          <w:sz w:val="19"/>
          <w:szCs w:val="19"/>
        </w:rPr>
        <w:t xml:space="preserve">Certified ScrumMaster (CSM)</w:t>
      </w:r>
      <w:r>
        <w:rPr>
          <w:rFonts w:ascii="Arial" w:hAnsi="Arial" w:cs="Arial"/>
          <w:color w:val="4A5568"/>
          <w:sz w:val="19"/>
          <w:szCs w:val="19"/>
        </w:rPr>
        <w:t xml:space="preserve">— Scrum Alliance</w:t>
      </w:r>
    </w:p>
    <w:p>
      <w:pPr>
        <w:spacing w:before="20" w:after="20"/>
        <w:pStyle w:val="ListParagraph"/>
        <w:numPr>
          <w:ilvl w:val="0"/>
          <w:numId w:val="2"/>
        </w:numPr>
      </w:pPr>
      <w:r>
        <w:rPr>
          <w:rFonts w:ascii="Arial" w:hAnsi="Arial" w:cs="Arial"/>
          <w:b/>
          <w:bCs/>
          <w:color w:val="1A202C"/>
          <w:sz w:val="19"/>
          <w:szCs w:val="19"/>
        </w:rPr>
        <w:t xml:space="preserve">AWS Cloud Practitioner</w:t>
      </w:r>
      <w:r>
        <w:rPr>
          <w:rFonts w:ascii="Arial" w:hAnsi="Arial" w:cs="Arial"/>
          <w:color w:val="4A5568"/>
          <w:sz w:val="19"/>
          <w:szCs w:val="19"/>
        </w:rPr>
        <w:t xml:space="preserve">— Amazon Web Services</w:t>
      </w:r>
    </w:p>
    <w:p>
      <w:pPr>
        <w:spacing w:before="20" w:after="20"/>
        <w:pStyle w:val="ListParagraph"/>
        <w:numPr>
          <w:ilvl w:val="0"/>
          <w:numId w:val="2"/>
        </w:numPr>
      </w:pPr>
      <w:r>
        <w:rPr>
          <w:rFonts w:ascii="Arial" w:hAnsi="Arial" w:cs="Arial"/>
          <w:b/>
          <w:bCs/>
          <w:color w:val="1A202C"/>
          <w:sz w:val="19"/>
          <w:szCs w:val="19"/>
        </w:rPr>
        <w:t xml:space="preserve">IBM Design Thinking Practitioner</w:t>
      </w:r>
      <w:r>
        <w:rPr>
          <w:rFonts w:ascii="Arial" w:hAnsi="Arial" w:cs="Arial"/>
          <w:color w:val="4A5568"/>
          <w:sz w:val="19"/>
          <w:szCs w:val="19"/>
        </w:rPr>
        <w:t xml:space="preserve">— IBM</w:t>
      </w:r>
    </w:p>
    <w:p>
      <w:pPr>
        <w:spacing w:before="20" w:after="20"/>
        <w:pStyle w:val="ListParagraph"/>
        <w:numPr>
          <w:ilvl w:val="0"/>
          <w:numId w:val="2"/>
        </w:numPr>
      </w:pPr>
      <w:r>
        <w:rPr>
          <w:rFonts w:ascii="Arial" w:hAnsi="Arial" w:cs="Arial"/>
          <w:b/>
          <w:bCs/>
          <w:color w:val="1A202C"/>
          <w:sz w:val="19"/>
          <w:szCs w:val="19"/>
        </w:rPr>
        <w:t xml:space="preserve">Google Analytics Certified</w:t>
      </w:r>
      <w:r>
        <w:rPr>
          <w:rFonts w:ascii="Arial" w:hAnsi="Arial" w:cs="Arial"/>
          <w:color w:val="4A5568"/>
          <w:sz w:val="19"/>
          <w:szCs w:val="19"/>
        </w:rPr>
        <w:t xml:space="preserve">— Google</w:t>
      </w:r>
    </w:p>
    <w:sectPr>
      <w:pgSz w:w="11906" w:h="16838"/>
      <w:pgMar w:top="1080" w:right="1080" w:bottom="1080" w:left="1080" w:header="720" w:footer="720" w:gutter="0"/>
      <w:cols w:space="72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00"/>
      </w:pPr>
    </w:lvl>
  </w:abstractNum>
  <w:abstractNum w:abstractNumId="3"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2026-05-30T17:18:49.899Z</dcterms:created>
  <dcterms:modified xsi:type="dcterms:W3CDTF">2026-05-30T17:18:49.899Z</dcterms:modified>
</cp:coreProperties>
</file>

<file path=docProps/custom.xml><?xml version="1.0" encoding="utf-8"?>
<Properties xmlns="http://schemas.openxmlformats.org/officeDocument/2006/custom-properties" xmlns:vt="http://schemas.openxmlformats.org/officeDocument/2006/docPropsVTypes"/>
</file>