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  <w:jc w:val="center"/>
      </w:pPr>
      <w:r>
        <w:rPr>
          <w:rFonts w:ascii="Arial" w:hAnsi="Arial" w:cs="Arial"/>
          <w:b/>
          <w:bCs/>
          <w:color w:val="1A202C"/>
          <w:sz w:val="38"/>
          <w:szCs w:val="38"/>
        </w:rPr>
        <w:t xml:space="preserve">RAVINDRAKUMAR M. SUTHAR</w:t>
      </w:r>
    </w:p>
    <w:p>
      <w:pPr>
        <w:spacing w:before="0" w:after="60"/>
        <w:jc w:val="center"/>
      </w:pPr>
      <w:r>
        <w:rPr>
          <w:rFonts w:ascii="Arial" w:hAnsi="Arial" w:cs="Arial"/>
          <w:b/>
          <w:bCs/>
          <w:i/>
          <w:iCs/>
          <w:color w:val="2B6CB0"/>
          <w:sz w:val="21"/>
          <w:szCs w:val="21"/>
        </w:rPr>
        <w:t xml:space="preserve">Senior Principal Architect &amp; Engineering Leader</w:t>
      </w:r>
    </w:p>
    <w:p>
      <w:pPr>
        <w:spacing w:before="0" w:after="30"/>
        <w:jc w:val="center"/>
      </w:pP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Location:</w:t>
      </w:r>
      <w:r>
        <w:rPr>
          <w:rFonts w:ascii="Arial" w:hAnsi="Arial" w:cs="Arial"/>
          <w:color w:val="4A5568"/>
          <w:sz w:val="18"/>
          <w:szCs w:val="18"/>
        </w:rPr>
        <w:t xml:space="preserve">Pune, Maharashtra, India  |</w:t>
      </w: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Phone:</w:t>
      </w:r>
      <w:r>
        <w:rPr>
          <w:rFonts w:ascii="Arial" w:hAnsi="Arial" w:cs="Arial"/>
          <w:color w:val="4A5568"/>
          <w:sz w:val="18"/>
          <w:szCs w:val="18"/>
        </w:rPr>
        <w:t xml:space="preserve">+91 83800 99988  |</w:t>
      </w: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Email:</w:t>
      </w:r>
      <w:r>
        <w:rPr>
          <w:rFonts w:ascii="Arial" w:hAnsi="Arial" w:cs="Arial"/>
          <w:color w:val="2B6CB0"/>
          <w:sz w:val="18"/>
          <w:szCs w:val="18"/>
        </w:rPr>
        <w:t xml:space="preserve">ravindra.suthar@me.com</w:t>
      </w:r>
    </w:p>
    <w:p>
      <w:pPr>
        <w:spacing w:before="0" w:after="140"/>
        <w:jc w:val="center"/>
      </w:pP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LinkedIn:</w:t>
      </w:r>
      <w:r>
        <w:rPr>
          <w:rFonts w:ascii="Arial" w:hAnsi="Arial" w:cs="Arial"/>
          <w:color w:val="2B6CB0"/>
          <w:sz w:val="18"/>
          <w:szCs w:val="18"/>
        </w:rPr>
        <w:t xml:space="preserve">linkedin.com/in/ravindrasuthar  |</w:t>
      </w: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GitHub:</w:t>
      </w:r>
      <w:r>
        <w:rPr>
          <w:rFonts w:ascii="Arial" w:hAnsi="Arial" w:cs="Arial"/>
          <w:color w:val="2B6CB0"/>
          <w:sz w:val="18"/>
          <w:szCs w:val="18"/>
        </w:rPr>
        <w:t xml:space="preserve">github.com/rmsuthar  |</w:t>
      </w:r>
      <w:r>
        <w:rPr>
          <w:rFonts w:ascii="Arial" w:hAnsi="Arial" w:cs="Arial"/>
          <w:b/>
          <w:bCs/>
          <w:color w:val="4A5568"/>
          <w:sz w:val="18"/>
          <w:szCs w:val="18"/>
        </w:rPr>
        <w:t xml:space="preserve">Portfolio:</w:t>
      </w:r>
      <w:r>
        <w:rPr>
          <w:rFonts w:ascii="Arial" w:hAnsi="Arial" w:cs="Arial"/>
          <w:color w:val="2B6CB0"/>
          <w:sz w:val="18"/>
          <w:szCs w:val="18"/>
        </w:rPr>
        <w:t xml:space="preserve">ravindra.lets.gen.in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PROFESSIONAL SUMMARY</w:t>
      </w:r>
    </w:p>
    <w:p>
      <w:pPr>
        <w:spacing w:before="30" w:after="60"/>
      </w:pPr>
      <w:r>
        <w:rPr>
          <w:rFonts w:ascii="Arial" w:hAnsi="Arial" w:cs="Arial"/>
          <w:color w:val="2D3748"/>
          <w:sz w:val="19"/>
          <w:szCs w:val="19"/>
        </w:rPr>
        <w:t xml:space="preserve">Engineering leader with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20+ years of total experience</w:t>
      </w:r>
      <w:r>
        <w:rPr>
          <w:rFonts w:ascii="Arial" w:hAnsi="Arial" w:cs="Arial"/>
          <w:color w:val="2D3748"/>
          <w:sz w:val="19"/>
          <w:szCs w:val="19"/>
        </w:rPr>
        <w:t xml:space="preserve">, including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13+ years in enterprise BFSI platforms</w:t>
      </w:r>
      <w:r>
        <w:rPr>
          <w:rFonts w:ascii="Arial" w:hAnsi="Arial" w:cs="Arial"/>
          <w:color w:val="2D3748"/>
          <w:sz w:val="19"/>
          <w:szCs w:val="19"/>
        </w:rPr>
        <w:t xml:space="preserve">steering multi-team engineering organisations through large-scale digital transformation in regulated Banking, Financial Services, and Insurance (BFSI) environments. At Citicorp Services India, progressed through the engineering ladder from Technical Lead to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Senior Principal Architect &amp; Engineering Leader</w:t>
      </w:r>
      <w:r>
        <w:rPr>
          <w:rFonts w:ascii="Arial" w:hAnsi="Arial" w:cs="Arial"/>
          <w:color w:val="2D3748"/>
          <w:sz w:val="19"/>
          <w:szCs w:val="19"/>
        </w:rPr>
        <w:t xml:space="preserve">, building and retaining high-performance squads with sustained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&lt;8% attrition</w:t>
      </w:r>
      <w:r>
        <w:rPr>
          <w:rFonts w:ascii="Arial" w:hAnsi="Arial" w:cs="Arial"/>
          <w:color w:val="2D3748"/>
          <w:sz w:val="19"/>
          <w:szCs w:val="19"/>
        </w:rPr>
        <w:t xml:space="preserve">— a benchmark exceptional in enterprise engineering.</w:t>
      </w:r>
    </w:p>
    <w:p>
      <w:pPr>
        <w:spacing w:before="30" w:after="100"/>
      </w:pPr>
      <w:r>
        <w:rPr>
          <w:rFonts w:ascii="Arial" w:hAnsi="Arial" w:cs="Arial"/>
          <w:color w:val="2D3748"/>
          <w:sz w:val="19"/>
          <w:szCs w:val="19"/>
        </w:rPr>
        <w:t xml:space="preserve">Delivered measurable, executive-visible impact: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60% reduction in migration cycle times</w:t>
      </w:r>
      <w:r>
        <w:rPr>
          <w:rFonts w:ascii="Arial" w:hAnsi="Arial" w:cs="Arial"/>
          <w:color w:val="2D3748"/>
          <w:sz w:val="19"/>
          <w:szCs w:val="19"/>
        </w:rPr>
        <w:t xml:space="preserve">via an autonomous AI agent &amp; integrated VS Code extension;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50% application load-time improvement</w:t>
      </w:r>
      <w:r>
        <w:rPr>
          <w:rFonts w:ascii="Arial" w:hAnsi="Arial" w:cs="Arial"/>
          <w:color w:val="2D3748"/>
          <w:sz w:val="19"/>
          <w:szCs w:val="19"/>
        </w:rPr>
        <w:t xml:space="preserve">through React / Next.js performance engineering;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40% cut in integration complexity</w:t>
      </w:r>
      <w:r>
        <w:rPr>
          <w:rFonts w:ascii="Arial" w:hAnsi="Arial" w:cs="Arial"/>
          <w:color w:val="2D3748"/>
          <w:sz w:val="19"/>
          <w:szCs w:val="19"/>
        </w:rPr>
        <w:t xml:space="preserve">across distributed platforms; and</w:t>
      </w:r>
      <w:r>
        <w:rPr>
          <w:rFonts w:ascii="Arial" w:hAnsi="Arial" w:cs="Arial"/>
          <w:b/>
          <w:bCs/>
          <w:color w:val="2D3748"/>
          <w:sz w:val="19"/>
          <w:szCs w:val="19"/>
        </w:rPr>
        <w:t xml:space="preserve">35% developer effort saved</w:t>
      </w:r>
      <w:r>
        <w:rPr>
          <w:rFonts w:ascii="Arial" w:hAnsi="Arial" w:cs="Arial"/>
          <w:color w:val="2D3748"/>
          <w:sz w:val="19"/>
          <w:szCs w:val="19"/>
        </w:rPr>
        <w:t xml:space="preserve">through AI-augmented workflows (Devin AI, GitHub Copilot). Deep practitioner across micro-frontend architecture, enterprise accessibility (WCAG 2.1/2.2 AA/AAA, ADA, Section 508), and agentic AI developer toolchains.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TECHNICAL SKILLS &amp; COMPETENCIES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Frontend Architecture:</w:t>
      </w:r>
      <w:r>
        <w:rPr>
          <w:rFonts w:ascii="Arial" w:hAnsi="Arial" w:cs="Arial"/>
          <w:color w:val="2D3748"/>
          <w:sz w:val="19"/>
          <w:szCs w:val="19"/>
        </w:rPr>
        <w:t xml:space="preserve">Micro-frontends, Module Federation, Reference Architecture, UI SDK Development, npm &amp; Yarn Workspaces, System Design, UI Platforms, API and Iframe Integration, postMessage Protocols, Core Web Vitals, Bundle Optimization, Server-Side Rendering (SSR).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Core Technologies:</w:t>
      </w:r>
      <w:r>
        <w:rPr>
          <w:rFonts w:ascii="Arial" w:hAnsi="Arial" w:cs="Arial"/>
          <w:color w:val="2D3748"/>
          <w:sz w:val="19"/>
          <w:szCs w:val="19"/>
        </w:rPr>
        <w:t xml:space="preserve">React, Next.js, Angular (v10–v21), TypeScript, JavaScript (ES6+), Redux, Redux Toolkit, Zustand, Tailwind CSS, Vanilla CSS, SCSS, LESS, Vite, Webpack, Babel, Cypress, Jest, React Testing Library.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Delivery &amp; Project Governance:</w:t>
      </w:r>
      <w:r>
        <w:rPr>
          <w:rFonts w:ascii="Arial" w:hAnsi="Arial" w:cs="Arial"/>
          <w:color w:val="2D3748"/>
          <w:sz w:val="19"/>
          <w:szCs w:val="19"/>
        </w:rPr>
        <w:t xml:space="preserve">Agile / Scrum / Kanban, Certified ScrumMaster (CSM), SDLC, Release Management, Change Management, Risk &amp; Issue Management, Budget &amp; Resource Planning, Financial Management, Executive Reporting &amp; Governance, Vendor Management, GitHub Enterprise (GHE) Migration, Renovate Bot.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Enterprise Tools &amp; PM Platforms:</w:t>
      </w:r>
      <w:r>
        <w:rPr>
          <w:rFonts w:ascii="Arial" w:hAnsi="Arial" w:cs="Arial"/>
          <w:color w:val="2D3748"/>
          <w:sz w:val="19"/>
          <w:szCs w:val="19"/>
        </w:rPr>
        <w:t xml:space="preserve">Jira, OpenShift DevOps, ServiceNow, Clarity, MS Project, GitHub Projects, Workday Platform Uploads, Workday HRIS, Adobe Experience Manager (AEM / CQ5), OpenText TeamSite, Salesforce Integration, Bitbucket, TeamCity, UrbanDeploy.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Leadership &amp; Key Competencies:</w:t>
      </w:r>
      <w:r>
        <w:rPr>
          <w:rFonts w:ascii="Arial" w:hAnsi="Arial" w:cs="Arial"/>
          <w:color w:val="2D3748"/>
          <w:sz w:val="19"/>
          <w:szCs w:val="19"/>
        </w:rPr>
        <w:t xml:space="preserve">Cross-Functional Leadership, Strategic Thinking, Leadership and Influence, Stakeholder Management, Financial Management, Vendor Management, Communication and Presentation Skills, Decision Making, Conflict Resolution, Team Collaboration and Coaching, Talent Acquisition, Organization-Wide Innovation Programs.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Accessibility &amp; Security:</w:t>
      </w:r>
      <w:r>
        <w:rPr>
          <w:rFonts w:ascii="Arial" w:hAnsi="Arial" w:cs="Arial"/>
          <w:color w:val="2D3748"/>
          <w:sz w:val="19"/>
          <w:szCs w:val="19"/>
        </w:rPr>
        <w:t xml:space="preserve">WCAG 2.1 &amp; 2.2 (Level AA / AAA), Section 508, ADA Compliance, Focus Appearance (SC 2.4.13), Focus Not Obscured (SC 2.4.11), Target Size (SC 2.5.8), Kaltura Player Accessibility, axe-core, Lighthouse CI, NVDA Audits, Content Security Policy (CSP), Zero-Latency Dynamic Edge CSP (EdgeNonce), OWASP Top 10, DOM Runtime Integrity (StateGuard.js), Checkmarx, Vulnerability Remediation.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AI &amp; Developer Productivity:</w:t>
      </w:r>
      <w:r>
        <w:rPr>
          <w:rFonts w:ascii="Arial" w:hAnsi="Arial" w:cs="Arial"/>
          <w:color w:val="2D3748"/>
          <w:sz w:val="19"/>
          <w:szCs w:val="19"/>
        </w:rPr>
        <w:t xml:space="preserve">RAG (Retrieval-Augmented Generation), Local Vector Store RAG, Non-AEM to AEM Migration AI Agent &amp; Integrated VS Code Extension, Enterprise Gemini LLM Integration, Developer Productivity Tooling, Devin AI Autonomous Agents &amp; Automated Pipelines, GitHub Copilot, Enterprise Prompt Engineering, AST Transformation Scripts, Google Antigravity SDK, LangChain, Automated Test Scaffolding.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Cloud &amp; DevOps:</w:t>
      </w:r>
      <w:r>
        <w:rPr>
          <w:rFonts w:ascii="Arial" w:hAnsi="Arial" w:cs="Arial"/>
          <w:color w:val="2D3748"/>
          <w:sz w:val="19"/>
          <w:szCs w:val="19"/>
        </w:rPr>
        <w:t xml:space="preserve">Cloudflare Pages &amp; Workers, GitHub Actions, GitHub Advanced Security, Dependabot, Docker, Kubernetes, OpenShift, Spring Boot 4.x.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PROFESSIONAL EXPERIENCE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Applications Development Sr Programmer Analyst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Citicorp Services India Pvt. Ltd.</w:t>
      </w:r>
      <w:r>
        <w:rPr>
          <w:rFonts w:ascii="Arial" w:hAnsi="Arial" w:cs="Arial"/>
          <w:color w:val="4A5568"/>
          <w:sz w:val="19"/>
          <w:szCs w:val="19"/>
        </w:rPr>
        <w:t xml:space="preserve">|  Pune,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2022 – Present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Led enterprise CMS modernisation:</w:t>
      </w:r>
      <w:r>
        <w:rPr>
          <w:rFonts w:ascii="Arial" w:hAnsi="Arial" w:cs="Arial"/>
          <w:color w:val="2D3748"/>
          <w:sz w:val="19"/>
          <w:szCs w:val="19"/>
        </w:rPr>
        <w:t xml:space="preserve">Orchestrated the full migration of Citi's OpenText TeamSite to Adobe Experience Manager (AEM), standardising content authoring workflows, component governance, and multi-brand publishing pipelines across institutional platforms.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Architected Autonomous Non-AEM to AEM Migration AI Agent &amp; Integrated VS Code Extension:</w:t>
      </w:r>
      <w:r>
        <w:rPr>
          <w:rFonts w:ascii="Arial" w:hAnsi="Arial" w:cs="Arial"/>
          <w:color w:val="2D3748"/>
          <w:sz w:val="19"/>
          <w:szCs w:val="19"/>
        </w:rPr>
        <w:t xml:space="preserve">Engineered a unified developer productivity platform where an autonomous AI migration agent operates directly within a custom VS Code extension — combining Retrieval-Augmented Generation (RAG), automated prompt engineering templates, and custom AST parsing scripts to migrate legacy non-AEM component trees into idiomatic Adobe Experience Manager (AEM) Core Components, HTL templates, and Sling models, slashing migration cycle times by over 60% with automated validation.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Championed and scaled enterprise-wide adoption of Devin AI and GitHub Copilot:</w:t>
      </w:r>
      <w:r>
        <w:rPr>
          <w:rFonts w:ascii="Arial" w:hAnsi="Arial" w:cs="Arial"/>
          <w:color w:val="2D3748"/>
          <w:sz w:val="19"/>
          <w:szCs w:val="19"/>
        </w:rPr>
        <w:t xml:space="preserve">across squads, saving ~35% developer effort on boilerplate, test scaffolding, and migrations while boosting PR review velocity by 40%.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Led cross-functional frontend engineering squads (~12 engineers):</w:t>
      </w:r>
      <w:r>
        <w:rPr>
          <w:rFonts w:ascii="Arial" w:hAnsi="Arial" w:cs="Arial"/>
          <w:color w:val="2D3748"/>
          <w:sz w:val="19"/>
          <w:szCs w:val="19"/>
        </w:rPr>
        <w:t xml:space="preserve">with sustained under 8% attrition through structured 1-on-1s, technical skill ladders, and internal Communities of Practice.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Executive reporting &amp; governance:</w:t>
      </w:r>
      <w:r>
        <w:rPr>
          <w:rFonts w:ascii="Arial" w:hAnsi="Arial" w:cs="Arial"/>
          <w:color w:val="2D3748"/>
          <w:sz w:val="19"/>
          <w:szCs w:val="19"/>
        </w:rPr>
        <w:t xml:space="preserve">Translated multi-quarter engineering roadmaps into C-suite narratives; managed programme risk, release calendar, vendor relationships, and End-of-Vendor-Support (EOVS/EOL) transitions with zero business disruption.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Enterprise GenAI Architecture &amp; Local Vector RAG:</w:t>
      </w:r>
      <w:r>
        <w:rPr>
          <w:rFonts w:ascii="Arial" w:hAnsi="Arial" w:cs="Arial"/>
          <w:color w:val="2D3748"/>
          <w:sz w:val="19"/>
          <w:szCs w:val="19"/>
        </w:rPr>
        <w:t xml:space="preserve">Architected enterprise Gemini LLM integrations with offline local vector store RAG for secure contextual retrieval within banking network boundaries. Engineered developer acceleration tools including an automated AEM layout analyzer (screenshot-to-component mapping), Adobe Experience Cloud release tracking across Launch, Analytics, and Target, and automated release validation workflows.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Autonomous Code Remediation &amp; AI Pipelines:</w:t>
      </w:r>
      <w:r>
        <w:rPr>
          <w:rFonts w:ascii="Arial" w:hAnsi="Arial" w:cs="Arial"/>
          <w:color w:val="2D3748"/>
          <w:sz w:val="19"/>
          <w:szCs w:val="19"/>
        </w:rPr>
        <w:t xml:space="preserve">Orchestrated autonomous AI agents (Devin) with scheduled automation pipelines to detect End-of-Vendor-Support (EOVS) components, synthesize automated pull requests, apply framework upgrades, and manage tracking workflows autonomously across institutional banking and CMS applications post-migration.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Strategic Platform Modernization &amp; Angular Ecosystem Upgrade:</w:t>
      </w:r>
      <w:r>
        <w:rPr>
          <w:rFonts w:ascii="Arial" w:hAnsi="Arial" w:cs="Arial"/>
          <w:color w:val="2D3748"/>
          <w:sz w:val="19"/>
          <w:szCs w:val="19"/>
        </w:rPr>
        <w:t xml:space="preserve">Directed enterprise frontend ecosystem modernization, upgrading Angular applications from 10.x to 21.x across cloud-native microservices; resolved complex Server-Side Rendering (SSR) routing challenges between cloud and legacy modules, modernizing enterprise intranet platforms.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Enterprise Source Control Migration &amp; CI/CD Governance:</w:t>
      </w:r>
      <w:r>
        <w:rPr>
          <w:rFonts w:ascii="Arial" w:hAnsi="Arial" w:cs="Arial"/>
          <w:color w:val="2D3748"/>
          <w:sz w:val="19"/>
          <w:szCs w:val="19"/>
        </w:rPr>
        <w:t xml:space="preserve">Assumed technical ownership of enterprise migration to GitHub Enterprise, designing standardized repository structures, integrating automated dependency management (Renovate), and optimizing CI/CD delivery pipelines with zero downtime.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Enterprise Security &amp; Accessibility Governance (WCAG 2.2 AA):</w:t>
      </w:r>
      <w:r>
        <w:rPr>
          <w:rFonts w:ascii="Arial" w:hAnsi="Arial" w:cs="Arial"/>
          <w:color w:val="2D3748"/>
          <w:sz w:val="19"/>
          <w:szCs w:val="19"/>
        </w:rPr>
        <w:t xml:space="preserve">Governed platform accessibility standards across institutional client platforms, partnering with multimedia vendors to engineer bespoke player fixes for complex WCAG 2.2 AA compliance defects; systematically remediated application security vulnerabilities and static analysis findings across core microservices, including Spring Boot 3.x to 4.x upgrades.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Enterprise Salesforce Integration &amp; Automation:</w:t>
      </w:r>
      <w:r>
        <w:rPr>
          <w:rFonts w:ascii="Arial" w:hAnsi="Arial" w:cs="Arial"/>
          <w:color w:val="2D3748"/>
          <w:sz w:val="19"/>
          <w:szCs w:val="19"/>
        </w:rPr>
        <w:t xml:space="preserve">Architected secure Salesforce integrations with enterprise security header compliance for customer engagement channels; engineered automated validation suites verifying API health, container readiness, and cloud deployment statuses, substantially reducing release validation overhead.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Organization-Level Innovation &amp; Technology Mentorship:</w:t>
      </w:r>
      <w:r>
        <w:rPr>
          <w:rFonts w:ascii="Arial" w:hAnsi="Arial" w:cs="Arial"/>
          <w:color w:val="2D3748"/>
          <w:sz w:val="19"/>
          <w:szCs w:val="19"/>
        </w:rPr>
        <w:t xml:space="preserve">Actively contributed to organization-wide innovation programs and hackathons, evaluating and championing transformative engineering ideas and mentoring cross-functional teams across global business units.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Applications Development Manager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Citicorp Services India Pvt. Ltd.</w:t>
      </w:r>
      <w:r>
        <w:rPr>
          <w:rFonts w:ascii="Arial" w:hAnsi="Arial" w:cs="Arial"/>
          <w:color w:val="4A5568"/>
          <w:sz w:val="19"/>
          <w:szCs w:val="19"/>
        </w:rPr>
        <w:t xml:space="preserve">|  Pune,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2018 – 2022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Led legacy BFSI platform migration:</w:t>
      </w:r>
      <w:r>
        <w:rPr>
          <w:rFonts w:ascii="Arial" w:hAnsi="Arial" w:cs="Arial"/>
          <w:color w:val="2D3748"/>
          <w:sz w:val="19"/>
          <w:szCs w:val="19"/>
        </w:rPr>
        <w:t xml:space="preserve">to micro-frontend architectures across 2 squads (~8 engineers), ensuring 100% business continuity throughout the multi-phase rollout using Module Federation and npm Workspaces.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Delivered up to 50% application load-time improvement:</w:t>
      </w:r>
      <w:r>
        <w:rPr>
          <w:rFonts w:ascii="Arial" w:hAnsi="Arial" w:cs="Arial"/>
          <w:color w:val="2D3748"/>
          <w:sz w:val="19"/>
          <w:szCs w:val="19"/>
        </w:rPr>
        <w:t xml:space="preserve">via React, Next.js, TypeScript, route-based code splitting, and automated Core Web Vitals telemetry integrated into CI pipelines.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Established enterprise-wide Section 508 and ADA compliance programme:</w:t>
      </w:r>
      <w:r>
        <w:rPr>
          <w:rFonts w:ascii="Arial" w:hAnsi="Arial" w:cs="Arial"/>
          <w:color w:val="2D3748"/>
          <w:sz w:val="19"/>
          <w:szCs w:val="19"/>
        </w:rPr>
        <w:t xml:space="preserve">integrating axe-core and Lighthouse CI into GitHub Actions alongside NVDA screen-reader audits, reducing post-deployment remediation spend by 60%.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Facilitated Workday platform uploads:</w:t>
      </w:r>
      <w:r>
        <w:rPr>
          <w:rFonts w:ascii="Arial" w:hAnsi="Arial" w:cs="Arial"/>
          <w:color w:val="2D3748"/>
          <w:sz w:val="19"/>
          <w:szCs w:val="19"/>
        </w:rPr>
        <w:t xml:space="preserve">and HRIS configuration workflows, validating data integrity at enterprise scale with zero business disruption.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Engineered GitHub-first DevOps pipelines:</w:t>
      </w:r>
      <w:r>
        <w:rPr>
          <w:rFonts w:ascii="Arial" w:hAnsi="Arial" w:cs="Arial"/>
          <w:color w:val="2D3748"/>
          <w:sz w:val="19"/>
          <w:szCs w:val="19"/>
        </w:rPr>
        <w:t xml:space="preserve">using GitHub Actions, Advanced Security scanning, Dependabot auto-patching, and GitHub Projects for Agile delivery governance.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Senior Engineer / Technical Lead — UI Architecture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Citicorp Services India Pvt. Ltd.</w:t>
      </w:r>
      <w:r>
        <w:rPr>
          <w:rFonts w:ascii="Arial" w:hAnsi="Arial" w:cs="Arial"/>
          <w:color w:val="4A5568"/>
          <w:sz w:val="19"/>
          <w:szCs w:val="19"/>
        </w:rPr>
        <w:t xml:space="preserve">|  Pune,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2013 – 2018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Architected enterprise UI, API, and iframe integrations:</w:t>
      </w:r>
      <w:r>
        <w:rPr>
          <w:rFonts w:ascii="Arial" w:hAnsi="Arial" w:cs="Arial"/>
          <w:color w:val="2D3748"/>
          <w:sz w:val="19"/>
          <w:szCs w:val="19"/>
        </w:rPr>
        <w:t xml:space="preserve">across multiple distributed BFSI platforms, cutting integration complexity by 40% and accelerating feature time-to-market for global trading and retail banking products.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Established frontend architecture reference standards:</w:t>
      </w:r>
      <w:r>
        <w:rPr>
          <w:rFonts w:ascii="Arial" w:hAnsi="Arial" w:cs="Arial"/>
          <w:color w:val="2D3748"/>
          <w:sz w:val="19"/>
          <w:szCs w:val="19"/>
        </w:rPr>
        <w:t xml:space="preserve">postMessage protocol governance, and API integration patterns adopted across 6+ product squads.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Built and grew a team of 4–5 frontend engineers:</w:t>
      </w:r>
      <w:r>
        <w:rPr>
          <w:rFonts w:ascii="Arial" w:hAnsi="Arial" w:cs="Arial"/>
          <w:color w:val="2D3748"/>
          <w:sz w:val="19"/>
          <w:szCs w:val="19"/>
        </w:rPr>
        <w:t xml:space="preserve">instituting code review culture, reusable UI component libraries, and cross-browser compatibility benchmarks.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Senior Consultant, CRM UI Architecture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Cognizant Technology Solutions</w:t>
      </w:r>
      <w:r>
        <w:rPr>
          <w:rFonts w:ascii="Arial" w:hAnsi="Arial" w:cs="Arial"/>
          <w:color w:val="4A5568"/>
          <w:sz w:val="19"/>
          <w:szCs w:val="19"/>
        </w:rPr>
        <w:t xml:space="preserve">|  Hyderabad,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December 2010 – February 2013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Architected mobile CRM frontends:</w:t>
      </w:r>
      <w:r>
        <w:rPr>
          <w:rFonts w:ascii="Arial" w:hAnsi="Arial" w:cs="Arial"/>
          <w:color w:val="2D3748"/>
          <w:sz w:val="19"/>
          <w:szCs w:val="19"/>
        </w:rPr>
        <w:t xml:space="preserve">with Siebel CRM targeting Google Chrome and enterprise tablets, boosting field-force productivity across distributed enterprise client accounts.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Developed Oracle CRM API SOAP integrations:</w:t>
      </w:r>
      <w:r>
        <w:rPr>
          <w:rFonts w:ascii="Arial" w:hAnsi="Arial" w:cs="Arial"/>
          <w:color w:val="2D3748"/>
          <w:sz w:val="19"/>
          <w:szCs w:val="19"/>
        </w:rPr>
        <w:t xml:space="preserve">established client-side performance benchmarks, and led usability testing and heuristic evaluations.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Module Lead, UI Development &amp; Usability Analyst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Impetus Infotech India Pvt. Ltd.</w:t>
      </w:r>
      <w:r>
        <w:rPr>
          <w:rFonts w:ascii="Arial" w:hAnsi="Arial" w:cs="Arial"/>
          <w:color w:val="4A5568"/>
          <w:sz w:val="19"/>
          <w:szCs w:val="19"/>
        </w:rPr>
        <w:t xml:space="preserve">|  Indore, MP,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June 2007 – December 2010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Led UI engineering pods and concept implementations:</w:t>
      </w:r>
      <w:r>
        <w:rPr>
          <w:rFonts w:ascii="Arial" w:hAnsi="Arial" w:cs="Arial"/>
          <w:color w:val="2D3748"/>
          <w:sz w:val="19"/>
          <w:szCs w:val="19"/>
        </w:rPr>
        <w:t xml:space="preserve">for enterprise web clients, translating product specs into robust architectures and governing client-side standards.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Directed usability studies and heuristic evaluations,:</w:t>
      </w:r>
      <w:r>
        <w:rPr>
          <w:rFonts w:ascii="Arial" w:hAnsi="Arial" w:cs="Arial"/>
          <w:color w:val="2D3748"/>
          <w:sz w:val="19"/>
          <w:szCs w:val="19"/>
        </w:rPr>
        <w:t xml:space="preserve">conducting competitive benchmarking, usability testing, and UX analysis to optimize web clients.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Partnered with organizational leads:</w:t>
      </w:r>
      <w:r>
        <w:rPr>
          <w:rFonts w:ascii="Arial" w:hAnsi="Arial" w:cs="Arial"/>
          <w:color w:val="2D3748"/>
          <w:sz w:val="19"/>
          <w:szCs w:val="19"/>
        </w:rPr>
        <w:t xml:space="preserve">to drive collaborative technical discussions, architectural decisions, design standards, and industry best practices.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Lead Web Specialist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Gatesix Technologies India Pvt. Ltd.</w:t>
      </w:r>
      <w:r>
        <w:rPr>
          <w:rFonts w:ascii="Arial" w:hAnsi="Arial" w:cs="Arial"/>
          <w:color w:val="4A5568"/>
          <w:sz w:val="19"/>
          <w:szCs w:val="19"/>
        </w:rPr>
        <w:t xml:space="preserve">|  Indore, MP,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August 2004 – June 2007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Formulated frontend and SEO strategies:</w:t>
      </w:r>
      <w:r>
        <w:rPr>
          <w:rFonts w:ascii="Arial" w:hAnsi="Arial" w:cs="Arial"/>
          <w:color w:val="2D3748"/>
          <w:sz w:val="19"/>
          <w:szCs w:val="19"/>
        </w:rPr>
        <w:t xml:space="preserve">spanning UI/UX design, development standards, W3C compliance, and search architecture for web applications.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Directed concept visualization and application flows,:</w:t>
      </w:r>
      <w:r>
        <w:rPr>
          <w:rFonts w:ascii="Arial" w:hAnsi="Arial" w:cs="Arial"/>
          <w:color w:val="2D3748"/>
          <w:sz w:val="19"/>
          <w:szCs w:val="19"/>
        </w:rPr>
        <w:t xml:space="preserve">translating business requirements into intuitive UI designs and interactive web experiences.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Spearheaded client-side R&amp;D:</w:t>
      </w:r>
      <w:r>
        <w:rPr>
          <w:rFonts w:ascii="Arial" w:hAnsi="Arial" w:cs="Arial"/>
          <w:color w:val="2D3748"/>
          <w:sz w:val="19"/>
          <w:szCs w:val="19"/>
        </w:rPr>
        <w:t xml:space="preserve">on emerging web technologies and established implementation standards across project teams.</w:t>
      </w:r>
    </w:p>
    <w:p>
      <w:pPr>
        <w:spacing w:before="120" w:after="20"/>
      </w:pPr>
      <w:r>
        <w:rPr>
          <w:rFonts w:ascii="Arial" w:hAnsi="Arial" w:cs="Arial"/>
          <w:b/>
          <w:bCs/>
          <w:color w:val="1A202C"/>
          <w:sz w:val="21"/>
          <w:szCs w:val="21"/>
        </w:rPr>
        <w:t xml:space="preserve">Senior Web Designer</w:t>
      </w:r>
    </w:p>
    <w:p>
      <w:pPr>
        <w:spacing w:before="0" w:after="40"/>
      </w:pPr>
      <w:r>
        <w:rPr>
          <w:rFonts w:ascii="Arial" w:hAnsi="Arial" w:cs="Arial"/>
          <w:b/>
          <w:bCs/>
          <w:color w:val="2B6CB0"/>
          <w:sz w:val="19"/>
          <w:szCs w:val="19"/>
        </w:rPr>
        <w:t xml:space="preserve">Pinnacle Technosys</w:t>
      </w:r>
      <w:r>
        <w:rPr>
          <w:rFonts w:ascii="Arial" w:hAnsi="Arial" w:cs="Arial"/>
          <w:color w:val="4A5568"/>
          <w:sz w:val="19"/>
          <w:szCs w:val="19"/>
        </w:rPr>
        <w:t xml:space="preserve">|  Vadodara, Gujarat, India  |</w:t>
      </w:r>
      <w:r>
        <w:rPr>
          <w:rFonts w:ascii="Arial" w:hAnsi="Arial" w:cs="Arial"/>
          <w:b/>
          <w:bCs/>
          <w:color w:val="1A56A8"/>
          <w:sz w:val="19"/>
          <w:szCs w:val="19"/>
        </w:rPr>
        <w:t xml:space="preserve">May 2003 – July 2004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Designed, developed, and maintained client portals:</w:t>
      </w:r>
      <w:r>
        <w:rPr>
          <w:rFonts w:ascii="Arial" w:hAnsi="Arial" w:cs="Arial"/>
          <w:color w:val="2D3748"/>
          <w:sz w:val="19"/>
          <w:szCs w:val="19"/>
        </w:rPr>
        <w:t xml:space="preserve">and digital marketing platforms with bespoke software integrations.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Engineered W3C-compliant website architectures:</w:t>
      </w:r>
      <w:r>
        <w:rPr>
          <w:rFonts w:ascii="Arial" w:hAnsi="Arial" w:cs="Arial"/>
          <w:color w:val="2D3748"/>
          <w:sz w:val="19"/>
          <w:szCs w:val="19"/>
        </w:rPr>
        <w:t xml:space="preserve">and structured content implementations, ensuring cross-platform browser compatibility.</w:t>
      </w:r>
    </w:p>
    <w:p>
      <w:pPr>
        <w:spacing w:before="25" w:after="25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Developed rich interactive web applications:</w:t>
      </w:r>
      <w:r>
        <w:rPr>
          <w:rFonts w:ascii="Arial" w:hAnsi="Arial" w:cs="Arial"/>
          <w:color w:val="2D3748"/>
          <w:sz w:val="19"/>
          <w:szCs w:val="19"/>
        </w:rPr>
        <w:t xml:space="preserve">and digital media collateral, driving early adoption of standards-based browser technologies.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FEATURED TECHNICAL INNOVATIONS &amp; OPEN SYSTEMS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a11ysis (In-Page Live Accessibility Inspector &amp; Triple-Engine Scanner):</w:t>
      </w:r>
      <w:r>
        <w:rPr>
          <w:rFonts w:ascii="Arial" w:hAnsi="Arial" w:cs="Arial"/>
          <w:color w:val="2D3748"/>
          <w:sz w:val="19"/>
          <w:szCs w:val="19"/>
        </w:rPr>
        <w:t xml:space="preserve">Continuous digital accessibility platform engineered to eliminate audit fragmentation and noise. Combines a concurrent triple-engine consensus architecture (IBM Equal Access 4.0, Deque Axe-core 4.10, and HTML_CodeSniffer 2.5) with an interactive, collision-free Shadow DOM HUD that mounts directly onto live web applications via script tag or bookmarklet. Provides on-hover element highlighting, real-time contrast inspection, and actionable code remediation snippets with zero data retention (100% client-side DOM evaluation) across WCAG 2.1/2.2 Levels A/AA/AAA, Section 508, and EN 301 549 (a11ysis.lets.gen.in).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FoodScan AI (AI Dietary Scanner &amp; Label Decoder):</w:t>
      </w:r>
      <w:r>
        <w:rPr>
          <w:rFonts w:ascii="Arial" w:hAnsi="Arial" w:cs="Arial"/>
          <w:color w:val="2D3748"/>
          <w:sz w:val="19"/>
          <w:szCs w:val="19"/>
        </w:rPr>
        <w:t xml:space="preserve">Mobile AI application officially published on the Google Play Store engineered for conscious travelers (Vegetarian, Jain, Vegan, Celiac gluten-free, and severe allergen sufferers). Leverages dual barcode scanning and multilingual OCR to decode foreign food labels (French, German, Japanese, etc.) and European E-numbers in under one second with deterministic dietary safeguards (play.google.com/store/apps/details?id=in.gen.lets.foodscan | foodscan.lets.gen.in/packaging-marks).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EdgeNonce (Zero-Latency CSP Nonce Streaming Engine):</w:t>
      </w:r>
      <w:r>
        <w:rPr>
          <w:rFonts w:ascii="Arial" w:hAnsi="Arial" w:cs="Arial"/>
          <w:color w:val="2D3748"/>
          <w:sz w:val="19"/>
          <w:szCs w:val="19"/>
        </w:rPr>
        <w:t xml:space="preserve">Enterprise Content Security Policy engine at the network edge deployed on Cloudflare Workers. Injects dynamic 128-bit cryptographic nonces into cached HTML responses via streaming HTMLRewriter in under 1.5ms without breaking origin CDN or AEM Dispatcher caching (100% cache retention). Enforces CSP Level 3 and satisfies PCI-DSS v4.0 (6.4.3 &amp; 11.6.1), HIPAA, and GDPR (edge-nonce.com).</w:t>
      </w:r>
    </w:p>
    <w:p>
      <w:pPr>
        <w:spacing w:before="25" w:after="25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StateGuard.js:</w:t>
      </w:r>
      <w:r>
        <w:rPr>
          <w:rFonts w:ascii="Arial" w:hAnsi="Arial" w:cs="Arial"/>
          <w:color w:val="2D3748"/>
          <w:sz w:val="19"/>
          <w:szCs w:val="19"/>
        </w:rPr>
        <w:t xml:space="preserve">Specialized browser runtime JavaScript utility that protects DOM attributes from tampering via browser developer tools. Engineered for client-side state integrity in mission-critical Banking, Financial Services, and Insurance (BFSI) transactional workflows (rmsuthar.github.io/StateGuard).</w:t>
      </w:r>
    </w:p>
    <w:p>
      <w:pPr>
        <w:spacing w:before="25" w:after="60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Global Edge Sandbox &amp; Multi-Region Load Balancer Inspector:</w:t>
      </w:r>
      <w:r>
        <w:rPr>
          <w:rFonts w:ascii="Arial" w:hAnsi="Arial" w:cs="Arial"/>
          <w:color w:val="2D3748"/>
          <w:sz w:val="19"/>
          <w:szCs w:val="19"/>
        </w:rPr>
        <w:t xml:space="preserve">Edge proxy platform built on Cloudflare Workers simulating web access across 12 global PoPs with framebuster neutralization, biometric WebAuthn security, and WCAG AAA theme system (gateway.lets.gen.in).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EDUCATION</w:t>
      </w:r>
    </w:p>
    <w:p>
      <w:pPr>
        <w:spacing w:before="60" w:after="10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Post Graduate Diploma in Information Technology</w:t>
      </w:r>
    </w:p>
    <w:p>
      <w:pPr>
        <w:spacing w:before="0" w:after="30"/>
      </w:pPr>
      <w:r>
        <w:rPr>
          <w:rFonts w:ascii="Arial" w:hAnsi="Arial" w:cs="Arial"/>
          <w:color w:val="4A5568"/>
          <w:sz w:val="19"/>
          <w:szCs w:val="19"/>
        </w:rPr>
        <w:t xml:space="preserve">Sikkim Manipal University</w:t>
      </w:r>
      <w:r>
        <w:rPr>
          <w:rFonts w:ascii="Arial" w:hAnsi="Arial" w:cs="Arial"/>
          <w:color w:val="718096"/>
          <w:sz w:val="19"/>
          <w:szCs w:val="19"/>
        </w:rPr>
        <w:t xml:space="preserve">|  1999 – 2001  |  India</w:t>
      </w:r>
    </w:p>
    <w:p>
      <w:pPr>
        <w:spacing w:before="60" w:after="10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Higher Diploma in Software Engineering (HDSE)</w:t>
      </w:r>
    </w:p>
    <w:p>
      <w:pPr>
        <w:spacing w:before="0" w:after="30"/>
      </w:pPr>
      <w:r>
        <w:rPr>
          <w:rFonts w:ascii="Arial" w:hAnsi="Arial" w:cs="Arial"/>
          <w:color w:val="4A5568"/>
          <w:sz w:val="19"/>
          <w:szCs w:val="19"/>
        </w:rPr>
        <w:t xml:space="preserve">Aptech Computer Education</w:t>
      </w:r>
      <w:r>
        <w:rPr>
          <w:rFonts w:ascii="Arial" w:hAnsi="Arial" w:cs="Arial"/>
          <w:color w:val="718096"/>
          <w:sz w:val="19"/>
          <w:szCs w:val="19"/>
        </w:rPr>
        <w:t xml:space="preserve">|  1999 – 2001  |  India</w:t>
      </w:r>
    </w:p>
    <w:p>
      <w:pPr>
        <w:spacing w:before="60" w:after="10"/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Bachelor of Science (B.Sc.) in Chemistry &amp; Mathematics</w:t>
      </w:r>
    </w:p>
    <w:p>
      <w:pPr>
        <w:spacing w:before="0" w:after="30"/>
      </w:pPr>
      <w:r>
        <w:rPr>
          <w:rFonts w:ascii="Arial" w:hAnsi="Arial" w:cs="Arial"/>
          <w:color w:val="4A5568"/>
          <w:sz w:val="19"/>
          <w:szCs w:val="19"/>
        </w:rPr>
        <w:t xml:space="preserve">Gujarat University</w:t>
      </w:r>
      <w:r>
        <w:rPr>
          <w:rFonts w:ascii="Arial" w:hAnsi="Arial" w:cs="Arial"/>
          <w:color w:val="718096"/>
          <w:sz w:val="19"/>
          <w:szCs w:val="19"/>
        </w:rPr>
        <w:t xml:space="preserve">|  1996 – 1999  |  India</w:t>
      </w:r>
    </w:p>
    <w:p>
      <w:pPr>
        <w:pBdr>
          <w:bottom w:val="single" w:sz="12" w:space="4" w:color="1A365D"/>
        </w:pBdr>
        <w:spacing w:before="260" w:after="90"/>
      </w:pPr>
      <w:r>
        <w:rPr>
          <w:rFonts w:ascii="Arial" w:hAnsi="Arial" w:cs="Arial"/>
          <w:b/>
          <w:bCs/>
          <w:color w:val="1A365D"/>
          <w:sz w:val="23"/>
          <w:szCs w:val="23"/>
        </w:rPr>
        <w:t xml:space="preserve">CERTIFICATIONS &amp; CREDENTIALS</w:t>
      </w:r>
    </w:p>
    <w:p>
      <w:pPr>
        <w:spacing w:before="20" w:after="20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Certified ScrumMaster (CSM)</w:t>
      </w:r>
      <w:r>
        <w:rPr>
          <w:rFonts w:ascii="Arial" w:hAnsi="Arial" w:cs="Arial"/>
          <w:color w:val="4A5568"/>
          <w:sz w:val="19"/>
          <w:szCs w:val="19"/>
        </w:rPr>
        <w:t xml:space="preserve">— Scrum Alliance</w:t>
      </w:r>
    </w:p>
    <w:p>
      <w:pPr>
        <w:spacing w:before="20" w:after="20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AWS Cloud Practitioner</w:t>
      </w:r>
      <w:r>
        <w:rPr>
          <w:rFonts w:ascii="Arial" w:hAnsi="Arial" w:cs="Arial"/>
          <w:color w:val="4A5568"/>
          <w:sz w:val="19"/>
          <w:szCs w:val="19"/>
        </w:rPr>
        <w:t xml:space="preserve">— Amazon Web Services</w:t>
      </w:r>
    </w:p>
    <w:p>
      <w:pPr>
        <w:spacing w:before="20" w:after="20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IBM Design Thinking Practitioner</w:t>
      </w:r>
      <w:r>
        <w:rPr>
          <w:rFonts w:ascii="Arial" w:hAnsi="Arial" w:cs="Arial"/>
          <w:color w:val="4A5568"/>
          <w:sz w:val="19"/>
          <w:szCs w:val="19"/>
        </w:rPr>
        <w:t xml:space="preserve">— IBM</w:t>
      </w:r>
    </w:p>
    <w:p>
      <w:pPr>
        <w:spacing w:before="20" w:after="20"/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bCs/>
          <w:color w:val="1A202C"/>
          <w:sz w:val="19"/>
          <w:szCs w:val="19"/>
        </w:rPr>
        <w:t xml:space="preserve">Google Analytics Certified</w:t>
      </w:r>
      <w:r>
        <w:rPr>
          <w:rFonts w:ascii="Arial" w:hAnsi="Arial" w:cs="Arial"/>
          <w:color w:val="4A5568"/>
          <w:sz w:val="19"/>
          <w:szCs w:val="19"/>
        </w:rPr>
        <w:t xml:space="preserve">— Google</w:t>
      </w:r>
    </w:p>
    <w:sectPr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2026-05-30T17:18:49.899Z</dcterms:created>
  <dcterms:modified xsi:type="dcterms:W3CDTF">2026-05-30T17:18:49.899Z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