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Senior Principal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linkedin.com/in/ravindrasuthar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GitHub:</w:t>
      </w:r>
      <w:r>
        <w:rPr>
          <w:rFonts w:ascii="Arial" w:hAnsi="Arial" w:cs="Arial"/>
          <w:color w:val="2B6CB0"/>
          <w:sz w:val="18"/>
          <w:szCs w:val="18"/>
        </w:rPr>
        <w:t xml:space="preserve">github.com/rmsuthar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ravindra.lets.gen.in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Engineering leader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20+ years of total experience</w:t>
      </w:r>
      <w:r>
        <w:rPr>
          <w:rFonts w:ascii="Arial" w:hAnsi="Arial" w:cs="Arial"/>
          <w:color w:val="2D3748"/>
          <w:sz w:val="19"/>
          <w:szCs w:val="19"/>
        </w:rPr>
        <w:t xml:space="preserve">, including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13+ years in enterprise BFSI platforms</w:t>
      </w:r>
      <w:r>
        <w:rPr>
          <w:rFonts w:ascii="Arial" w:hAnsi="Arial" w:cs="Arial"/>
          <w:color w:val="2D3748"/>
          <w:sz w:val="19"/>
          <w:szCs w:val="19"/>
        </w:rPr>
        <w:t xml:space="preserve">steering multi-team engineering organisations through large-scale digital transformation in regulated Banking, Financial Services, and Insurance (BFSI) environments. At Citicorp Services India, progressed through the engineering ladder from Technical Lead to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Senior Principal Architect &amp; Engineering Leader</w:t>
      </w:r>
      <w:r>
        <w:rPr>
          <w:rFonts w:ascii="Arial" w:hAnsi="Arial" w:cs="Arial"/>
          <w:color w:val="2D3748"/>
          <w:sz w:val="19"/>
          <w:szCs w:val="19"/>
        </w:rPr>
        <w:t xml:space="preserve">, building and retaining high-performance squads with sustained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&lt;8% attrition</w:t>
      </w:r>
      <w:r>
        <w:rPr>
          <w:rFonts w:ascii="Arial" w:hAnsi="Arial" w:cs="Arial"/>
          <w:color w:val="2D3748"/>
          <w:sz w:val="19"/>
          <w:szCs w:val="19"/>
        </w:rPr>
        <w:t xml:space="preserve">— a benchmark exceptional in enterprise engineering.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Delivered measurable, executive-visible impact: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60% reduction in migration cycle times</w:t>
      </w:r>
      <w:r>
        <w:rPr>
          <w:rFonts w:ascii="Arial" w:hAnsi="Arial" w:cs="Arial"/>
          <w:color w:val="2D3748"/>
          <w:sz w:val="19"/>
          <w:szCs w:val="19"/>
        </w:rPr>
        <w:t xml:space="preserve">via an autonomous AI agent &amp; integrated VS Code extension;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50% application load-time improvement</w:t>
      </w:r>
      <w:r>
        <w:rPr>
          <w:rFonts w:ascii="Arial" w:hAnsi="Arial" w:cs="Arial"/>
          <w:color w:val="2D3748"/>
          <w:sz w:val="19"/>
          <w:szCs w:val="19"/>
        </w:rPr>
        <w:t xml:space="preserve">through React / Next.js performance engineering;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40% cut in integration complexity</w:t>
      </w:r>
      <w:r>
        <w:rPr>
          <w:rFonts w:ascii="Arial" w:hAnsi="Arial" w:cs="Arial"/>
          <w:color w:val="2D3748"/>
          <w:sz w:val="19"/>
          <w:szCs w:val="19"/>
        </w:rPr>
        <w:t xml:space="preserve">across distributed platforms; and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35% developer effort saved</w:t>
      </w:r>
      <w:r>
        <w:rPr>
          <w:rFonts w:ascii="Arial" w:hAnsi="Arial" w:cs="Arial"/>
          <w:color w:val="2D3748"/>
          <w:sz w:val="19"/>
          <w:szCs w:val="19"/>
        </w:rPr>
        <w:t xml:space="preserve">through AI-augmented workflows (Devin AI, GitHub Copilot). Deep practitioner across micro-frontend architecture, enterprise accessibility (WCAG 2.1/2.2 AA/AAA, ADA, Section 508), and agentic AI developer toolchains.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Optimization, Server-Side Rendering (SSR).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Angular (v10–v21),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Delivery &amp; Project Governance:</w:t>
      </w:r>
      <w:r>
        <w:rPr>
          <w:rFonts w:ascii="Arial" w:hAnsi="Arial" w:cs="Arial"/>
          <w:color w:val="2D3748"/>
          <w:sz w:val="19"/>
          <w:szCs w:val="19"/>
        </w:rPr>
        <w:t xml:space="preserve">Agile / Scrum / Kanban, Certified ScrumMaster (CSM), SDLC, Release Management, Change Management, Risk &amp; Issue Management, Budget &amp; Resource Planning, Financial Management, Executive Reporting &amp; Governance, Vendor Management, GitHub Enterprise (GHE) Migration, Renovate Bot.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Tools &amp; PM Platforms:</w:t>
      </w:r>
      <w:r>
        <w:rPr>
          <w:rFonts w:ascii="Arial" w:hAnsi="Arial" w:cs="Arial"/>
          <w:color w:val="2D3748"/>
          <w:sz w:val="19"/>
          <w:szCs w:val="19"/>
        </w:rPr>
        <w:t xml:space="preserve">Jira, OpenShift DevOps, ServiceNow, Clarity, MS Project, GitHub Projects, Workday Platform Uploads, Workday HRIS, Adobe Experience Manager (AEM / CQ5), OpenText TeamSite, Salesforce Integration, Bitbucket, TeamCity, UrbanDeploy.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Leadership &amp; Key Competencies: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Strategic Thinking, Leadership and Influence, Stakeholder Management, Financial Management, Vendor Management, Communication and Presentation Skills, Decision Making, Conflict Resolution, Team Collaboration and Coaching, Talent Acquisition, Organization-Wide Innovation Programs.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Kaltura Player Accessibility, axe-core, Lighthouse CI, NVDA Audits, Content Security Policy (CSP), Zero-Latency Dynamic Edge CSP (EdgeNonce), OWASP Top 10, DOM Runtime Integrity (StateGuard.js), Checkmarx, Vulnerability Remediation.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Local Vector Store RAG, Non-AEM to AEM Migration AI Agent &amp; Integrated VS Code Extension, Enterprise Gemini LLM Integration, Developer Productivity Tooling, Devin AI Autonomous Agents &amp; Automated Pipelines, GitHub Copilot, Enterprise Prompt Engineering, AST Transformation Scripts,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OpenShift, Spring Boot 4.x.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Principal Architect &amp; AI Platform Lead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2022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enterprise CMS modernisation:</w:t>
      </w:r>
      <w:r>
        <w:rPr>
          <w:rFonts w:ascii="Arial" w:hAnsi="Arial" w:cs="Arial"/>
          <w:color w:val="2D3748"/>
          <w:sz w:val="19"/>
          <w:szCs w:val="19"/>
        </w:rPr>
        <w:t xml:space="preserve">Orchestrated the full migration of Citi's OpenText TeamSite to Adobe Experience Manager (AEM), standardising content authoring workflows, component governance, and multi-brand publishing pipelines across institutional platforms.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 with automated validation.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Championed and scaled enterprise-wide adoption of Devin AI and GitHub Copilot: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boilerplate, test scaffolding, and migrations while boosting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cross-functional frontend engineering squads (~12 engineers):</w:t>
      </w:r>
      <w:r>
        <w:rPr>
          <w:rFonts w:ascii="Arial" w:hAnsi="Arial" w:cs="Arial"/>
          <w:color w:val="2D3748"/>
          <w:sz w:val="19"/>
          <w:szCs w:val="19"/>
        </w:rPr>
        <w:t xml:space="preserve">with sustained &lt;8% attrition through structured 1-on-1s, technical skill ladders, and internal Communities of Practice.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Executive reporting &amp; governance:</w:t>
      </w:r>
      <w:r>
        <w:rPr>
          <w:rFonts w:ascii="Arial" w:hAnsi="Arial" w:cs="Arial"/>
          <w:color w:val="2D3748"/>
          <w:sz w:val="19"/>
          <w:szCs w:val="19"/>
        </w:rPr>
        <w:t xml:space="preserve">Translated multi-quarter engineering roadmaps into C-suite narratives; managed programme risk, release calendar, vendor relationships, and End-of-Vendor-Support (EOVS/EOL) transitions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GenAI Architecture &amp; Local Vector RAG:</w:t>
      </w:r>
      <w:r>
        <w:rPr>
          <w:rFonts w:ascii="Arial" w:hAnsi="Arial" w:cs="Arial"/>
          <w:color w:val="2D3748"/>
          <w:sz w:val="19"/>
          <w:szCs w:val="19"/>
        </w:rPr>
        <w:t xml:space="preserve">Architected enterprise Gemini LLM integrations with offline local vector store RAG for secure contextual retrieval within banking network boundaries. Engineered developer acceleration tools including an automated AEM layout analyzer (screenshot-to-component mapping), Adobe Experience Cloud release tracking across Launch, Analytics, and Target, and automated release validation workflows.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Autonomous Code Remediation &amp; AI Pipelines:</w:t>
      </w:r>
      <w:r>
        <w:rPr>
          <w:rFonts w:ascii="Arial" w:hAnsi="Arial" w:cs="Arial"/>
          <w:color w:val="2D3748"/>
          <w:sz w:val="19"/>
          <w:szCs w:val="19"/>
        </w:rPr>
        <w:t xml:space="preserve">Orchestrated autonomous AI agents (Devin) with scheduled automation pipelines to detect End-of-Vendor-Support (EOVS) components, synthesize automated pull requests, apply framework upgrades, and manage tracking workflows autonomously across institutional banking and CMS applications post-migration.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Strategic Platform Modernization &amp; Angular Ecosystem Upgrade:</w:t>
      </w:r>
      <w:r>
        <w:rPr>
          <w:rFonts w:ascii="Arial" w:hAnsi="Arial" w:cs="Arial"/>
          <w:color w:val="2D3748"/>
          <w:sz w:val="19"/>
          <w:szCs w:val="19"/>
        </w:rPr>
        <w:t xml:space="preserve">Directed enterprise frontend ecosystem modernization, upgrading Angular applications from 10.x to 21.x across cloud-native microservices; resolved complex Server-Side Rendering (SSR) routing challenges between cloud and legacy modules, modernizing enterprise intranet platforms.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Source Control Migration &amp; CI/CD Governance:</w:t>
      </w:r>
      <w:r>
        <w:rPr>
          <w:rFonts w:ascii="Arial" w:hAnsi="Arial" w:cs="Arial"/>
          <w:color w:val="2D3748"/>
          <w:sz w:val="19"/>
          <w:szCs w:val="19"/>
        </w:rPr>
        <w:t xml:space="preserve">Assumed technical ownership of enterprise migration to GitHub Enterprise, designing standardized repository structures, integrating automated dependency management (Renovate), and optimizing CI/CD delivery pipelines with zero downtime.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Security &amp; Accessibility Governance (WCAG 2.2 AA):</w:t>
      </w:r>
      <w:r>
        <w:rPr>
          <w:rFonts w:ascii="Arial" w:hAnsi="Arial" w:cs="Arial"/>
          <w:color w:val="2D3748"/>
          <w:sz w:val="19"/>
          <w:szCs w:val="19"/>
        </w:rPr>
        <w:t xml:space="preserve">Governed platform accessibility standards across institutional client platforms, partnering with multimedia vendors to engineer bespoke player fixes for complex WCAG 2.2 AA compliance defects; systematically remediated application security vulnerabilities and static analysis findings across core microservices, including Spring Boot 3.x to 4.x upgrades.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Salesforce Integration &amp; Automation:</w:t>
      </w:r>
      <w:r>
        <w:rPr>
          <w:rFonts w:ascii="Arial" w:hAnsi="Arial" w:cs="Arial"/>
          <w:color w:val="2D3748"/>
          <w:sz w:val="19"/>
          <w:szCs w:val="19"/>
        </w:rPr>
        <w:t xml:space="preserve">Architected secure Salesforce integrations with enterprise security header compliance for customer engagement channels; engineered automated validation suites verifying API health, container readiness, and cloud deployment statuses, substantially reducing release validation overhead.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Organization-Level Innovation &amp; Technology Mentorship:</w:t>
      </w:r>
      <w:r>
        <w:rPr>
          <w:rFonts w:ascii="Arial" w:hAnsi="Arial" w:cs="Arial"/>
          <w:color w:val="2D3748"/>
          <w:sz w:val="19"/>
          <w:szCs w:val="19"/>
        </w:rPr>
        <w:t xml:space="preserve">Actively contributed to organization-wide innovation programs and hackathons, evaluating and championing transformative engineering ideas and mentoring cross-functional teams across global business units.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Lead Engineer — Frontend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2018 – 2022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2 squads (~8 engineers), ensuring 100% business continuity throughout the multi-phase rollout using Module Federation and npm Workspaces.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 integrated into CI pipelines.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screen-reader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 governance.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Engineer / Technical Lead —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2013 – 2018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BFSI platforms, cutting integration complexity by 40% and accelerating feature time-to-market for global trading and retail banking products.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frontend architecture reference standards:</w:t>
      </w:r>
      <w:r>
        <w:rPr>
          <w:rFonts w:ascii="Arial" w:hAnsi="Arial" w:cs="Arial"/>
          <w:color w:val="2D3748"/>
          <w:sz w:val="19"/>
          <w:szCs w:val="19"/>
        </w:rPr>
        <w:t xml:space="preserve">postMessage protocol governance, and API integration patterns adopted across 6+ product squads.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Built and grew a team of 4–5 frontend engineers:</w:t>
      </w:r>
      <w:r>
        <w:rPr>
          <w:rFonts w:ascii="Arial" w:hAnsi="Arial" w:cs="Arial"/>
          <w:color w:val="2D3748"/>
          <w:sz w:val="19"/>
          <w:szCs w:val="19"/>
        </w:rPr>
        <w:t xml:space="preserve">instituting code review culture, reusable UI component libraries, and cross-browser compatibility benchmarks.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Consultant,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 across distributed enterprise client accounts.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established client-side performance benchmarks, 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Lead, UI Development &amp; Usability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UI engineering pods and concept implementations:</w:t>
      </w:r>
      <w:r>
        <w:rPr>
          <w:rFonts w:ascii="Arial" w:hAnsi="Arial" w:cs="Arial"/>
          <w:color w:val="2D3748"/>
          <w:sz w:val="19"/>
          <w:szCs w:val="19"/>
        </w:rPr>
        <w:t xml:space="preserve">for enterprise web clients, translating product specs into robust architectures and governing client-side standards.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usability studies and heuristic evaluations,:</w:t>
      </w:r>
      <w:r>
        <w:rPr>
          <w:rFonts w:ascii="Arial" w:hAnsi="Arial" w:cs="Arial"/>
          <w:color w:val="2D3748"/>
          <w:sz w:val="19"/>
          <w:szCs w:val="19"/>
        </w:rPr>
        <w:t xml:space="preserve">conducting competitive benchmarking, usability testing, and UX analysis to optimize web clients.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Partnered with organizational leads:</w:t>
      </w:r>
      <w:r>
        <w:rPr>
          <w:rFonts w:ascii="Arial" w:hAnsi="Arial" w:cs="Arial"/>
          <w:color w:val="2D3748"/>
          <w:sz w:val="19"/>
          <w:szCs w:val="19"/>
        </w:rPr>
        <w:t xml:space="preserve">to drive collaborative technical discussions, architectural decisions, design standards, and industry best practices.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Formulated frontend and SEO strategies:</w:t>
      </w:r>
      <w:r>
        <w:rPr>
          <w:rFonts w:ascii="Arial" w:hAnsi="Arial" w:cs="Arial"/>
          <w:color w:val="2D3748"/>
          <w:sz w:val="19"/>
          <w:szCs w:val="19"/>
        </w:rPr>
        <w:t xml:space="preserve">spanning UI/UX design, development standards, W3C compliance, and search architecture for web applications.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concept visualization and application flows,:</w:t>
      </w:r>
      <w:r>
        <w:rPr>
          <w:rFonts w:ascii="Arial" w:hAnsi="Arial" w:cs="Arial"/>
          <w:color w:val="2D3748"/>
          <w:sz w:val="19"/>
          <w:szCs w:val="19"/>
        </w:rPr>
        <w:t xml:space="preserve">translating business requirements into intuitive UI designs and interactive web experiences.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Spearheaded client-side R&amp;D:</w:t>
      </w:r>
      <w:r>
        <w:rPr>
          <w:rFonts w:ascii="Arial" w:hAnsi="Arial" w:cs="Arial"/>
          <w:color w:val="2D3748"/>
          <w:sz w:val="19"/>
          <w:szCs w:val="19"/>
        </w:rPr>
        <w:t xml:space="preserve">on emerging web technologies and established implementation standards across project teams.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Vadodara, Gujarat,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Designed, developed, and maintained client portals:</w:t>
      </w:r>
      <w:r>
        <w:rPr>
          <w:rFonts w:ascii="Arial" w:hAnsi="Arial" w:cs="Arial"/>
          <w:color w:val="2D3748"/>
          <w:sz w:val="19"/>
          <w:szCs w:val="19"/>
        </w:rPr>
        <w:t xml:space="preserve">and digital marketing platforms with bespoke software integrations.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W3C-compliant website architectures:</w:t>
      </w:r>
      <w:r>
        <w:rPr>
          <w:rFonts w:ascii="Arial" w:hAnsi="Arial" w:cs="Arial"/>
          <w:color w:val="2D3748"/>
          <w:sz w:val="19"/>
          <w:szCs w:val="19"/>
        </w:rPr>
        <w:t xml:space="preserve">and structured content implementations, ensuring cross-platform browser compatibility.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rich interactive web applications:</w:t>
      </w:r>
      <w:r>
        <w:rPr>
          <w:rFonts w:ascii="Arial" w:hAnsi="Arial" w:cs="Arial"/>
          <w:color w:val="2D3748"/>
          <w:sz w:val="19"/>
          <w:szCs w:val="19"/>
        </w:rPr>
        <w:t xml:space="preserve">and digital media collateral, driving early adoption of standards-based browser technologies.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FoodScan AI (AI Dietary Scanner &amp; Label Decoder):</w:t>
      </w:r>
      <w:r>
        <w:rPr>
          <w:rFonts w:ascii="Arial" w:hAnsi="Arial" w:cs="Arial"/>
          <w:color w:val="2D3748"/>
          <w:sz w:val="19"/>
          <w:szCs w:val="19"/>
        </w:rPr>
        <w:t xml:space="preserve">Mobile AI application officially published on the Google Play Store engineered for conscious travelers (Vegetarian, Jain, Vegan, Celiac gluten-free, and severe allergen sufferers). Leverages dual barcode scanning and multilingual OCR to decode foreign food labels (French, German, Japanese, etc.) and European E-numbers in under one second with deterministic dietary safeguards (play.google.com/store/apps/details?id=in.gen.lets.foodscan | foodscan.lets.gen.in/packaging-marks).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EdgeNonce (Zero-Latency CSP Nonce Streaming Engine):</w:t>
      </w:r>
      <w:r>
        <w:rPr>
          <w:rFonts w:ascii="Arial" w:hAnsi="Arial" w:cs="Arial"/>
          <w:color w:val="2D3748"/>
          <w:sz w:val="19"/>
          <w:szCs w:val="19"/>
        </w:rPr>
        <w:t xml:space="preserve">Enterprise Content Security Policy engine at the network edge deployed on Cloudflare Workers. Injects dynamic 128-bit cryptographic nonces into cached HTML responses via streaming HTMLRewriter in &lt;1.5ms without breaking origin CDN or AEM Dispatcher caching (100% cache retention). Enforces CSP Level 3 and satisfies PCI-DSS v4.0 (6.4.3 &amp; 11.6.1), HIPAA, and GDPR (edge-nonce.com).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Banking, Financial Services, and Insurance (BFSI)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