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20+ years of total experience</w:t>
      </w:r>
      <w:r>
        <w:rPr>
          <w:rFonts w:ascii="Arial" w:hAnsi="Arial" w:cs="Arial"/>
          <w:color w:val="2D3748"/>
          <w:sz w:val="19"/>
          <w:szCs w:val="19"/>
        </w:rPr>
        <w:t xml:space="preserve">, including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13+ years in enterprise BFSI platforms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Sr Programmer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Championed and scaled enterprise-wide adoption of Devin AI and GitHub Copilot: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with sustained under 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Manager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 across distributed enterprise client accounts.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established client-side performance benchmarks, 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rich interactive web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digital media collateral, driving early adoption of standards-based browser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KEY ENTERPRISE &amp; COMPANY PROJECTS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Autonomous Non-AEM to AEM Migration AI Agent &amp; Integrated VS Code Extension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Lead Architect &amp; AI Platform Lead  |  2024 – Present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Generative AI, Retrieval-Augmented Generation (RAG), Abstract Syntax Tree (AST) Parsing, VS Code Extension API, Adobe Experience Manager (AEM Core Components, HTL, Sling Models), TypeScript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Architecture &amp; Integration: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an enterprise developer productivity platform that pairs an autonomous migration AI agent with a custom Visual Studio Code IDE extension to automate legacy non-AEM component conversion to modern AEM Core Components and Sling Models.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Contextual RAG &amp; AST Pipelines:</w:t>
      </w:r>
      <w:r>
        <w:rPr>
          <w:rFonts w:ascii="Arial" w:hAnsi="Arial" w:cs="Arial"/>
          <w:color w:val="2D3748"/>
          <w:sz w:val="19"/>
          <w:szCs w:val="19"/>
        </w:rPr>
        <w:t xml:space="preserve">Standardized prompt engineering templates and injected repository AST hierarchies directly into developer workflows, programmatically generating production-ready HTL templates, Sling Models, and Touch UI dialogs with automated syntax validation.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Measurable Impact:</w:t>
      </w:r>
      <w:r>
        <w:rPr>
          <w:rFonts w:ascii="Arial" w:hAnsi="Arial" w:cs="Arial"/>
          <w:color w:val="2D3748"/>
          <w:sz w:val="19"/>
          <w:szCs w:val="19"/>
        </w:rPr>
        <w:t xml:space="preserve">Slashed enterprise CMS replatforming timelines by over 60%, eliminated context drift, reduced manual developer translation defects to near zero, and established reusable agentic engineering standards across squads.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Citi InView Digital Banking Platform Modernization &amp; Micro-Frontends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Applications Development Manager &amp; UI Architecture  |  2018 – 2022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React, Next.js, TypeScript, Micro-Frontends (Module Federation), Webpack, Server-Side Rendering (SSR/SSG), TeamCity, IBM UrbanDeploy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Zero-Downtime Micro-Frontend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Modernized Citi's flagship institutional wealth management and digital banking platform (Citi InView) from monolithic legacy codebases into modular, independently deployable Micro-frontends.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Performance &amp; Core Web Vitals:</w:t>
      </w:r>
      <w:r>
        <w:rPr>
          <w:rFonts w:ascii="Arial" w:hAnsi="Arial" w:cs="Arial"/>
          <w:color w:val="2D3748"/>
          <w:sz w:val="19"/>
          <w:szCs w:val="19"/>
        </w:rPr>
        <w:t xml:space="preserve">Engineered route-based code-splitting, tree-shaking, server-side caching, and automated Core Web Vitals telemetry pipelines, delivering up to 50% load-time improvements.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Resilience &amp; Compliance:</w:t>
      </w:r>
      <w:r>
        <w:rPr>
          <w:rFonts w:ascii="Arial" w:hAnsi="Arial" w:cs="Arial"/>
          <w:color w:val="2D3748"/>
          <w:sz w:val="19"/>
          <w:szCs w:val="19"/>
        </w:rPr>
        <w:t xml:space="preserve">Preserved 100% platform availability (zero downtime) throughout multi-year phased migrations, while reducing post-deployment accessibility remediation costs by 60% via automated axe-core and Lighthouse CI pipelines.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Citi InView Real-Time Alerts, Notifications &amp; UI Integration Framework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Senior Engineer / Technical Lead — UI Architecture  |  2013 – 2018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JavaScript (ES6+), InView UI Framework, postMessage Protocol, Secure Iframe Governance, REST APIs, WebSockets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Alerts Engine:</w:t>
      </w:r>
      <w:r>
        <w:rPr>
          <w:rFonts w:ascii="Arial" w:hAnsi="Arial" w:cs="Arial"/>
          <w:color w:val="2D3748"/>
          <w:sz w:val="19"/>
          <w:szCs w:val="19"/>
        </w:rPr>
        <w:t xml:space="preserve">Built and delivered mission-critical Citi InView platform modules, including the high-frequency Alerts &amp; Notifications engine handling real-time account triggers, threshold alerts, and trade execution events for institutional clients worldwide.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UI Framework &amp; Integration Standards:</w:t>
      </w:r>
      <w:r>
        <w:rPr>
          <w:rFonts w:ascii="Arial" w:hAnsi="Arial" w:cs="Arial"/>
          <w:color w:val="2D3748"/>
          <w:sz w:val="19"/>
          <w:szCs w:val="19"/>
        </w:rPr>
        <w:t xml:space="preserve">Engineered the foundational InView UI Framework and standardized postMessage protocol governance for secure cross-domain iframe integration across 6+ product squads.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Measurable Impact:</w:t>
      </w:r>
      <w:r>
        <w:rPr>
          <w:rFonts w:ascii="Arial" w:hAnsi="Arial" w:cs="Arial"/>
          <w:color w:val="2D3748"/>
          <w:sz w:val="19"/>
          <w:szCs w:val="19"/>
        </w:rPr>
        <w:t xml:space="preserve">Reduced cross-platform integration complexity by 40%, accelerated feature release velocity, and established reusable component benchmarks across the engineering organization.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Enterprise CMS Modernization (OpenText TeamSite to AEM) &amp; Cloud Intranet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Applications Development Sr Programmer Analyst  |  2022 – Present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Adobe Experience Manager (AEM 6.5 / Cloud Service), OpenText TeamSite, Angular (v10–v21), Spring Boot 4.x, Docker, OpenShift, GitHub Enterprise, Renovate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CMS Replatforming: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legacy OpenText TeamSite platforms to Adobe Experience Manager (AEM), standardizing multi-brand publishing pipelines, component governance, and authoring workflows.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Angular Modernization &amp; SSR:</w:t>
      </w:r>
      <w:r>
        <w:rPr>
          <w:rFonts w:ascii="Arial" w:hAnsi="Arial" w:cs="Arial"/>
          <w:color w:val="2D3748"/>
          <w:sz w:val="19"/>
          <w:szCs w:val="19"/>
        </w:rPr>
        <w:t xml:space="preserve">Upgraded enterprise intranet applications from Angular 10.x to 21.x across cloud-native microservices, resolving complex Server-Side Rendering (SSR) routing challenges between cloud and legacy modules.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Governance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Led technical transition to GitHub Enterprise with automated Renovate dependency patching, remediated application security vulnerabilities, and upgraded core microservices to Spring Boot 4.x with zero downtime.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Mobile CRM UI Platform &amp; Oracle CRM SOAP Integration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Senior Consultant, CRM UI Architecture  |  2010 – 2013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HTML5, CSS3, JavaScript, Siebel CRM, Oracle CRM SOAP APIs, Google Chrome Optimization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Mobile CRM Architecture:</w:t>
      </w:r>
      <w:r>
        <w:rPr>
          <w:rFonts w:ascii="Arial" w:hAnsi="Arial" w:cs="Arial"/>
          <w:color w:val="2D3748"/>
          <w:sz w:val="19"/>
          <w:szCs w:val="19"/>
        </w:rPr>
        <w:t xml:space="preserve">Architected responsive mobile CRM web applications for enterprise tablets and Google Chrome, significantly boosting field-force productivity across distributed corporate accounts.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API Integration &amp; Usability Auditing:</w:t>
      </w:r>
      <w:r>
        <w:rPr>
          <w:rFonts w:ascii="Arial" w:hAnsi="Arial" w:cs="Arial"/>
          <w:color w:val="2D3748"/>
          <w:sz w:val="19"/>
          <w:szCs w:val="19"/>
        </w:rPr>
        <w:t xml:space="preserve">Developed Oracle CRM API SOAP integrations, established client-side performance benchmarks, and conducted rigorous heuristic UX evaluations and competitive usability testing.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Enterprise Web Client Architecture &amp; Usability Engineering Suite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Module Lead UI Developer &amp; Usability Analyst  |  2007 – 2010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JavaScript, DOM Scripting, Usability Testing, Heuristic Evaluation, Cross-Browser Compatibility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Pod Leadership &amp; Concept Implementation:</w:t>
      </w:r>
      <w:r>
        <w:rPr>
          <w:rFonts w:ascii="Arial" w:hAnsi="Arial" w:cs="Arial"/>
          <w:color w:val="2D3748"/>
          <w:sz w:val="19"/>
          <w:szCs w:val="19"/>
        </w:rPr>
        <w:t xml:space="preserve">Led UI engineering pods translating concept visualizations into robust web client architectures, governing frontend coding benchmarks and W3C standards compliance.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Usability Analysis:</w:t>
      </w:r>
      <w:r>
        <w:rPr>
          <w:rFonts w:ascii="Arial" w:hAnsi="Arial" w:cs="Arial"/>
          <w:color w:val="2D3748"/>
          <w:sz w:val="19"/>
          <w:szCs w:val="19"/>
        </w:rPr>
        <w:t xml:space="preserve">Directed structured usability studies, heuristic UX evaluations, and competitive analysis to streamline application navigation flows and maximize end-user efficiency.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a11ysis (In-Page Live Accessibility Inspector &amp; Triple-Engine Scanner):</w:t>
      </w:r>
      <w:r>
        <w:rPr>
          <w:rFonts w:ascii="Arial" w:hAnsi="Arial" w:cs="Arial"/>
          <w:color w:val="2D3748"/>
          <w:sz w:val="19"/>
          <w:szCs w:val="19"/>
        </w:rPr>
        <w:t xml:space="preserve">Continuous digital accessibility platform engineered to eliminate audit fragmentation and noise. Combines a concurrent triple-engine consensus architecture (IBM Equal Access 4.0, Deque Axe-core 4.10, and HTML_CodeSniffer 2.5) with an interactive, collision-free Shadow DOM HUD that mounts directly onto live web applications via script tag or bookmarklet. Provides on-hover element highlighting, real-time contrast inspection, and actionable code remediation snippets with zero data retention (100% client-side DOM evaluation) across WCAG 2.1/2.2 Levels A/AA/AAA, Section 508, and EN 301 549 (a11ysis.lets.gen.in).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under 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