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Senior Principal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GitHub:</w:t>
      </w:r>
      <w:r>
        <w:rPr>
          <w:rFonts w:ascii="Arial" w:hAnsi="Arial" w:cs="Arial"/>
          <w:color w:val="2B6CB0"/>
          <w:sz w:val="18"/>
          <w:szCs w:val="18"/>
        </w:rPr>
        <w:t xml:space="preserve">github.com/rmsuthar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ravindra.lets.gen.in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Engineering leader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20+ years of total experience</w:t>
      </w:r>
      <w:r>
        <w:rPr>
          <w:rFonts w:ascii="Arial" w:hAnsi="Arial" w:cs="Arial"/>
          <w:color w:val="2D3748"/>
          <w:sz w:val="19"/>
          <w:szCs w:val="19"/>
        </w:rPr>
        <w:t xml:space="preserve">, including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13+ years in enterprise BFSI platforms</w:t>
      </w:r>
      <w:r>
        <w:rPr>
          <w:rFonts w:ascii="Arial" w:hAnsi="Arial" w:cs="Arial"/>
          <w:color w:val="2D3748"/>
          <w:sz w:val="19"/>
          <w:szCs w:val="19"/>
        </w:rPr>
        <w:t xml:space="preserve">steering multi-team engineering organisations through large-scale digital transformation in regulated Banking, Financial Services, and Insurance (BFSI) environments. At Citicorp Services India, progressed through the engineering ladder from Technical Lead to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Senior Principal Architect &amp; Engineering Leader</w:t>
      </w:r>
      <w:r>
        <w:rPr>
          <w:rFonts w:ascii="Arial" w:hAnsi="Arial" w:cs="Arial"/>
          <w:color w:val="2D3748"/>
          <w:sz w:val="19"/>
          <w:szCs w:val="19"/>
        </w:rPr>
        <w:t xml:space="preserve">, building and retaining high-performance squads with sustained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&lt;8% attrition</w:t>
      </w:r>
      <w:r>
        <w:rPr>
          <w:rFonts w:ascii="Arial" w:hAnsi="Arial" w:cs="Arial"/>
          <w:color w:val="2D3748"/>
          <w:sz w:val="19"/>
          <w:szCs w:val="19"/>
        </w:rPr>
        <w:t xml:space="preserve">— a benchmark exceptional in enterprise engineering.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Delivered measurable, executive-visible impact: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60% reduction in migration cycle times</w:t>
      </w:r>
      <w:r>
        <w:rPr>
          <w:rFonts w:ascii="Arial" w:hAnsi="Arial" w:cs="Arial"/>
          <w:color w:val="2D3748"/>
          <w:sz w:val="19"/>
          <w:szCs w:val="19"/>
        </w:rPr>
        <w:t xml:space="preserve">via an autonomous AI agent &amp; integrated VS Code extension;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50% application load-time improvement</w:t>
      </w:r>
      <w:r>
        <w:rPr>
          <w:rFonts w:ascii="Arial" w:hAnsi="Arial" w:cs="Arial"/>
          <w:color w:val="2D3748"/>
          <w:sz w:val="19"/>
          <w:szCs w:val="19"/>
        </w:rPr>
        <w:t xml:space="preserve">through React / Next.js performance engineering;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40% cut in integration complexity</w:t>
      </w:r>
      <w:r>
        <w:rPr>
          <w:rFonts w:ascii="Arial" w:hAnsi="Arial" w:cs="Arial"/>
          <w:color w:val="2D3748"/>
          <w:sz w:val="19"/>
          <w:szCs w:val="19"/>
        </w:rPr>
        <w:t xml:space="preserve">across distributed platforms; and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35% developer effort saved</w:t>
      </w:r>
      <w:r>
        <w:rPr>
          <w:rFonts w:ascii="Arial" w:hAnsi="Arial" w:cs="Arial"/>
          <w:color w:val="2D3748"/>
          <w:sz w:val="19"/>
          <w:szCs w:val="19"/>
        </w:rPr>
        <w:t xml:space="preserve">through AI-augmented workflows (Devin AI, GitHub Copilot). Deep practitioner across micro-frontend architecture, enterprise accessibility (WCAG 2.1/2.2 AA/AAA, ADA, Section 508), and agentic AI developer toolchains.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Optimization, Server-Side Rendering (SSR).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Angular (v10–v21),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Management, GitHub Enterprise (GHE) Migration, Renovate Bot.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CQ5), OpenText TeamSite, Salesforce Integration, Bitbucket, TeamCity, UrbanDeploy.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Acquisition, Organization-Wide Innovation Programs.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Kaltura Player Accessibility, axe-core, Lighthouse CI, NVDA Audits, Content Security Policy (CSP), Zero-Latency Dynamic Edge CSP (EdgeNonce), OWASP Top 10, DOM Runtime Integrity (StateGuard.js), Checkmarx, Vulnerability Remediation.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Local Vector Store RAG, Non-AEM to AEM Migration AI Agent &amp; Integrated VS Code Extension, Enterprise Gemini LLM Integration, Developer Productivity Tooling, Devin AI Autonomous Agents &amp; Automated Pipelines, GitHub Copilot, Enterprise Prompt Engineering, AST Transformation Scripts,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OpenShift, Spring Boot 4.x.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Sr Programmer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2022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enterprise CMS modernisation: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OpenText TeamSite to Adobe Experience Manager (AEM), standardising content authoring workflows, component governance, and multi-brand publishing pipelines across institutional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 with automated validation.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Championed and scaled enterprise-wide adoption of Devin AI and GitHub Copilot: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boilerplate, test scaffolding, and migrations while boosting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cross-functional frontend engineering squads (~12 engineers):</w:t>
      </w:r>
      <w:r>
        <w:rPr>
          <w:rFonts w:ascii="Arial" w:hAnsi="Arial" w:cs="Arial"/>
          <w:color w:val="2D3748"/>
          <w:sz w:val="19"/>
          <w:szCs w:val="19"/>
        </w:rPr>
        <w:t xml:space="preserve">with sustained under 8% attrition through structured 1-on-1s, technical skill ladders, and internal Communities of Practice.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Executive reporting &amp; governance:</w:t>
      </w:r>
      <w:r>
        <w:rPr>
          <w:rFonts w:ascii="Arial" w:hAnsi="Arial" w:cs="Arial"/>
          <w:color w:val="2D3748"/>
          <w:sz w:val="19"/>
          <w:szCs w:val="19"/>
        </w:rPr>
        <w:t xml:space="preserve">Translated multi-quarter engineering roadmaps into C-suite narratives; managed programme risk, release calendar, vendor relationships, and End-of-Vendor-Support (EOVS/EOL) transitions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GenAI Architecture &amp; Local Vector RAG:</w:t>
      </w:r>
      <w:r>
        <w:rPr>
          <w:rFonts w:ascii="Arial" w:hAnsi="Arial" w:cs="Arial"/>
          <w:color w:val="2D3748"/>
          <w:sz w:val="19"/>
          <w:szCs w:val="19"/>
        </w:rPr>
        <w:t xml:space="preserve">Architected enterprise Gemini LLM integrations with offline local vector store RAG for secure contextual retrieval within banking network boundaries. Engineered developer acceleration tools including an automated AEM layout analyzer (screenshot-to-component mapping), Adobe Experience Cloud release tracking across Launch, Analytics, and Target, and automated release validation workflows.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Autonomous Code Remediation &amp; AI Pipelines:</w:t>
      </w:r>
      <w:r>
        <w:rPr>
          <w:rFonts w:ascii="Arial" w:hAnsi="Arial" w:cs="Arial"/>
          <w:color w:val="2D3748"/>
          <w:sz w:val="19"/>
          <w:szCs w:val="19"/>
        </w:rPr>
        <w:t xml:space="preserve">Orchestrated autonomous AI agents (Devin) with scheduled automation pipelines to detect End-of-Vendor-Support (EOVS) components, synthesize automated pull requests, apply framework upgrades, and manage tracking workflows autonomously across institutional banking and CMS applications post-migration.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Strategic Platform Modernization &amp; Angular Ecosystem Upgrade:</w:t>
      </w:r>
      <w:r>
        <w:rPr>
          <w:rFonts w:ascii="Arial" w:hAnsi="Arial" w:cs="Arial"/>
          <w:color w:val="2D3748"/>
          <w:sz w:val="19"/>
          <w:szCs w:val="19"/>
        </w:rPr>
        <w:t xml:space="preserve">Directed enterprise frontend ecosystem modernization, upgrading Angular applications from 10.x to 21.x across cloud-native microservices; resolved complex Server-Side Rendering (SSR) routing challenges between cloud and legacy modules, modernizing enterprise intranet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Source Control Migration &amp; CI/CD Governance:</w:t>
      </w:r>
      <w:r>
        <w:rPr>
          <w:rFonts w:ascii="Arial" w:hAnsi="Arial" w:cs="Arial"/>
          <w:color w:val="2D3748"/>
          <w:sz w:val="19"/>
          <w:szCs w:val="19"/>
        </w:rPr>
        <w:t xml:space="preserve">Assumed technical ownership of enterprise migration to GitHub Enterprise, designing standardized repository structures, integrating automated dependency management (Renovate), and optimizing CI/CD delivery pipelines with zero downtime.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Security &amp; Accessibility Governance (WCAG 2.2 AA):</w:t>
      </w:r>
      <w:r>
        <w:rPr>
          <w:rFonts w:ascii="Arial" w:hAnsi="Arial" w:cs="Arial"/>
          <w:color w:val="2D3748"/>
          <w:sz w:val="19"/>
          <w:szCs w:val="19"/>
        </w:rPr>
        <w:t xml:space="preserve">Governed platform accessibility standards across institutional client platforms, partnering with multimedia vendors to engineer bespoke player fixes for complex WCAG 2.2 AA compliance defects; systematically remediated application security vulnerabilities and static analysis findings across core microservices, including Spring Boot 3.x to 4.x upgrades.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Salesforce Integration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secure Salesforce integrations with enterprise security header compliance for customer engagement channels; engineered automated validation suites verifying API health, container readiness, and cloud deployment statuses, substantially reducing release validation overhead.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Organization-Level Innovation &amp; Technology Mentorship:</w:t>
      </w:r>
      <w:r>
        <w:rPr>
          <w:rFonts w:ascii="Arial" w:hAnsi="Arial" w:cs="Arial"/>
          <w:color w:val="2D3748"/>
          <w:sz w:val="19"/>
          <w:szCs w:val="19"/>
        </w:rPr>
        <w:t xml:space="preserve">Actively contributed to organization-wide innovation programs and hackathons, evaluating and championing transformative engineering ideas and mentoring cross-functional teams across global business units.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Manager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2018 – 2022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2 squads (~8 engineers), ensuring 100% business continuity throughout the multi-phase rollout using Module Federation and npm Workspaces.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 integrated into CI pipelines.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screen-reader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 governance.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Engineer / Technical Lead —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2013 – 2018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BFSI platforms, cutting integration complexity by 40% and accelerating feature time-to-market for global trading and retail banking products.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frontend architecture reference standards:</w:t>
      </w:r>
      <w:r>
        <w:rPr>
          <w:rFonts w:ascii="Arial" w:hAnsi="Arial" w:cs="Arial"/>
          <w:color w:val="2D3748"/>
          <w:sz w:val="19"/>
          <w:szCs w:val="19"/>
        </w:rPr>
        <w:t xml:space="preserve">postMessage protocol governance, and API integration patterns adopted across 6+ product squads.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Built and grew a team of 4–5 frontend engineers:</w:t>
      </w:r>
      <w:r>
        <w:rPr>
          <w:rFonts w:ascii="Arial" w:hAnsi="Arial" w:cs="Arial"/>
          <w:color w:val="2D3748"/>
          <w:sz w:val="19"/>
          <w:szCs w:val="19"/>
        </w:rPr>
        <w:t xml:space="preserve">instituting code review culture, reusable UI component libraries, and cross-browser compatibility benchmarks.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 across distributed enterprise client accounts.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established client-side performance benchmarks, 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rich interactive web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digital media collateral, driving early adoption of standards-based browser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under 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