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frontend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Frontend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Frontend Architect &amp; AI Platform Lead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delivering enterprise Banking, Financial Services, and Insurance (BFSI) platform programmes, with sustained &lt;8%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combining Retrieval-Augmented Generation (RAG), automated prompt engineering, and custom AST parsing scripts to migrate legacy component trees into idiomatic AEM Core Components, HTL templates, and Sling models —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enterprise-wide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executive narratives for C-suite and global stakeholders; managed programme risk, release calendar, and vendor relationships.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Lead Engineer — Frontend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Produced interactive Flash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comprehensive digital media and print marketing collateral.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