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Assistant Vice President — Senior Frontend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https://www.linkedin.com/in/ravindrasuthar/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Tools:</w:t>
      </w:r>
      <w:r>
        <w:rPr>
          <w:rFonts w:ascii="Arial" w:hAnsi="Arial" w:cs="Arial"/>
          <w:color w:val="2B6CB0"/>
          <w:sz w:val="18"/>
          <w:szCs w:val="18"/>
        </w:rPr>
        <w:t xml:space="preserve">https://ravindra.lets.gen.in/tools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Product Engineering Leader and Senior Frontend Architect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17+ years of experience</w:t>
      </w:r>
      <w:r>
        <w:rPr>
          <w:rFonts w:ascii="Arial" w:hAnsi="Arial" w:cs="Arial"/>
          <w:color w:val="2D3748"/>
          <w:sz w:val="19"/>
          <w:szCs w:val="19"/>
        </w:rPr>
        <w:t xml:space="preserve">designing resilient, enterprise-scale web platforms for global BFSI clients. Proven track record of leading multi-team engineering organizations, driving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Workday platform uploads and HRIS integrations</w:t>
      </w:r>
      <w:r>
        <w:rPr>
          <w:rFonts w:ascii="Arial" w:hAnsi="Arial" w:cs="Arial"/>
          <w:color w:val="2D3748"/>
          <w:sz w:val="19"/>
          <w:szCs w:val="19"/>
        </w:rPr>
        <w:t xml:space="preserve">, modernizing legacy systems into zero-downtime micro-frontends, and establishing enterprise accessibility (WCAG 2.1 &amp; 2.2 Level AA/AAA, ADA, Section 508) and client-side security practices.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Deep expertise across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React, Next.js, TypeScript, JavaScript ES6+, micro-frontend architectures, web performance (Core Web Vitals), and generative AI developer workflows (Devin AI, GitHub Copilot)</w:t>
      </w:r>
      <w:r>
        <w:rPr>
          <w:rFonts w:ascii="Arial" w:hAnsi="Arial" w:cs="Arial"/>
          <w:color w:val="2D3748"/>
          <w:sz w:val="19"/>
          <w:szCs w:val="19"/>
        </w:rPr>
        <w:t xml:space="preserve">. Experienced in translating complex technical roadmaps into executive narratives, managing risk, forecasting budgets, and cultivating high-retention engineering cultures (&lt;8% attrition).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Engineering Leadership: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Agile &amp; Scrum Leadership, Certified ScrumMaster (CSM), SDLC Optimization, Workday Platform Uploads, Budget Management, Vendor Management, Talent Acquisition, Coaching &amp; Mentorship.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axe-core, Lighthouse CI, NVDA Audits, Content Security Policy (CSP), Zero-Latency Dynamic Edge CSP (EdgeNonce), OWASP Top 10, DOM Runtime Integrity (StateGuard.js).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Non-AEM to AEM Migration AI Agent &amp; Integrated VS Code Extension, Enterprise Prompt Engineering, AST Transformation Scripts, Devin AI Autonomous Agents, GitHub Copilot, Claude, OpenAI APIs,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Adobe Experience Manager (AEM / CQ5), Workday HRIS.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Assistant Vice President — Frontend Architecture &amp; Engineering Leadership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2013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multi-team squads, ensuring 100% business continuity throughout the multi-phase rollout.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platforms, cutting integration complexity by 40% and accelerating feature time-to-market.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improvements: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Pioneered Devin AI and GitHub Copilot adoption: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 and test scaffolding while accelerating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Managed End-of-Vendor-Support (EOVS/EOL) transitions:</w:t>
      </w:r>
      <w:r>
        <w:rPr>
          <w:rFonts w:ascii="Arial" w:hAnsi="Arial" w:cs="Arial"/>
          <w:color w:val="2D3748"/>
          <w:sz w:val="19"/>
          <w:szCs w:val="19"/>
        </w:rPr>
        <w:t xml:space="preserve">with zero business disruption through strategic migration roadmaps and coordinated cross-functional stakeholder alignments.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Maintained team attrition below 8%:</w:t>
      </w:r>
      <w:r>
        <w:rPr>
          <w:rFonts w:ascii="Arial" w:hAnsi="Arial" w:cs="Arial"/>
          <w:color w:val="2D3748"/>
          <w:sz w:val="19"/>
          <w:szCs w:val="19"/>
        </w:rPr>
        <w:t xml:space="preserve">across engineering squads through structured 1-on-1s, technical skill ladders, and internal Communities of Practice.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Interactive Developer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Sapient</w:t>
      </w:r>
      <w:r>
        <w:rPr>
          <w:rFonts w:ascii="Arial" w:hAnsi="Arial" w:cs="Arial"/>
          <w:color w:val="4A5568"/>
          <w:sz w:val="19"/>
          <w:szCs w:val="19"/>
        </w:rPr>
        <w:t xml:space="preserve">|  Bangalore,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March 2013 – May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Engineered high-performance responsive UI components for retail clients utilizing HTML5, CSS3, and Adobe Experience Manager (AEM / CQ5).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 —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 — UI Development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Led UI engineering pods for enterprise web applications, collaborating closely with senior leadership to govern UI standards and usability lifecycles.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Defined design systems, development standards, SEO architecture, and W3C web compliance.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color w:val="2D3748"/>
          <w:sz w:val="19"/>
          <w:szCs w:val="19"/>
        </w:rPr>
        <w:t xml:space="preserve">Designed and launched compliant web interfaces while conducting R&amp;D on emerging client-side web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BFSI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