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Gujarat Panchang &amp; Automated Broadcast System:</w:t>
      </w:r>
      <w:r>
        <w:rPr>
          <w:rFonts w:ascii="Arial" w:hAnsi="Arial" w:cs="Arial"/>
          <w:color w:val="2D3748"/>
          <w:sz w:val="19"/>
          <w:szCs w:val="19"/>
        </w:rPr>
        <w:t xml:space="preserve">High-precision astronomical calculation engine (Python/PyEphem Lahiri ephemeris math), zero-framework edge web app (Cloudflare Pages), clientside real-time Choghadiya &amp; SVG lunar engine, and unattended headless Playwright WhatsApp Channel distribution (tithi.lets.gen.in).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Digital Table Clock &amp; Calendar PWA:</w:t>
      </w:r>
      <w:r>
        <w:rPr>
          <w:rFonts w:ascii="Arial" w:hAnsi="Arial" w:cs="Arial"/>
          <w:color w:val="2D3748"/>
          <w:sz w:val="19"/>
          <w:szCs w:val="19"/>
        </w:rPr>
        <w:t xml:space="preserve">Lightweight, ultra-crisp desk clock and calendar PWA engineered for vintage hardware upcycling (iPads, Android tablets) with 60 FPS zero-framework performance, OLED true-black power saving, Screen Wake Lock API, and offline Service Worker caching (clock.lets.gen.in).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