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Assistant Vice President — Senior Frontend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https://www.linkedin.com/in/ravindrasuthar/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Tools: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https://ravindra.lets.gen.in/tools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Product Engineering Leader and Senior Frontend Architect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designing resilient, enterprise-scale web platforms for global Banking, Financial Services, and Insurance (BFSI) clients. Proven track record of leading multi-team engineering organizations, driving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Workday platform uploads and HRIS integrations</w:t>
      </w:r>
      <w:r>
        <w:rPr>
          <w:rFonts w:ascii="Arial" w:hAnsi="Arial" w:cs="Arial"/>
          <w:color w:val="2D3748"/>
          <w:sz w:val="19"/>
          <w:szCs w:val="19"/>
        </w:rPr>
        <w:t xml:space="preserve">, modernizing legacy systems into zero-downtime micro-frontends, and establishing enterprise accessibility (WCAG 2.1 &amp; 2.2 Level AA/AAA, ADA, Section 508) and client-side security practices.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Deep expertise across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React, Next.js, TypeScript, JavaScript ES6+, micro-frontend architectures, web performance (Core Web Vitals), and generative AI developer workflows (Devin AI, GitHub Copilot)</w:t>
      </w:r>
      <w:r>
        <w:rPr>
          <w:rFonts w:ascii="Arial" w:hAnsi="Arial" w:cs="Arial"/>
          <w:color w:val="2D3748"/>
          <w:sz w:val="19"/>
          <w:szCs w:val="19"/>
        </w:rPr>
        <w:t xml:space="preserve">. Experienced in translating complex technical roadmaps into executive narratives, managing risk, forecasting budgets, and cultivating high-retention engineering cultures (&lt;8% attrition).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Delivery &amp; Project Governance:</w:t>
      </w:r>
      <w:r>
        <w:rPr>
          <w:rFonts w:ascii="Arial" w:hAnsi="Arial" w:cs="Arial"/>
          <w:color w:val="2D3748"/>
          <w:sz w:val="19"/>
          <w:szCs w:val="19"/>
        </w:rPr>
        <w:t xml:space="preserve">Agile / Scrum / Kanban, Certified ScrumMaster (CSM), SDLC, Release Management, Change Management, Risk &amp; Issue Management, Budget &amp; Resource Planning, Financial Management, Executive Reporting &amp; Governance, Vendor Management.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Tools &amp; PM Platforms:</w:t>
      </w:r>
      <w:r>
        <w:rPr>
          <w:rFonts w:ascii="Arial" w:hAnsi="Arial" w:cs="Arial"/>
          <w:color w:val="2D3748"/>
          <w:sz w:val="19"/>
          <w:szCs w:val="19"/>
        </w:rPr>
        <w:t xml:space="preserve">Jira, OpenShift DevOps, ServiceNow, Clarity, MS Project, GitHub Projects, Workday Platform Uploads, Workday HRIS, Adobe Experience Manager (AEM / CQ5).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Leadership &amp; Key Competencies: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Strategic Thinking, Leadership and Influence, Stakeholder Management, Financial Management, Vendor Management, Communication and Presentation Skills, Decision Making, Conflict Resolution, Team Collaboration and Coaching, Talent Acquisition.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axe-core, Lighthouse CI, NVDA Audits, Content Security Policy (CSP), Zero-Latency Dynamic Edge CSP (EdgeNonce), OWASP Top 10, DOM Runtime Integrity (StateGuard.js).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Non-AEM to AEM Migration AI Agent &amp; Integrated VS Code Extension, Enterprise Prompt Engineering, AST Transformation Scripts, Devin AI Autonomous Agents, GitHub Copilot,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Assistant Vice President, Frontend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2013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Banking, Financial Services, and Insurance (BFSI)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multi-team squads, ensuring 100% business continuity throughout the multi-phase rollout.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platforms, cutting integration complexity by 40% and accelerating feature time-to-market.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improvements: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 and test scaffolding while accelerating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Managed End-of-Vendor-Support (EOVS/EOL) transitions:</w:t>
      </w:r>
      <w:r>
        <w:rPr>
          <w:rFonts w:ascii="Arial" w:hAnsi="Arial" w:cs="Arial"/>
          <w:color w:val="2D3748"/>
          <w:sz w:val="19"/>
          <w:szCs w:val="19"/>
        </w:rPr>
        <w:t xml:space="preserve">with zero business disruption through strategic migration roadmaps and coordinated cross-functional stakeholder alignments.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Maintained team attrition below 8%:</w:t>
      </w:r>
      <w:r>
        <w:rPr>
          <w:rFonts w:ascii="Arial" w:hAnsi="Arial" w:cs="Arial"/>
          <w:color w:val="2D3748"/>
          <w:sz w:val="19"/>
          <w:szCs w:val="19"/>
        </w:rPr>
        <w:t xml:space="preserve">across engineering squads through structured 1-on-1s, technical skill ladders, and internal Communities of Practice.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Interactive Developer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Sapient</w:t>
      </w:r>
      <w:r>
        <w:rPr>
          <w:rFonts w:ascii="Arial" w:hAnsi="Arial" w:cs="Arial"/>
          <w:color w:val="4A5568"/>
          <w:sz w:val="19"/>
          <w:szCs w:val="19"/>
        </w:rPr>
        <w:t xml:space="preserve">|  Bangalore,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March 2013 – May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Engineered high-performance responsive UI components for retail clients utilizing HTML5, CSS3, and Adobe Experience Manager (AEM / CQ5).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Consultant,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Lead, UI Development &amp; Usability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UI engineering pods and concept implementations:</w:t>
      </w:r>
      <w:r>
        <w:rPr>
          <w:rFonts w:ascii="Arial" w:hAnsi="Arial" w:cs="Arial"/>
          <w:color w:val="2D3748"/>
          <w:sz w:val="19"/>
          <w:szCs w:val="19"/>
        </w:rPr>
        <w:t xml:space="preserve">for enterprise web clients, translating product specs into robust architectures and governing client-side standards.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usability studies and heuristic evaluations,:</w:t>
      </w:r>
      <w:r>
        <w:rPr>
          <w:rFonts w:ascii="Arial" w:hAnsi="Arial" w:cs="Arial"/>
          <w:color w:val="2D3748"/>
          <w:sz w:val="19"/>
          <w:szCs w:val="19"/>
        </w:rPr>
        <w:t xml:space="preserve">conducting competitive benchmarking, usability testing, and UX analysis to optimize web clients.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Partnered with organizational leads:</w:t>
      </w:r>
      <w:r>
        <w:rPr>
          <w:rFonts w:ascii="Arial" w:hAnsi="Arial" w:cs="Arial"/>
          <w:color w:val="2D3748"/>
          <w:sz w:val="19"/>
          <w:szCs w:val="19"/>
        </w:rPr>
        <w:t xml:space="preserve">to drive collaborative technical discussions, architectural decisions, design standards, and industry best practices.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Formulated frontend and SEO strategies:</w:t>
      </w:r>
      <w:r>
        <w:rPr>
          <w:rFonts w:ascii="Arial" w:hAnsi="Arial" w:cs="Arial"/>
          <w:color w:val="2D3748"/>
          <w:sz w:val="19"/>
          <w:szCs w:val="19"/>
        </w:rPr>
        <w:t xml:space="preserve">spanning UI/UX design, development standards, W3C compliance, and search architecture for web applications.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concept visualization and application flows,:</w:t>
      </w:r>
      <w:r>
        <w:rPr>
          <w:rFonts w:ascii="Arial" w:hAnsi="Arial" w:cs="Arial"/>
          <w:color w:val="2D3748"/>
          <w:sz w:val="19"/>
          <w:szCs w:val="19"/>
        </w:rPr>
        <w:t xml:space="preserve">translating business requirements into intuitive UI designs and interactive web experiences.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Spearheaded client-side R&amp;D:</w:t>
      </w:r>
      <w:r>
        <w:rPr>
          <w:rFonts w:ascii="Arial" w:hAnsi="Arial" w:cs="Arial"/>
          <w:color w:val="2D3748"/>
          <w:sz w:val="19"/>
          <w:szCs w:val="19"/>
        </w:rPr>
        <w:t xml:space="preserve">on emerging web technologies and established implementation standards across project teams.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Vadodara, Gujarat,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Designed, developed, and maintained client portals:</w:t>
      </w:r>
      <w:r>
        <w:rPr>
          <w:rFonts w:ascii="Arial" w:hAnsi="Arial" w:cs="Arial"/>
          <w:color w:val="2D3748"/>
          <w:sz w:val="19"/>
          <w:szCs w:val="19"/>
        </w:rPr>
        <w:t xml:space="preserve">and digital marketing platforms with bespoke software integrations.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W3C-compliant website architectures:</w:t>
      </w:r>
      <w:r>
        <w:rPr>
          <w:rFonts w:ascii="Arial" w:hAnsi="Arial" w:cs="Arial"/>
          <w:color w:val="2D3748"/>
          <w:sz w:val="19"/>
          <w:szCs w:val="19"/>
        </w:rPr>
        <w:t xml:space="preserve">and structured content implementations, ensuring cross-platform browser compatibility.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Produced interactive Flash applications:</w:t>
      </w:r>
      <w:r>
        <w:rPr>
          <w:rFonts w:ascii="Arial" w:hAnsi="Arial" w:cs="Arial"/>
          <w:color w:val="2D3748"/>
          <w:sz w:val="19"/>
          <w:szCs w:val="19"/>
        </w:rPr>
        <w:t xml:space="preserve">and comprehensive digital media and print marketing collateral.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FoodScan AI (AI Dietary Scanner &amp; Label Decoder):</w:t>
      </w:r>
      <w:r>
        <w:rPr>
          <w:rFonts w:ascii="Arial" w:hAnsi="Arial" w:cs="Arial"/>
          <w:color w:val="2D3748"/>
          <w:sz w:val="19"/>
          <w:szCs w:val="19"/>
        </w:rPr>
        <w:t xml:space="preserve">Mobile AI application officially published on the Google Play Store engineered for conscious travelers (Vegetarian, Jain, Vegan, Celiac gluten-free, and severe allergen sufferers). Leverages dual barcode scanning and multilingual OCR to decode foreign food labels (French, German, Japanese, etc.) and European E-numbers in under one second with deterministic dietary safeguards (play.google.com/store/apps/details?id=in.gen.lets.foodscan | foodscan.lets.gen.in/packaging-marks).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&lt;1.5ms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Banking, Financial Services, and Insurance (BFSI)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