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2.1/2.2 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/ 2.2 AA, Section 508, ADA Compliance, axe-core, Lighthouse CI, NVDA Audits, Content Security Policy (CSP),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Developer Tools &amp; Utilities:</w:t>
      </w:r>
      <w:r>
        <w:rPr>
          <w:rFonts w:ascii="Arial" w:hAnsi="Arial" w:cs="Arial"/>
          <w:color w:val="2D3748"/>
          <w:sz w:val="19"/>
          <w:szCs w:val="19"/>
        </w:rPr>
        <w:t xml:space="preserve">Production-grade client-side developer toolbox and security utilities (https://ravindra.lets.gen.in/tools).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