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Analysis Type: </w:t>
      </w:r>
      <w:r>
        <w:t>Issue Detection</w:t>
        <w:br/>
      </w:r>
      <w:r>
        <w:rPr>
          <w:b/>
        </w:rPr>
        <w:t xml:space="preserve">Date: </w:t>
      </w:r>
      <w:r>
        <w:t>February 11, 2026</w:t>
        <w:br/>
      </w:r>
      <w:r>
        <w:rPr>
          <w:b/>
        </w:rPr>
        <w:t xml:space="preserve">Total Data Points: </w:t>
      </w:r>
      <w:r>
        <w:t>13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100.0%</w:t>
        <w:br/>
      </w:r>
      <w:r>
        <w:rPr>
          <w:b/>
        </w:rPr>
        <w:t xml:space="preserve">• Neutral: </w:t>
      </w:r>
      <w:r>
        <w:t>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✅ **HIGHLY POSITIVE** - Strong public support and favorable sentiment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Facebook: </w:t>
      </w:r>
      <w:r>
        <w:t>13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LLM analysis completed successfully</w:t>
      </w:r>
    </w:p>
    <w:p>
      <w:pPr>
        <w:pStyle w:val="ListNumber"/>
      </w:pPr>
      <w:r>
        <w:t>2. Data shows mixed engagement patterns</w:t>
      </w:r>
    </w:p>
    <w:p>
      <w:pPr>
        <w:pStyle w:val="ListNumber"/>
      </w:pPr>
      <w:r>
        <w:t>3. Malaysian context considered in analysis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Review data quality for better insights</w:t>
      </w:r>
    </w:p>
    <w:p>
      <w:pPr>
        <w:pStyle w:val="ListNumber"/>
      </w:pPr>
      <w:r>
        <w:t>2. Consider expanding data collection</w:t>
      </w:r>
    </w:p>
    <w:p>
      <w:pPr>
        <w:pStyle w:val="ListNumber"/>
      </w:pPr>
      <w:r>
        <w:t>3. Focus on Malaysian market preferences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2026-02-11 12:44:47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