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463F7" w14:textId="77777777" w:rsidR="00911569" w:rsidRPr="003E2A47" w:rsidRDefault="00000000" w:rsidP="003E2A47">
      <w:pPr>
        <w:pStyle w:val="Heading1"/>
        <w:jc w:val="both"/>
        <w:rPr>
          <w:rFonts w:ascii="Times New Roman" w:hAnsi="Times New Roman" w:cs="Times New Roman"/>
          <w:color w:val="000000" w:themeColor="text1"/>
        </w:rPr>
      </w:pPr>
      <w:bookmarkStart w:id="0" w:name="X13402ffe33970ce656198d83c691007df43dff7"/>
      <w:r w:rsidRPr="003E2A47">
        <w:rPr>
          <w:rFonts w:ascii="Times New Roman" w:hAnsi="Times New Roman" w:cs="Times New Roman"/>
          <w:color w:val="000000" w:themeColor="text1"/>
        </w:rPr>
        <w:t>Enterprise Transformation Through Agentic AI: A Framework for Strategic Implementation and Governance</w:t>
      </w:r>
    </w:p>
    <w:p w14:paraId="7F1BD949"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Keywords</w:t>
      </w:r>
      <w:r w:rsidRPr="003E2A47">
        <w:rPr>
          <w:rFonts w:ascii="Times New Roman" w:hAnsi="Times New Roman" w:cs="Times New Roman"/>
          <w:color w:val="000000" w:themeColor="text1"/>
        </w:rPr>
        <w:t>: Agentic AI, Enterprise Transformation, Multi-Agent Systems, AI Governance, Digital Workforce, Autonomous Agents</w:t>
      </w:r>
    </w:p>
    <w:p w14:paraId="6A6BCE90"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0625B338">
          <v:rect id="_x0000_i1040" alt="" style="width:468pt;height:.05pt;mso-width-percent:0;mso-height-percent:0;mso-width-percent:0;mso-height-percent:0" o:hralign="center" o:hrstd="t" o:hr="t"/>
        </w:pict>
      </w:r>
    </w:p>
    <w:p w14:paraId="44E04CB2" w14:textId="77777777" w:rsidR="00911569" w:rsidRPr="003E2A47" w:rsidRDefault="00000000" w:rsidP="003E2A47">
      <w:pPr>
        <w:pStyle w:val="Heading2"/>
        <w:jc w:val="both"/>
        <w:rPr>
          <w:rFonts w:ascii="Times New Roman" w:hAnsi="Times New Roman" w:cs="Times New Roman"/>
          <w:color w:val="000000" w:themeColor="text1"/>
        </w:rPr>
      </w:pPr>
      <w:bookmarkStart w:id="1" w:name="abstract"/>
      <w:r w:rsidRPr="003E2A47">
        <w:rPr>
          <w:rFonts w:ascii="Times New Roman" w:hAnsi="Times New Roman" w:cs="Times New Roman"/>
          <w:color w:val="000000" w:themeColor="text1"/>
        </w:rPr>
        <w:t>ABSTRACT</w:t>
      </w:r>
    </w:p>
    <w:p w14:paraId="6BEB0F18" w14:textId="10B4696D"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The transition from assistive to agentic artificial intelligence represents a fundamental shift in enterprise computing—from systems that answer prompts to autonomous agents that own outcomes. This study presents a comprehensive framework for enterprise agentic AI transformation, synthesizing current market adoption patterns (31% of organizations with agents in production), validated use cases across eight major business functions, and </w:t>
      </w:r>
      <w:r w:rsidR="003E2A47" w:rsidRPr="003E2A47">
        <w:rPr>
          <w:rFonts w:ascii="Times New Roman" w:hAnsi="Times New Roman" w:cs="Times New Roman"/>
          <w:color w:val="000000" w:themeColor="text1"/>
        </w:rPr>
        <w:t>five-stage maturity model spanning pilot implementations</w:t>
      </w:r>
      <w:r w:rsidRPr="003E2A47">
        <w:rPr>
          <w:rFonts w:ascii="Times New Roman" w:hAnsi="Times New Roman" w:cs="Times New Roman"/>
          <w:color w:val="000000" w:themeColor="text1"/>
        </w:rPr>
        <w:t xml:space="preserve"> to autonomous operations. Drawing on 2026 market data showing 80% of enterprise applications now embedding AI agents, we identify a critical execution gap: while agent capability is widely available, only 23% of organizations successfully scale agentic systems across business functions. Through analysis of production deployments (Klarna, ServiceNow, TELUS), we document cycle time reductions of 30-90%, cost-to-serve improvements of 30-50%, and productivity gains of 3-10%. However, 40% of agentic AI projects face cancellation by 2027 due to governance failures, unclear ROI metrics, and uncontrolled costs. This research contributes a reference architecture encompassing five essential layers (experience, orchestration, agent, capability, foundation), comparative framework analysis (LangGraph, CrewAI, AutoGen, Google ADK), and an operating model addressing the primary failure modes: data quality (52% blocker), cost overruns (7× YoY growth), and workforce readiness (only 56% have named owners). We provide a 90-day implementation roadmap, agent-specific KPIs across value/quality/trust/economics dimensions, and regional adaptation guidance for ASEAN markets. The findings demonstrate that agentic AI success depends less on model selection than on organizational readiness—clean accessible data, composable APIs, identity management, evaluation harnesses, and crucially, role evolution from executing work to designing and supervising autonomous systems.</w:t>
      </w:r>
    </w:p>
    <w:p w14:paraId="33AF0208"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0E540907">
          <v:rect id="_x0000_i1039" alt="" style="width:468pt;height:.05pt;mso-width-percent:0;mso-height-percent:0;mso-width-percent:0;mso-height-percent:0" o:hralign="center" o:hrstd="t" o:hr="t"/>
        </w:pict>
      </w:r>
    </w:p>
    <w:p w14:paraId="5BEDBF8D" w14:textId="77777777" w:rsidR="00911569" w:rsidRPr="003E2A47" w:rsidRDefault="00000000" w:rsidP="003E2A47">
      <w:pPr>
        <w:pStyle w:val="Heading2"/>
        <w:jc w:val="both"/>
        <w:rPr>
          <w:rFonts w:ascii="Times New Roman" w:hAnsi="Times New Roman" w:cs="Times New Roman"/>
          <w:color w:val="000000" w:themeColor="text1"/>
        </w:rPr>
      </w:pPr>
      <w:bookmarkStart w:id="2" w:name="introduction"/>
      <w:bookmarkEnd w:id="1"/>
      <w:r w:rsidRPr="003E2A47">
        <w:rPr>
          <w:rFonts w:ascii="Times New Roman" w:hAnsi="Times New Roman" w:cs="Times New Roman"/>
          <w:color w:val="000000" w:themeColor="text1"/>
        </w:rPr>
        <w:t>1. INTRODUCTION</w:t>
      </w:r>
    </w:p>
    <w:p w14:paraId="4ADA6B79" w14:textId="77777777" w:rsidR="00911569" w:rsidRPr="003E2A47" w:rsidRDefault="00000000" w:rsidP="003E2A47">
      <w:pPr>
        <w:pStyle w:val="Heading3"/>
        <w:jc w:val="both"/>
        <w:rPr>
          <w:rFonts w:ascii="Times New Roman" w:hAnsi="Times New Roman" w:cs="Times New Roman"/>
          <w:color w:val="000000" w:themeColor="text1"/>
        </w:rPr>
      </w:pPr>
      <w:bookmarkStart w:id="3" w:name="the-agentic-inflection-point"/>
      <w:r w:rsidRPr="003E2A47">
        <w:rPr>
          <w:rFonts w:ascii="Times New Roman" w:hAnsi="Times New Roman" w:cs="Times New Roman"/>
          <w:color w:val="000000" w:themeColor="text1"/>
        </w:rPr>
        <w:t>1.1 The Agentic Inflection Point</w:t>
      </w:r>
    </w:p>
    <w:p w14:paraId="3859E656"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Enterprise artificial intelligence is undergoing a fundamental architectural shift. The dominant paradigm of 2023-2024—large language models deployed as assistive copilots requiring human orchestration for every step—is being superseded by agentic AI systems that pursue goals, execute multi-step workflows, and recover from errors autonomously (Blockchain Council, 2026; MIT Sloan Management Review, 2026). This transition mirrors the evolution from mainframes to client-server, or from monolithic applications to microservices: not merely an incremental improvement, but a change in the unit of computational work.</w:t>
      </w:r>
    </w:p>
    <w:p w14:paraId="6BE641DD"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lastRenderedPageBreak/>
        <w:t xml:space="preserve">Where generative AI gave organizations “a smarter typist,” agentic AI provides a digital workforce capable of perception, planning, action, and learning (Digital Applied, 2026). The market response has been swift: 80% of enterprise applications shipped in Q1 2026 embed at least one AI agent, up from 33% in 2024 (Gartner CIO Survey, 2026). Yet a critical gap persists between </w:t>
      </w:r>
      <w:r w:rsidRPr="003E2A47">
        <w:rPr>
          <w:rFonts w:ascii="Times New Roman" w:hAnsi="Times New Roman" w:cs="Times New Roman"/>
          <w:i/>
          <w:iCs/>
          <w:color w:val="000000" w:themeColor="text1"/>
        </w:rPr>
        <w:t>embedding</w:t>
      </w:r>
      <w:r w:rsidRPr="003E2A47">
        <w:rPr>
          <w:rFonts w:ascii="Times New Roman" w:hAnsi="Times New Roman" w:cs="Times New Roman"/>
          <w:color w:val="000000" w:themeColor="text1"/>
        </w:rPr>
        <w:t xml:space="preserve"> and </w:t>
      </w:r>
      <w:r w:rsidRPr="003E2A47">
        <w:rPr>
          <w:rFonts w:ascii="Times New Roman" w:hAnsi="Times New Roman" w:cs="Times New Roman"/>
          <w:i/>
          <w:iCs/>
          <w:color w:val="000000" w:themeColor="text1"/>
        </w:rPr>
        <w:t>operationalizing</w:t>
      </w:r>
      <w:r w:rsidRPr="003E2A47">
        <w:rPr>
          <w:rFonts w:ascii="Times New Roman" w:hAnsi="Times New Roman" w:cs="Times New Roman"/>
          <w:color w:val="000000" w:themeColor="text1"/>
        </w:rPr>
        <w:t>: only 31% of organizations report agents in production, and merely 23% have scaled agentic AI across any business function (McKinsey State of AI, 2026).</w:t>
      </w:r>
    </w:p>
    <w:p w14:paraId="7B79A634" w14:textId="77777777" w:rsidR="00911569" w:rsidRPr="003E2A47" w:rsidRDefault="00000000" w:rsidP="003E2A47">
      <w:pPr>
        <w:pStyle w:val="Heading3"/>
        <w:jc w:val="both"/>
        <w:rPr>
          <w:rFonts w:ascii="Times New Roman" w:hAnsi="Times New Roman" w:cs="Times New Roman"/>
          <w:color w:val="000000" w:themeColor="text1"/>
        </w:rPr>
      </w:pPr>
      <w:bookmarkStart w:id="4" w:name="research-motivation-and-contribution"/>
      <w:bookmarkEnd w:id="3"/>
      <w:r w:rsidRPr="003E2A47">
        <w:rPr>
          <w:rFonts w:ascii="Times New Roman" w:hAnsi="Times New Roman" w:cs="Times New Roman"/>
          <w:color w:val="000000" w:themeColor="text1"/>
        </w:rPr>
        <w:t>1.2 Research Motivation and Contribution</w:t>
      </w:r>
    </w:p>
    <w:p w14:paraId="04EA20E4"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This gap between availability and adoption is not technical—the frameworks exist, the models are capable, and successful deployments are documented. The gap is organizational: governance models inadequate for autonomous systems, KPIs inherited from manual processes, workforce roles undefined, and data quality assumptions violated at scale. Forty percent of agentic AI projects are projected to be canceled by 2027, primarily due to governance failures and unclear return on investment (Gartner Hype Cycle for Agentic AI, 2026).</w:t>
      </w:r>
    </w:p>
    <w:p w14:paraId="24FC7205"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This research addresses that gap through:</w:t>
      </w:r>
    </w:p>
    <w:p w14:paraId="03AEDD39" w14:textId="77777777" w:rsidR="00911569" w:rsidRPr="003E2A47" w:rsidRDefault="00000000" w:rsidP="003E2A47">
      <w:pPr>
        <w:pStyle w:val="Compact"/>
        <w:numPr>
          <w:ilvl w:val="0"/>
          <w:numId w:val="2"/>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 definitional framework</w:t>
      </w:r>
      <w:r w:rsidRPr="003E2A47">
        <w:rPr>
          <w:rFonts w:ascii="Times New Roman" w:hAnsi="Times New Roman" w:cs="Times New Roman"/>
          <w:color w:val="000000" w:themeColor="text1"/>
        </w:rPr>
        <w:t xml:space="preserve"> distinguishing agentic AI from rule-based automation (RPA) and single-turn generative AI assistants</w:t>
      </w:r>
    </w:p>
    <w:p w14:paraId="6669780C" w14:textId="77777777" w:rsidR="00911569" w:rsidRPr="003E2A47" w:rsidRDefault="00000000" w:rsidP="003E2A47">
      <w:pPr>
        <w:pStyle w:val="Compact"/>
        <w:numPr>
          <w:ilvl w:val="0"/>
          <w:numId w:val="2"/>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 reference architecture</w:t>
      </w:r>
      <w:r w:rsidRPr="003E2A47">
        <w:rPr>
          <w:rFonts w:ascii="Times New Roman" w:hAnsi="Times New Roman" w:cs="Times New Roman"/>
          <w:color w:val="000000" w:themeColor="text1"/>
        </w:rPr>
        <w:t xml:space="preserve"> specifying the five essential layers every production agent system requires</w:t>
      </w:r>
    </w:p>
    <w:p w14:paraId="772F41DE" w14:textId="77777777" w:rsidR="00911569" w:rsidRPr="003E2A47" w:rsidRDefault="00000000" w:rsidP="003E2A47">
      <w:pPr>
        <w:pStyle w:val="Compact"/>
        <w:numPr>
          <w:ilvl w:val="0"/>
          <w:numId w:val="2"/>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 maturity model</w:t>
      </w:r>
      <w:r w:rsidRPr="003E2A47">
        <w:rPr>
          <w:rFonts w:ascii="Times New Roman" w:hAnsi="Times New Roman" w:cs="Times New Roman"/>
          <w:color w:val="000000" w:themeColor="text1"/>
        </w:rPr>
        <w:t xml:space="preserve"> mapping the progression from assistive copilots to autonomous enterprise operations</w:t>
      </w:r>
    </w:p>
    <w:p w14:paraId="6AFED5DC" w14:textId="77777777" w:rsidR="00911569" w:rsidRPr="003E2A47" w:rsidRDefault="00000000" w:rsidP="003E2A47">
      <w:pPr>
        <w:pStyle w:val="Compact"/>
        <w:numPr>
          <w:ilvl w:val="0"/>
          <w:numId w:val="2"/>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 governance stack</w:t>
      </w:r>
      <w:r w:rsidRPr="003E2A47">
        <w:rPr>
          <w:rFonts w:ascii="Times New Roman" w:hAnsi="Times New Roman" w:cs="Times New Roman"/>
          <w:color w:val="000000" w:themeColor="text1"/>
        </w:rPr>
        <w:t xml:space="preserve"> scaling with system autonomy, addressing the primary failure modes</w:t>
      </w:r>
    </w:p>
    <w:p w14:paraId="4D5F4EA2" w14:textId="77777777" w:rsidR="00911569" w:rsidRPr="003E2A47" w:rsidRDefault="00000000" w:rsidP="003E2A47">
      <w:pPr>
        <w:pStyle w:val="Compact"/>
        <w:numPr>
          <w:ilvl w:val="0"/>
          <w:numId w:val="2"/>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An implementation roadmap</w:t>
      </w:r>
      <w:r w:rsidRPr="003E2A47">
        <w:rPr>
          <w:rFonts w:ascii="Times New Roman" w:hAnsi="Times New Roman" w:cs="Times New Roman"/>
          <w:color w:val="000000" w:themeColor="text1"/>
        </w:rPr>
        <w:t xml:space="preserve"> with agent-specific KPIs, framework selection criteria, and regional adaptation guidance</w:t>
      </w:r>
    </w:p>
    <w:p w14:paraId="5C58847A" w14:textId="77777777" w:rsidR="00911569" w:rsidRPr="003E2A47" w:rsidRDefault="00000000" w:rsidP="003E2A47">
      <w:pPr>
        <w:pStyle w:val="Heading3"/>
        <w:jc w:val="both"/>
        <w:rPr>
          <w:rFonts w:ascii="Times New Roman" w:hAnsi="Times New Roman" w:cs="Times New Roman"/>
          <w:color w:val="000000" w:themeColor="text1"/>
        </w:rPr>
      </w:pPr>
      <w:bookmarkStart w:id="5" w:name="market-context-and-scope"/>
      <w:bookmarkEnd w:id="4"/>
      <w:r w:rsidRPr="003E2A47">
        <w:rPr>
          <w:rFonts w:ascii="Times New Roman" w:hAnsi="Times New Roman" w:cs="Times New Roman"/>
          <w:color w:val="000000" w:themeColor="text1"/>
        </w:rPr>
        <w:t>1.3 Market Context and Scope</w:t>
      </w:r>
    </w:p>
    <w:p w14:paraId="4ADF1E2D"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The agentic AI market is projected to grow at a 43%+ compound annual growth rate through 2030, potentially capturing $450 billion of enterprise application revenue by 2035 in Gartner’s best-case scenario (Gartner, 2026). Yet this growth trajectory assumes resolution of current blockers: 52% of organizations cite data quality as the primary obstacle, 40% face cost overruns (token spend growing 7× year-over-year), and only 21% possess mature governance models for autonomous systems (Digital Applied, 2026).</w:t>
      </w:r>
    </w:p>
    <w:p w14:paraId="6C9586BA"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This study focuses on </w:t>
      </w:r>
      <w:r w:rsidRPr="003E2A47">
        <w:rPr>
          <w:rFonts w:ascii="Times New Roman" w:hAnsi="Times New Roman" w:cs="Times New Roman"/>
          <w:i/>
          <w:iCs/>
          <w:color w:val="000000" w:themeColor="text1"/>
        </w:rPr>
        <w:t>enterprise</w:t>
      </w:r>
      <w:r w:rsidRPr="003E2A47">
        <w:rPr>
          <w:rFonts w:ascii="Times New Roman" w:hAnsi="Times New Roman" w:cs="Times New Roman"/>
          <w:color w:val="000000" w:themeColor="text1"/>
        </w:rPr>
        <w:t xml:space="preserve"> agentic AI—systems deployed within organizational boundaries, governed by corporate policy, integrated with systems of record, and accountable to defined business metrics. Consumer-facing agents, academic research prototypes, and pure R&amp;D platforms are excluded from scope, though the frameworks presented are adaptable to those contexts.</w:t>
      </w:r>
    </w:p>
    <w:p w14:paraId="3F5E7A5E"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055BA9E5">
          <v:rect id="_x0000_i1038" alt="" style="width:468pt;height:.05pt;mso-width-percent:0;mso-height-percent:0;mso-width-percent:0;mso-height-percent:0" o:hralign="center" o:hrstd="t" o:hr="t"/>
        </w:pict>
      </w:r>
    </w:p>
    <w:p w14:paraId="26893819" w14:textId="77777777" w:rsidR="00911569" w:rsidRPr="003E2A47" w:rsidRDefault="00000000" w:rsidP="003E2A47">
      <w:pPr>
        <w:pStyle w:val="Heading2"/>
        <w:jc w:val="both"/>
        <w:rPr>
          <w:rFonts w:ascii="Times New Roman" w:hAnsi="Times New Roman" w:cs="Times New Roman"/>
          <w:color w:val="000000" w:themeColor="text1"/>
        </w:rPr>
      </w:pPr>
      <w:bookmarkStart w:id="6" w:name="Xb6df2b924175b7e4c89de18ba32c34b5e4e8d09"/>
      <w:bookmarkEnd w:id="2"/>
      <w:bookmarkEnd w:id="5"/>
      <w:r w:rsidRPr="003E2A47">
        <w:rPr>
          <w:rFonts w:ascii="Times New Roman" w:hAnsi="Times New Roman" w:cs="Times New Roman"/>
          <w:color w:val="000000" w:themeColor="text1"/>
        </w:rPr>
        <w:lastRenderedPageBreak/>
        <w:t>2. LITERATURE REVIEW AND CONCEPTUAL FOUNDATIONS</w:t>
      </w:r>
    </w:p>
    <w:p w14:paraId="7939E9A6" w14:textId="77777777" w:rsidR="00911569" w:rsidRPr="003E2A47" w:rsidRDefault="00000000" w:rsidP="003E2A47">
      <w:pPr>
        <w:pStyle w:val="Heading3"/>
        <w:jc w:val="both"/>
        <w:rPr>
          <w:rFonts w:ascii="Times New Roman" w:hAnsi="Times New Roman" w:cs="Times New Roman"/>
          <w:color w:val="000000" w:themeColor="text1"/>
        </w:rPr>
      </w:pPr>
      <w:bookmarkStart w:id="7" w:name="defining-agentic-ai"/>
      <w:r w:rsidRPr="003E2A47">
        <w:rPr>
          <w:rFonts w:ascii="Times New Roman" w:hAnsi="Times New Roman" w:cs="Times New Roman"/>
          <w:color w:val="000000" w:themeColor="text1"/>
        </w:rPr>
        <w:t>2.1 Defining Agentic AI</w:t>
      </w:r>
    </w:p>
    <w:p w14:paraId="3DC58BF4"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The term “agentic AI” lacks consensus definition in current literature. We adopt the framework proposed by Blockchain Council (2026) and MIT Sloan (Aral, 2026), defining agentic systems through four distinguishing characteristics:</w:t>
      </w:r>
    </w:p>
    <w:p w14:paraId="5E96D2DA"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Goal-directed behavior</w:t>
      </w:r>
      <w:r w:rsidRPr="003E2A47">
        <w:rPr>
          <w:rFonts w:ascii="Times New Roman" w:hAnsi="Times New Roman" w:cs="Times New Roman"/>
          <w:color w:val="000000" w:themeColor="text1"/>
        </w:rPr>
        <w:t>: Agents pursue defined outcomes rather than generating single responses. Where an assistant answers “What is the status of invoice #12345?”, an agent resolves “Ensure invoice #12345 is paid within terms”—a goal that may require querying systems, identifying discrepancies, contacting vendors, and updating records.</w:t>
      </w:r>
    </w:p>
    <w:p w14:paraId="5B23CC69"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Tool-using capability</w:t>
      </w:r>
      <w:r w:rsidRPr="003E2A47">
        <w:rPr>
          <w:rFonts w:ascii="Times New Roman" w:hAnsi="Times New Roman" w:cs="Times New Roman"/>
          <w:color w:val="000000" w:themeColor="text1"/>
        </w:rPr>
        <w:t>: Agents natively execute function calls, API invocations, database queries, and code. Tool use is not an optional plug-in but fundamental to agent operation.</w:t>
      </w:r>
    </w:p>
    <w:p w14:paraId="0765C279"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Multi-step planning</w:t>
      </w:r>
      <w:r w:rsidRPr="003E2A47">
        <w:rPr>
          <w:rFonts w:ascii="Times New Roman" w:hAnsi="Times New Roman" w:cs="Times New Roman"/>
          <w:color w:val="000000" w:themeColor="text1"/>
        </w:rPr>
        <w:t>: Agents decompose goals into sub-tasks, branch on conditional logic, retry on failure, and recover from errors. Planning is continuous and adaptive, not pre-scripted.</w:t>
      </w:r>
    </w:p>
    <w:p w14:paraId="65E245C4"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Collaborative orchestration</w:t>
      </w:r>
      <w:r w:rsidRPr="003E2A47">
        <w:rPr>
          <w:rFonts w:ascii="Times New Roman" w:hAnsi="Times New Roman" w:cs="Times New Roman"/>
          <w:color w:val="000000" w:themeColor="text1"/>
        </w:rPr>
        <w:t>: Specialized agents coordinate through supervisor architectures, sharing memory and delegating tasks. Multi-agent systems mirror microservices patterns in software architecture.</w:t>
      </w:r>
    </w:p>
    <w:p w14:paraId="349B57AE"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This definition distinguishes agentic AI from two adjacent categories:</w:t>
      </w:r>
    </w:p>
    <w:p w14:paraId="467F8221"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Rule-Based Automation (RPA/Workflow)</w:t>
      </w:r>
      <w:r w:rsidRPr="003E2A47">
        <w:rPr>
          <w:rFonts w:ascii="Times New Roman" w:hAnsi="Times New Roman" w:cs="Times New Roman"/>
          <w:color w:val="000000" w:themeColor="text1"/>
        </w:rPr>
        <w:t>: Deterministic scripts operating on structured data with zero reasoning or adaptation. RPA systems break when user interfaces or data schemas change, making them brittle for dynamic environments. Best fit: invoice posting, screen scraping, deterministic workflows.</w:t>
      </w:r>
    </w:p>
    <w:p w14:paraId="24B0169D"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Single-Turn Generative AI (Assistants)</w:t>
      </w:r>
      <w:r w:rsidRPr="003E2A47">
        <w:rPr>
          <w:rFonts w:ascii="Times New Roman" w:hAnsi="Times New Roman" w:cs="Times New Roman"/>
          <w:color w:val="000000" w:themeColor="text1"/>
        </w:rPr>
        <w:t>: Prompt-response systems where reasoning is limited to one exchange and humans orchestrate all subsequent steps. Tools are optional extensions, not core capabilities. Best fit: drafting, summarization, question-answering, creative content generation.</w:t>
      </w:r>
    </w:p>
    <w:p w14:paraId="12604AB9"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Agentic AI occupies a third category: autonomous goal pursuit with persistent memory, native tool execution, and self-directed planning. The value unit shifts from </w:t>
      </w:r>
      <w:r w:rsidRPr="003E2A47">
        <w:rPr>
          <w:rFonts w:ascii="Times New Roman" w:hAnsi="Times New Roman" w:cs="Times New Roman"/>
          <w:i/>
          <w:iCs/>
          <w:color w:val="000000" w:themeColor="text1"/>
        </w:rPr>
        <w:t>productivity per user</w:t>
      </w:r>
      <w:r w:rsidRPr="003E2A47">
        <w:rPr>
          <w:rFonts w:ascii="Times New Roman" w:hAnsi="Times New Roman" w:cs="Times New Roman"/>
          <w:color w:val="000000" w:themeColor="text1"/>
        </w:rPr>
        <w:t xml:space="preserve"> (assistants) to </w:t>
      </w:r>
      <w:r w:rsidRPr="003E2A47">
        <w:rPr>
          <w:rFonts w:ascii="Times New Roman" w:hAnsi="Times New Roman" w:cs="Times New Roman"/>
          <w:i/>
          <w:iCs/>
          <w:color w:val="000000" w:themeColor="text1"/>
        </w:rPr>
        <w:t>outcomes per workflow</w:t>
      </w:r>
      <w:r w:rsidRPr="003E2A47">
        <w:rPr>
          <w:rFonts w:ascii="Times New Roman" w:hAnsi="Times New Roman" w:cs="Times New Roman"/>
          <w:color w:val="000000" w:themeColor="text1"/>
        </w:rPr>
        <w:t xml:space="preserve"> (agents).</w:t>
      </w:r>
    </w:p>
    <w:p w14:paraId="131F4BD7" w14:textId="77777777" w:rsidR="00911569" w:rsidRPr="003E2A47" w:rsidRDefault="00000000" w:rsidP="003E2A47">
      <w:pPr>
        <w:pStyle w:val="Heading3"/>
        <w:jc w:val="both"/>
        <w:rPr>
          <w:rFonts w:ascii="Times New Roman" w:hAnsi="Times New Roman" w:cs="Times New Roman"/>
          <w:color w:val="000000" w:themeColor="text1"/>
        </w:rPr>
      </w:pPr>
      <w:bookmarkStart w:id="8" w:name="Xc5c34cc6b5de450f441a34fe026bf58cd0e6e43"/>
      <w:bookmarkEnd w:id="7"/>
      <w:r w:rsidRPr="003E2A47">
        <w:rPr>
          <w:rFonts w:ascii="Times New Roman" w:hAnsi="Times New Roman" w:cs="Times New Roman"/>
          <w:color w:val="000000" w:themeColor="text1"/>
        </w:rPr>
        <w:t>2.2 Theoretical Foundations: From Assistive to Autonomous</w:t>
      </w:r>
    </w:p>
    <w:p w14:paraId="32AD2629"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The transition from assistive to agentic AI parallels the evolution of software architecture over the past four decades:</w:t>
      </w:r>
    </w:p>
    <w:tbl>
      <w:tblPr>
        <w:tblStyle w:val="Table"/>
        <w:tblW w:w="5000" w:type="pct"/>
        <w:tblLayout w:type="fixed"/>
        <w:tblLook w:val="0020" w:firstRow="1" w:lastRow="0" w:firstColumn="0" w:lastColumn="0" w:noHBand="0" w:noVBand="0"/>
      </w:tblPr>
      <w:tblGrid>
        <w:gridCol w:w="1817"/>
        <w:gridCol w:w="2311"/>
        <w:gridCol w:w="1981"/>
        <w:gridCol w:w="3467"/>
      </w:tblGrid>
      <w:tr w:rsidR="00911569" w:rsidRPr="003E2A47" w14:paraId="09A66178" w14:textId="77777777" w:rsidTr="00911569">
        <w:trPr>
          <w:cnfStyle w:val="100000000000" w:firstRow="1" w:lastRow="0" w:firstColumn="0" w:lastColumn="0" w:oddVBand="0" w:evenVBand="0" w:oddHBand="0" w:evenHBand="0" w:firstRowFirstColumn="0" w:firstRowLastColumn="0" w:lastRowFirstColumn="0" w:lastRowLastColumn="0"/>
          <w:tblHeader/>
        </w:trPr>
        <w:tc>
          <w:tcPr>
            <w:tcW w:w="1502" w:type="dxa"/>
          </w:tcPr>
          <w:p w14:paraId="379DCF6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Dimension</w:t>
            </w:r>
          </w:p>
        </w:tc>
        <w:tc>
          <w:tcPr>
            <w:tcW w:w="1911" w:type="dxa"/>
          </w:tcPr>
          <w:p w14:paraId="3C2B9550"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Assistive AI</w:t>
            </w:r>
          </w:p>
        </w:tc>
        <w:tc>
          <w:tcPr>
            <w:tcW w:w="1638" w:type="dxa"/>
          </w:tcPr>
          <w:p w14:paraId="6F0BFC8B"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Agentic AI</w:t>
            </w:r>
          </w:p>
        </w:tc>
        <w:tc>
          <w:tcPr>
            <w:tcW w:w="2867" w:type="dxa"/>
          </w:tcPr>
          <w:p w14:paraId="39E46293"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Architectural Analog</w:t>
            </w:r>
          </w:p>
        </w:tc>
      </w:tr>
      <w:tr w:rsidR="00911569" w:rsidRPr="003E2A47" w14:paraId="47B7AD96" w14:textId="77777777">
        <w:tc>
          <w:tcPr>
            <w:tcW w:w="1502" w:type="dxa"/>
          </w:tcPr>
          <w:p w14:paraId="4EF5F7A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Interaction</w:t>
            </w:r>
          </w:p>
        </w:tc>
        <w:tc>
          <w:tcPr>
            <w:tcW w:w="1911" w:type="dxa"/>
          </w:tcPr>
          <w:p w14:paraId="4D2BCC2A"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One-shot prompt/reply</w:t>
            </w:r>
          </w:p>
        </w:tc>
        <w:tc>
          <w:tcPr>
            <w:tcW w:w="1638" w:type="dxa"/>
          </w:tcPr>
          <w:p w14:paraId="24444E10"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Continuous goal pursuit</w:t>
            </w:r>
          </w:p>
        </w:tc>
        <w:tc>
          <w:tcPr>
            <w:tcW w:w="2867" w:type="dxa"/>
          </w:tcPr>
          <w:p w14:paraId="6B737761"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Request-response → Event-driven</w:t>
            </w:r>
          </w:p>
        </w:tc>
      </w:tr>
      <w:tr w:rsidR="00911569" w:rsidRPr="003E2A47" w14:paraId="2AB81728" w14:textId="77777777">
        <w:tc>
          <w:tcPr>
            <w:tcW w:w="1502" w:type="dxa"/>
          </w:tcPr>
          <w:p w14:paraId="6C8B3C2A"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Memory</w:t>
            </w:r>
          </w:p>
        </w:tc>
        <w:tc>
          <w:tcPr>
            <w:tcW w:w="1911" w:type="dxa"/>
          </w:tcPr>
          <w:p w14:paraId="34900DF2"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Stateless context window</w:t>
            </w:r>
          </w:p>
        </w:tc>
        <w:tc>
          <w:tcPr>
            <w:tcW w:w="1638" w:type="dxa"/>
          </w:tcPr>
          <w:p w14:paraId="1573CBF7"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Persistent + episodic</w:t>
            </w:r>
          </w:p>
        </w:tc>
        <w:tc>
          <w:tcPr>
            <w:tcW w:w="2867" w:type="dxa"/>
          </w:tcPr>
          <w:p w14:paraId="16648E69"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Stateless HTTP → Session management</w:t>
            </w:r>
          </w:p>
        </w:tc>
      </w:tr>
      <w:tr w:rsidR="00911569" w:rsidRPr="003E2A47" w14:paraId="5AAB7F33" w14:textId="77777777">
        <w:tc>
          <w:tcPr>
            <w:tcW w:w="1502" w:type="dxa"/>
          </w:tcPr>
          <w:p w14:paraId="735D182B"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lastRenderedPageBreak/>
              <w:t>Tools</w:t>
            </w:r>
          </w:p>
        </w:tc>
        <w:tc>
          <w:tcPr>
            <w:tcW w:w="1911" w:type="dxa"/>
          </w:tcPr>
          <w:p w14:paraId="55752421"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Optional plug-ins</w:t>
            </w:r>
          </w:p>
        </w:tc>
        <w:tc>
          <w:tcPr>
            <w:tcW w:w="1638" w:type="dxa"/>
          </w:tcPr>
          <w:p w14:paraId="09F7DF3B"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Native API execution</w:t>
            </w:r>
          </w:p>
        </w:tc>
        <w:tc>
          <w:tcPr>
            <w:tcW w:w="2867" w:type="dxa"/>
          </w:tcPr>
          <w:p w14:paraId="053B9ABA"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Monolith → Microservices</w:t>
            </w:r>
          </w:p>
        </w:tc>
      </w:tr>
      <w:tr w:rsidR="00911569" w:rsidRPr="003E2A47" w14:paraId="3101BDA2" w14:textId="77777777">
        <w:tc>
          <w:tcPr>
            <w:tcW w:w="1502" w:type="dxa"/>
          </w:tcPr>
          <w:p w14:paraId="003BB91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Decisioning</w:t>
            </w:r>
          </w:p>
        </w:tc>
        <w:tc>
          <w:tcPr>
            <w:tcW w:w="1911" w:type="dxa"/>
          </w:tcPr>
          <w:p w14:paraId="0E399BD4"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Human selects next step</w:t>
            </w:r>
          </w:p>
        </w:tc>
        <w:tc>
          <w:tcPr>
            <w:tcW w:w="1638" w:type="dxa"/>
          </w:tcPr>
          <w:p w14:paraId="531BC505"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Agent plans next step</w:t>
            </w:r>
          </w:p>
        </w:tc>
        <w:tc>
          <w:tcPr>
            <w:tcW w:w="2867" w:type="dxa"/>
          </w:tcPr>
          <w:p w14:paraId="6B623114"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Manual deployment → CI/CD</w:t>
            </w:r>
          </w:p>
        </w:tc>
      </w:tr>
      <w:tr w:rsidR="00911569" w:rsidRPr="003E2A47" w14:paraId="074777FF" w14:textId="77777777">
        <w:tc>
          <w:tcPr>
            <w:tcW w:w="1502" w:type="dxa"/>
          </w:tcPr>
          <w:p w14:paraId="2AD4C2F3"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Failure mode</w:t>
            </w:r>
          </w:p>
        </w:tc>
        <w:tc>
          <w:tcPr>
            <w:tcW w:w="1911" w:type="dxa"/>
          </w:tcPr>
          <w:p w14:paraId="3F47A89D"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Wrong answer</w:t>
            </w:r>
          </w:p>
        </w:tc>
        <w:tc>
          <w:tcPr>
            <w:tcW w:w="1638" w:type="dxa"/>
          </w:tcPr>
          <w:p w14:paraId="3B1C5BB0"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Recovers, retries, escalates</w:t>
            </w:r>
          </w:p>
        </w:tc>
        <w:tc>
          <w:tcPr>
            <w:tcW w:w="2867" w:type="dxa"/>
          </w:tcPr>
          <w:p w14:paraId="49F641C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Hard failure → Circuit breakers</w:t>
            </w:r>
          </w:p>
        </w:tc>
      </w:tr>
      <w:tr w:rsidR="00911569" w:rsidRPr="003E2A47" w14:paraId="2CDB0551" w14:textId="77777777">
        <w:tc>
          <w:tcPr>
            <w:tcW w:w="1502" w:type="dxa"/>
          </w:tcPr>
          <w:p w14:paraId="5BD32449"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Value unit</w:t>
            </w:r>
          </w:p>
        </w:tc>
        <w:tc>
          <w:tcPr>
            <w:tcW w:w="1911" w:type="dxa"/>
          </w:tcPr>
          <w:p w14:paraId="4E23FCA1"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Productivity per user</w:t>
            </w:r>
          </w:p>
        </w:tc>
        <w:tc>
          <w:tcPr>
            <w:tcW w:w="1638" w:type="dxa"/>
          </w:tcPr>
          <w:p w14:paraId="559F8CD8"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Outcomes per workflow</w:t>
            </w:r>
          </w:p>
        </w:tc>
        <w:tc>
          <w:tcPr>
            <w:tcW w:w="2867" w:type="dxa"/>
          </w:tcPr>
          <w:p w14:paraId="64EB2AE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Lines of code → Business value</w:t>
            </w:r>
          </w:p>
        </w:tc>
      </w:tr>
    </w:tbl>
    <w:p w14:paraId="6967BCE1"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This architectural lens clarifies why governance models designed for assistive AI fail when applied to agents: the unit of control has changed. Assistive AI requires human approval </w:t>
      </w:r>
      <w:r w:rsidRPr="003E2A47">
        <w:rPr>
          <w:rFonts w:ascii="Times New Roman" w:hAnsi="Times New Roman" w:cs="Times New Roman"/>
          <w:i/>
          <w:iCs/>
          <w:color w:val="000000" w:themeColor="text1"/>
        </w:rPr>
        <w:t>per interaction</w:t>
      </w:r>
      <w:r w:rsidRPr="003E2A47">
        <w:rPr>
          <w:rFonts w:ascii="Times New Roman" w:hAnsi="Times New Roman" w:cs="Times New Roman"/>
          <w:color w:val="000000" w:themeColor="text1"/>
        </w:rPr>
        <w:t xml:space="preserve">; agentic AI requires policy boundaries </w:t>
      </w:r>
      <w:r w:rsidRPr="003E2A47">
        <w:rPr>
          <w:rFonts w:ascii="Times New Roman" w:hAnsi="Times New Roman" w:cs="Times New Roman"/>
          <w:i/>
          <w:iCs/>
          <w:color w:val="000000" w:themeColor="text1"/>
        </w:rPr>
        <w:t>per outcome class</w:t>
      </w:r>
      <w:r w:rsidRPr="003E2A47">
        <w:rPr>
          <w:rFonts w:ascii="Times New Roman" w:hAnsi="Times New Roman" w:cs="Times New Roman"/>
          <w:color w:val="000000" w:themeColor="text1"/>
        </w:rPr>
        <w:t>, with autonomy delegation based on risk tier.</w:t>
      </w:r>
    </w:p>
    <w:p w14:paraId="4BC5F661" w14:textId="77777777" w:rsidR="00911569" w:rsidRPr="003E2A47" w:rsidRDefault="00000000" w:rsidP="003E2A47">
      <w:pPr>
        <w:pStyle w:val="Heading3"/>
        <w:jc w:val="both"/>
        <w:rPr>
          <w:rFonts w:ascii="Times New Roman" w:hAnsi="Times New Roman" w:cs="Times New Roman"/>
          <w:color w:val="000000" w:themeColor="text1"/>
        </w:rPr>
      </w:pPr>
      <w:bookmarkStart w:id="9" w:name="multi-agent-orchestration-patterns"/>
      <w:bookmarkEnd w:id="8"/>
      <w:r w:rsidRPr="003E2A47">
        <w:rPr>
          <w:rFonts w:ascii="Times New Roman" w:hAnsi="Times New Roman" w:cs="Times New Roman"/>
          <w:color w:val="000000" w:themeColor="text1"/>
        </w:rPr>
        <w:t>2.3 Multi-Agent Orchestration Patterns</w:t>
      </w:r>
    </w:p>
    <w:p w14:paraId="0489BDA2"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The literature identifies three dominant orchestration patterns for multi-agent systems (arXiv 2508.10146, 2026):</w:t>
      </w:r>
    </w:p>
    <w:p w14:paraId="333CB3E3"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1. Supervisor Architecture</w:t>
      </w:r>
      <w:r w:rsidRPr="003E2A47">
        <w:rPr>
          <w:rFonts w:ascii="Times New Roman" w:hAnsi="Times New Roman" w:cs="Times New Roman"/>
          <w:color w:val="000000" w:themeColor="text1"/>
        </w:rPr>
        <w:t xml:space="preserve"> A planner/router agent delegates tasks to specialized domain agents (research, action, compliance, QA), consolidates results, and manages error recovery. Analogous to microservices orchestration with an API gateway. Strength: centralized control, clear audit trail. Weakness: supervisor becomes bottleneck at scale.</w:t>
      </w:r>
    </w:p>
    <w:p w14:paraId="3ACDE29B"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2. Peer-to-Peer Coordination</w:t>
      </w:r>
      <w:r w:rsidRPr="003E2A47">
        <w:rPr>
          <w:rFonts w:ascii="Times New Roman" w:hAnsi="Times New Roman" w:cs="Times New Roman"/>
          <w:color w:val="000000" w:themeColor="text1"/>
        </w:rPr>
        <w:t xml:space="preserve"> Agents communicate directly, negotiating task allocation through message passing. Analogous to distributed systems with consensus protocols. Strength: horizontal scalability. Weakness: complex debugging, emergent behaviors difficult to predict.</w:t>
      </w:r>
    </w:p>
    <w:p w14:paraId="077B37AB"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3. Hierarchical Decomposition</w:t>
      </w:r>
      <w:r w:rsidRPr="003E2A47">
        <w:rPr>
          <w:rFonts w:ascii="Times New Roman" w:hAnsi="Times New Roman" w:cs="Times New Roman"/>
          <w:color w:val="000000" w:themeColor="text1"/>
        </w:rPr>
        <w:t xml:space="preserve"> Nested supervisor structures where high-level agents delegate to mid-level coordinators who manage execution-level agents. Analogous to organizational hierarchies or nested state machines. Strength: natural fit for complex domains. Weakness: latency compounds through layers.</w:t>
      </w:r>
    </w:p>
    <w:p w14:paraId="1D13490E"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Current production deployments overwhelmingly favor supervisor architectures (Klarna, ServiceNow, TELUS documented cases) due to auditability requirements and human-in-the-loop approval gates (AgentCrew, 2026; MagicSuite, 2026).</w:t>
      </w:r>
    </w:p>
    <w:p w14:paraId="07E65ED4"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19E80222">
          <v:rect id="_x0000_i1037" alt="" style="width:468pt;height:.05pt;mso-width-percent:0;mso-height-percent:0;mso-width-percent:0;mso-height-percent:0" o:hralign="center" o:hrstd="t" o:hr="t"/>
        </w:pict>
      </w:r>
    </w:p>
    <w:p w14:paraId="2BD09C18" w14:textId="77777777" w:rsidR="00911569" w:rsidRPr="003E2A47" w:rsidRDefault="00000000" w:rsidP="003E2A47">
      <w:pPr>
        <w:pStyle w:val="Heading2"/>
        <w:jc w:val="both"/>
        <w:rPr>
          <w:rFonts w:ascii="Times New Roman" w:hAnsi="Times New Roman" w:cs="Times New Roman"/>
          <w:color w:val="000000" w:themeColor="text1"/>
        </w:rPr>
      </w:pPr>
      <w:bookmarkStart w:id="10" w:name="methodology"/>
      <w:bookmarkEnd w:id="6"/>
      <w:bookmarkEnd w:id="9"/>
      <w:r w:rsidRPr="003E2A47">
        <w:rPr>
          <w:rFonts w:ascii="Times New Roman" w:hAnsi="Times New Roman" w:cs="Times New Roman"/>
          <w:color w:val="000000" w:themeColor="text1"/>
        </w:rPr>
        <w:t>3. METHODOLOGY</w:t>
      </w:r>
    </w:p>
    <w:p w14:paraId="7D011D95" w14:textId="77777777" w:rsidR="00911569" w:rsidRPr="003E2A47" w:rsidRDefault="00000000" w:rsidP="003E2A47">
      <w:pPr>
        <w:pStyle w:val="Heading3"/>
        <w:jc w:val="both"/>
        <w:rPr>
          <w:rFonts w:ascii="Times New Roman" w:hAnsi="Times New Roman" w:cs="Times New Roman"/>
          <w:color w:val="000000" w:themeColor="text1"/>
        </w:rPr>
      </w:pPr>
      <w:bookmarkStart w:id="11" w:name="research-design"/>
      <w:r w:rsidRPr="003E2A47">
        <w:rPr>
          <w:rFonts w:ascii="Times New Roman" w:hAnsi="Times New Roman" w:cs="Times New Roman"/>
          <w:color w:val="000000" w:themeColor="text1"/>
        </w:rPr>
        <w:t>3.1 Research Design</w:t>
      </w:r>
    </w:p>
    <w:p w14:paraId="2ED8C74E"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This study synthesizes market data, production case studies, and framework analysis to construct a comprehensive implementation model for enterprise agentic AI. The methodology integrates three complementary approaches:</w:t>
      </w:r>
    </w:p>
    <w:p w14:paraId="4D62BDA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lastRenderedPageBreak/>
        <w:t>Market Analysis</w:t>
      </w:r>
      <w:r w:rsidRPr="003E2A47">
        <w:rPr>
          <w:rFonts w:ascii="Times New Roman" w:hAnsi="Times New Roman" w:cs="Times New Roman"/>
          <w:color w:val="000000" w:themeColor="text1"/>
        </w:rPr>
        <w:t>: Synthesis of 2026 enterprise AI adoption data from Gartner CIO Survey (N=3,000+ organizations), McKinsey State of AI Report, S&amp;P Global Market Intelligence, and Digital Applied industry benchmarks. Focus on deployment rates, scaling patterns, and failure modes.</w:t>
      </w:r>
    </w:p>
    <w:p w14:paraId="601259A0"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Case Study Analysis</w:t>
      </w:r>
      <w:r w:rsidRPr="003E2A47">
        <w:rPr>
          <w:rFonts w:ascii="Times New Roman" w:hAnsi="Times New Roman" w:cs="Times New Roman"/>
          <w:color w:val="000000" w:themeColor="text1"/>
        </w:rPr>
        <w:t>: Documented production deployments across eight business functions (customer service, IT operations, software engineering, finance, HR, manufacturing, healthcare, education) with verified outcome metrics. Primary sources: ServiceNow ($325M documented productivity), Klarna (80% autonomous inquiry handling), TELUS (30% faster code shipping), Fountain (50% faster screening, 2× conversion).</w:t>
      </w:r>
    </w:p>
    <w:p w14:paraId="3B05448A"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Framework Evaluation</w:t>
      </w:r>
      <w:r w:rsidRPr="003E2A47">
        <w:rPr>
          <w:rFonts w:ascii="Times New Roman" w:hAnsi="Times New Roman" w:cs="Times New Roman"/>
          <w:color w:val="000000" w:themeColor="text1"/>
        </w:rPr>
        <w:t>: Comparative analysis of four dominant agentic AI frameworks (LangGraph, CrewAI, AutoGen, Google ADK) across dimensions of control, durability, ease of authoring, and enterprise readiness. Based on arXiv 2508.10146 systematic review and vendor documentation.</w:t>
      </w:r>
    </w:p>
    <w:p w14:paraId="54232DCF" w14:textId="77777777" w:rsidR="00911569" w:rsidRPr="003E2A47" w:rsidRDefault="00000000" w:rsidP="003E2A47">
      <w:pPr>
        <w:pStyle w:val="Heading3"/>
        <w:jc w:val="both"/>
        <w:rPr>
          <w:rFonts w:ascii="Times New Roman" w:hAnsi="Times New Roman" w:cs="Times New Roman"/>
          <w:color w:val="000000" w:themeColor="text1"/>
        </w:rPr>
      </w:pPr>
      <w:bookmarkStart w:id="12" w:name="data-sources-and-validation"/>
      <w:bookmarkEnd w:id="11"/>
      <w:r w:rsidRPr="003E2A47">
        <w:rPr>
          <w:rFonts w:ascii="Times New Roman" w:hAnsi="Times New Roman" w:cs="Times New Roman"/>
          <w:color w:val="000000" w:themeColor="text1"/>
        </w:rPr>
        <w:t>3.2 Data Sources and Validation</w:t>
      </w:r>
    </w:p>
    <w:p w14:paraId="64A14992"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All quantitative claims in this study are traceable to publicly documented sources:</w:t>
      </w:r>
    </w:p>
    <w:p w14:paraId="1A904B0C" w14:textId="77777777" w:rsidR="00911569" w:rsidRPr="003E2A47" w:rsidRDefault="00000000" w:rsidP="003E2A47">
      <w:pPr>
        <w:pStyle w:val="Compact"/>
        <w:numPr>
          <w:ilvl w:val="0"/>
          <w:numId w:val="3"/>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Market adoption rates</w:t>
      </w:r>
      <w:r w:rsidRPr="003E2A47">
        <w:rPr>
          <w:rFonts w:ascii="Times New Roman" w:hAnsi="Times New Roman" w:cs="Times New Roman"/>
          <w:color w:val="000000" w:themeColor="text1"/>
        </w:rPr>
        <w:t>: Gartner CIO Survey 2026, McKinsey State of AI 2026</w:t>
      </w:r>
    </w:p>
    <w:p w14:paraId="2C9BB924" w14:textId="77777777" w:rsidR="00911569" w:rsidRPr="003E2A47" w:rsidRDefault="00000000" w:rsidP="003E2A47">
      <w:pPr>
        <w:pStyle w:val="Compact"/>
        <w:numPr>
          <w:ilvl w:val="0"/>
          <w:numId w:val="3"/>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Production case studies</w:t>
      </w:r>
      <w:r w:rsidRPr="003E2A47">
        <w:rPr>
          <w:rFonts w:ascii="Times New Roman" w:hAnsi="Times New Roman" w:cs="Times New Roman"/>
          <w:color w:val="000000" w:themeColor="text1"/>
        </w:rPr>
        <w:t>: ServiceNow customer success documentation, Klarna engineering blog, TELUS developer portal, Fountain HR case studies</w:t>
      </w:r>
    </w:p>
    <w:p w14:paraId="6D1A733E" w14:textId="77777777" w:rsidR="00911569" w:rsidRPr="003E2A47" w:rsidRDefault="00000000" w:rsidP="003E2A47">
      <w:pPr>
        <w:pStyle w:val="Compact"/>
        <w:numPr>
          <w:ilvl w:val="0"/>
          <w:numId w:val="3"/>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Failure analysis</w:t>
      </w:r>
      <w:r w:rsidRPr="003E2A47">
        <w:rPr>
          <w:rFonts w:ascii="Times New Roman" w:hAnsi="Times New Roman" w:cs="Times New Roman"/>
          <w:color w:val="000000" w:themeColor="text1"/>
        </w:rPr>
        <w:t>: Gartner Hype Cycle for Agentic AI 2026, Digital Applied industry benchmarks</w:t>
      </w:r>
    </w:p>
    <w:p w14:paraId="2AC3F135" w14:textId="77777777" w:rsidR="00911569" w:rsidRPr="003E2A47" w:rsidRDefault="00000000" w:rsidP="003E2A47">
      <w:pPr>
        <w:pStyle w:val="Compact"/>
        <w:numPr>
          <w:ilvl w:val="0"/>
          <w:numId w:val="3"/>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Framework specifications</w:t>
      </w:r>
      <w:r w:rsidRPr="003E2A47">
        <w:rPr>
          <w:rFonts w:ascii="Times New Roman" w:hAnsi="Times New Roman" w:cs="Times New Roman"/>
          <w:color w:val="000000" w:themeColor="text1"/>
        </w:rPr>
        <w:t>: arXiv 2508.10146 (systematic framework review), vendor technical documentation (LangChain, CrewAI, Microsoft, Google)</w:t>
      </w:r>
    </w:p>
    <w:p w14:paraId="3A095672" w14:textId="77777777" w:rsidR="00911569" w:rsidRPr="003E2A47" w:rsidRDefault="00000000" w:rsidP="003E2A47">
      <w:pPr>
        <w:pStyle w:val="Compact"/>
        <w:numPr>
          <w:ilvl w:val="0"/>
          <w:numId w:val="3"/>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ROI metrics</w:t>
      </w:r>
      <w:r w:rsidRPr="003E2A47">
        <w:rPr>
          <w:rFonts w:ascii="Times New Roman" w:hAnsi="Times New Roman" w:cs="Times New Roman"/>
          <w:color w:val="000000" w:themeColor="text1"/>
        </w:rPr>
        <w:t>: Forrester Total Economic Impact studies, vendor-published case studies with verified outcomes</w:t>
      </w:r>
    </w:p>
    <w:p w14:paraId="1346253D"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Where quantitative claims derive from vendor sources, we apply standard validation: cross-reference with independent analyst reports, triangulate with multiple case studies in the same function, and flag where data is unaudited.</w:t>
      </w:r>
    </w:p>
    <w:p w14:paraId="050F5620"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1B99CC03">
          <v:rect id="_x0000_i1036" alt="" style="width:468pt;height:.05pt;mso-width-percent:0;mso-height-percent:0;mso-width-percent:0;mso-height-percent:0" o:hralign="center" o:hrstd="t" o:hr="t"/>
        </w:pict>
      </w:r>
    </w:p>
    <w:p w14:paraId="3867CF9C" w14:textId="77777777" w:rsidR="00911569" w:rsidRPr="003E2A47" w:rsidRDefault="00000000" w:rsidP="003E2A47">
      <w:pPr>
        <w:pStyle w:val="Heading2"/>
        <w:jc w:val="both"/>
        <w:rPr>
          <w:rFonts w:ascii="Times New Roman" w:hAnsi="Times New Roman" w:cs="Times New Roman"/>
          <w:color w:val="000000" w:themeColor="text1"/>
        </w:rPr>
      </w:pPr>
      <w:bookmarkStart w:id="13" w:name="market-analysis-the-execution-gap"/>
      <w:bookmarkEnd w:id="10"/>
      <w:bookmarkEnd w:id="12"/>
      <w:r w:rsidRPr="003E2A47">
        <w:rPr>
          <w:rFonts w:ascii="Times New Roman" w:hAnsi="Times New Roman" w:cs="Times New Roman"/>
          <w:color w:val="000000" w:themeColor="text1"/>
        </w:rPr>
        <w:t>4. MARKET ANALYSIS: THE EXECUTION GAP</w:t>
      </w:r>
    </w:p>
    <w:p w14:paraId="0194602E" w14:textId="77777777" w:rsidR="00911569" w:rsidRPr="003E2A47" w:rsidRDefault="00000000" w:rsidP="003E2A47">
      <w:pPr>
        <w:pStyle w:val="Heading3"/>
        <w:jc w:val="both"/>
        <w:rPr>
          <w:rFonts w:ascii="Times New Roman" w:hAnsi="Times New Roman" w:cs="Times New Roman"/>
          <w:color w:val="000000" w:themeColor="text1"/>
        </w:rPr>
      </w:pPr>
      <w:bookmarkStart w:id="14" w:name="adoption-patterns-and-penetration"/>
      <w:r w:rsidRPr="003E2A47">
        <w:rPr>
          <w:rFonts w:ascii="Times New Roman" w:hAnsi="Times New Roman" w:cs="Times New Roman"/>
          <w:color w:val="000000" w:themeColor="text1"/>
        </w:rPr>
        <w:t>4.1 Adoption Patterns and Penetration</w:t>
      </w:r>
    </w:p>
    <w:p w14:paraId="343A6348"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The agentic AI market exhibits a distinctive adoption pattern: rapid </w:t>
      </w:r>
      <w:r w:rsidRPr="003E2A47">
        <w:rPr>
          <w:rFonts w:ascii="Times New Roman" w:hAnsi="Times New Roman" w:cs="Times New Roman"/>
          <w:i/>
          <w:iCs/>
          <w:color w:val="000000" w:themeColor="text1"/>
        </w:rPr>
        <w:t>embedding</w:t>
      </w:r>
      <w:r w:rsidRPr="003E2A47">
        <w:rPr>
          <w:rFonts w:ascii="Times New Roman" w:hAnsi="Times New Roman" w:cs="Times New Roman"/>
          <w:color w:val="000000" w:themeColor="text1"/>
        </w:rPr>
        <w:t xml:space="preserve"> of agent capabilities in enterprise software, but slower </w:t>
      </w:r>
      <w:r w:rsidRPr="003E2A47">
        <w:rPr>
          <w:rFonts w:ascii="Times New Roman" w:hAnsi="Times New Roman" w:cs="Times New Roman"/>
          <w:i/>
          <w:iCs/>
          <w:color w:val="000000" w:themeColor="text1"/>
        </w:rPr>
        <w:t>operationalization</w:t>
      </w:r>
      <w:r w:rsidRPr="003E2A47">
        <w:rPr>
          <w:rFonts w:ascii="Times New Roman" w:hAnsi="Times New Roman" w:cs="Times New Roman"/>
          <w:color w:val="000000" w:themeColor="text1"/>
        </w:rPr>
        <w:t xml:space="preserve"> within organizations. As of Q1 2026:</w:t>
      </w:r>
    </w:p>
    <w:p w14:paraId="3EFF9F31"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80% of enterprise applications</w:t>
      </w:r>
      <w:r w:rsidRPr="003E2A47">
        <w:rPr>
          <w:rFonts w:ascii="Times New Roman" w:hAnsi="Times New Roman" w:cs="Times New Roman"/>
          <w:color w:val="000000" w:themeColor="text1"/>
        </w:rPr>
        <w:t xml:space="preserve"> shipped in Q1 2026 embed at least one AI agent, up from 33% in 2024 (Gartner, 2026). This reflects vendor strategy: every SaaS platform from ServiceNow to Salesforce to Microsoft 365 now includes agent features as table stakes.</w:t>
      </w:r>
    </w:p>
    <w:p w14:paraId="6F8AFE91"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lastRenderedPageBreak/>
        <w:t>31% of organizations</w:t>
      </w:r>
      <w:r w:rsidRPr="003E2A47">
        <w:rPr>
          <w:rFonts w:ascii="Times New Roman" w:hAnsi="Times New Roman" w:cs="Times New Roman"/>
          <w:color w:val="000000" w:themeColor="text1"/>
        </w:rPr>
        <w:t xml:space="preserve"> report at least one AI agent in production, defined as handling live workload with business impact (McKinsey, 2026). This represents mainstream adoption but falls far short of the embedded availability.</w:t>
      </w:r>
    </w:p>
    <w:p w14:paraId="4254E827"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23% of organizations</w:t>
      </w:r>
      <w:r w:rsidRPr="003E2A47">
        <w:rPr>
          <w:rFonts w:ascii="Times New Roman" w:hAnsi="Times New Roman" w:cs="Times New Roman"/>
          <w:color w:val="000000" w:themeColor="text1"/>
        </w:rPr>
        <w:t xml:space="preserve"> are actively scaling agentic AI across business functions, deploying three or more specialized agents with orchestration (Digital Applied, 2026).</w:t>
      </w:r>
    </w:p>
    <w:p w14:paraId="4E5AF429"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22% of leading organizations</w:t>
      </w:r>
      <w:r w:rsidRPr="003E2A47">
        <w:rPr>
          <w:rFonts w:ascii="Times New Roman" w:hAnsi="Times New Roman" w:cs="Times New Roman"/>
          <w:color w:val="000000" w:themeColor="text1"/>
        </w:rPr>
        <w:t xml:space="preserve"> have deployed multi-agent systems with shared memory and cross-functional coordination—the architectural pattern enabling compound productivity gains.</w:t>
      </w:r>
    </w:p>
    <w:p w14:paraId="1255BA7D"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This yields a </w:t>
      </w:r>
      <w:r w:rsidRPr="003E2A47">
        <w:rPr>
          <w:rFonts w:ascii="Times New Roman" w:hAnsi="Times New Roman" w:cs="Times New Roman"/>
          <w:b/>
          <w:bCs/>
          <w:color w:val="000000" w:themeColor="text1"/>
        </w:rPr>
        <w:t>49-percentage-point execution gap</w:t>
      </w:r>
      <w:r w:rsidRPr="003E2A47">
        <w:rPr>
          <w:rFonts w:ascii="Times New Roman" w:hAnsi="Times New Roman" w:cs="Times New Roman"/>
          <w:color w:val="000000" w:themeColor="text1"/>
        </w:rPr>
        <w:t>: the delta between agent capability available (80%) and agent systems successfully operationalized (31%). Most of 2026’s enterprise software spend—and most of the disappointment—sits in that gap.</w:t>
      </w:r>
    </w:p>
    <w:p w14:paraId="7DE00EF8" w14:textId="77777777" w:rsidR="00911569" w:rsidRPr="003E2A47" w:rsidRDefault="00000000" w:rsidP="003E2A47">
      <w:pPr>
        <w:pStyle w:val="Heading3"/>
        <w:jc w:val="both"/>
        <w:rPr>
          <w:rFonts w:ascii="Times New Roman" w:hAnsi="Times New Roman" w:cs="Times New Roman"/>
          <w:color w:val="000000" w:themeColor="text1"/>
        </w:rPr>
      </w:pPr>
      <w:bookmarkStart w:id="15" w:name="growth-trajectory-and-market-projections"/>
      <w:bookmarkEnd w:id="14"/>
      <w:r w:rsidRPr="003E2A47">
        <w:rPr>
          <w:rFonts w:ascii="Times New Roman" w:hAnsi="Times New Roman" w:cs="Times New Roman"/>
          <w:color w:val="000000" w:themeColor="text1"/>
        </w:rPr>
        <w:t>4.2 Growth Trajectory and Market Projections</w:t>
      </w:r>
    </w:p>
    <w:p w14:paraId="17AB3DD4"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The agentic AI market is projected to grow at a 43%+ CAGR through 2030, with enterprise application revenue potentially reaching $450 billion by 2035 in Gartner’s best-case scenario (Gartner, 2026). However, this trajectory assumes resolution of current blockers.</w:t>
      </w:r>
    </w:p>
    <w:p w14:paraId="1F6F998D"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Current growth is concentrated in eight high-penetration functions:</w:t>
      </w:r>
    </w:p>
    <w:p w14:paraId="17627E28" w14:textId="77777777" w:rsidR="00911569" w:rsidRPr="003E2A47" w:rsidRDefault="00000000" w:rsidP="003E2A47">
      <w:pPr>
        <w:pStyle w:val="Compact"/>
        <w:numPr>
          <w:ilvl w:val="0"/>
          <w:numId w:val="4"/>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Customer service</w:t>
      </w:r>
      <w:r w:rsidRPr="003E2A47">
        <w:rPr>
          <w:rFonts w:ascii="Times New Roman" w:hAnsi="Times New Roman" w:cs="Times New Roman"/>
          <w:color w:val="000000" w:themeColor="text1"/>
        </w:rPr>
        <w:t xml:space="preserve"> (31% production penetration, highest absolute volume)</w:t>
      </w:r>
    </w:p>
    <w:p w14:paraId="388E8665" w14:textId="77777777" w:rsidR="00911569" w:rsidRPr="003E2A47" w:rsidRDefault="00000000" w:rsidP="003E2A47">
      <w:pPr>
        <w:pStyle w:val="Compact"/>
        <w:numPr>
          <w:ilvl w:val="0"/>
          <w:numId w:val="4"/>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IT operations</w:t>
      </w:r>
      <w:r w:rsidRPr="003E2A47">
        <w:rPr>
          <w:rFonts w:ascii="Times New Roman" w:hAnsi="Times New Roman" w:cs="Times New Roman"/>
          <w:color w:val="000000" w:themeColor="text1"/>
        </w:rPr>
        <w:t xml:space="preserve"> (highest scaled-agent adoption of any function)</w:t>
      </w:r>
    </w:p>
    <w:p w14:paraId="4EC69D91" w14:textId="77777777" w:rsidR="00911569" w:rsidRPr="003E2A47" w:rsidRDefault="00000000" w:rsidP="003E2A47">
      <w:pPr>
        <w:pStyle w:val="Compact"/>
        <w:numPr>
          <w:ilvl w:val="0"/>
          <w:numId w:val="4"/>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Software engineering</w:t>
      </w:r>
      <w:r w:rsidRPr="003E2A47">
        <w:rPr>
          <w:rFonts w:ascii="Times New Roman" w:hAnsi="Times New Roman" w:cs="Times New Roman"/>
          <w:color w:val="000000" w:themeColor="text1"/>
        </w:rPr>
        <w:t xml:space="preserve"> (30% faster shipping documented at TELUS)</w:t>
      </w:r>
    </w:p>
    <w:p w14:paraId="3497AB74" w14:textId="77777777" w:rsidR="00911569" w:rsidRPr="003E2A47" w:rsidRDefault="00000000" w:rsidP="003E2A47">
      <w:pPr>
        <w:pStyle w:val="Compact"/>
        <w:numPr>
          <w:ilvl w:val="0"/>
          <w:numId w:val="4"/>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Finance &amp; compliance</w:t>
      </w:r>
      <w:r w:rsidRPr="003E2A47">
        <w:rPr>
          <w:rFonts w:ascii="Times New Roman" w:hAnsi="Times New Roman" w:cs="Times New Roman"/>
          <w:color w:val="000000" w:themeColor="text1"/>
        </w:rPr>
        <w:t xml:space="preserve"> (largest productivity gains in financial services)</w:t>
      </w:r>
    </w:p>
    <w:p w14:paraId="39994A92" w14:textId="77777777" w:rsidR="00911569" w:rsidRPr="003E2A47" w:rsidRDefault="00000000" w:rsidP="003E2A47">
      <w:pPr>
        <w:pStyle w:val="Compact"/>
        <w:numPr>
          <w:ilvl w:val="0"/>
          <w:numId w:val="4"/>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HR &amp; talent</w:t>
      </w:r>
      <w:r w:rsidRPr="003E2A47">
        <w:rPr>
          <w:rFonts w:ascii="Times New Roman" w:hAnsi="Times New Roman" w:cs="Times New Roman"/>
          <w:color w:val="000000" w:themeColor="text1"/>
        </w:rPr>
        <w:t xml:space="preserve"> (50% faster screening, 2× conversion at Fountain)</w:t>
      </w:r>
    </w:p>
    <w:p w14:paraId="48CE9D2D" w14:textId="77777777" w:rsidR="00911569" w:rsidRPr="003E2A47" w:rsidRDefault="00000000" w:rsidP="003E2A47">
      <w:pPr>
        <w:pStyle w:val="Compact"/>
        <w:numPr>
          <w:ilvl w:val="0"/>
          <w:numId w:val="4"/>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Manufacturing</w:t>
      </w:r>
      <w:r w:rsidRPr="003E2A47">
        <w:rPr>
          <w:rFonts w:ascii="Times New Roman" w:hAnsi="Times New Roman" w:cs="Times New Roman"/>
          <w:color w:val="000000" w:themeColor="text1"/>
        </w:rPr>
        <w:t xml:space="preserve"> (15-25% reduction in unplanned downtime)</w:t>
      </w:r>
    </w:p>
    <w:p w14:paraId="3970B4E5" w14:textId="77777777" w:rsidR="00911569" w:rsidRPr="003E2A47" w:rsidRDefault="00000000" w:rsidP="003E2A47">
      <w:pPr>
        <w:pStyle w:val="Compact"/>
        <w:numPr>
          <w:ilvl w:val="0"/>
          <w:numId w:val="4"/>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Healthcare</w:t>
      </w:r>
      <w:r w:rsidRPr="003E2A47">
        <w:rPr>
          <w:rFonts w:ascii="Times New Roman" w:hAnsi="Times New Roman" w:cs="Times New Roman"/>
          <w:color w:val="000000" w:themeColor="text1"/>
        </w:rPr>
        <w:t xml:space="preserve"> (14% production penetration, highest growth rate)</w:t>
      </w:r>
    </w:p>
    <w:p w14:paraId="33D87E19" w14:textId="77777777" w:rsidR="00911569" w:rsidRPr="003E2A47" w:rsidRDefault="00000000" w:rsidP="003E2A47">
      <w:pPr>
        <w:pStyle w:val="Compact"/>
        <w:numPr>
          <w:ilvl w:val="0"/>
          <w:numId w:val="4"/>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Education</w:t>
      </w:r>
      <w:r w:rsidRPr="003E2A47">
        <w:rPr>
          <w:rFonts w:ascii="Times New Roman" w:hAnsi="Times New Roman" w:cs="Times New Roman"/>
          <w:color w:val="000000" w:themeColor="text1"/>
        </w:rPr>
        <w:t xml:space="preserve"> (emerging, low current penetration)</w:t>
      </w:r>
    </w:p>
    <w:p w14:paraId="136A54CF"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Notably absent from high-penetration lists: legal (risk aversion), physical supply chain (integration complexity), and core product development outside software (domain specificity).</w:t>
      </w:r>
    </w:p>
    <w:p w14:paraId="714446DD" w14:textId="77777777" w:rsidR="00911569" w:rsidRPr="003E2A47" w:rsidRDefault="00000000" w:rsidP="003E2A47">
      <w:pPr>
        <w:pStyle w:val="Heading3"/>
        <w:jc w:val="both"/>
        <w:rPr>
          <w:rFonts w:ascii="Times New Roman" w:hAnsi="Times New Roman" w:cs="Times New Roman"/>
          <w:color w:val="000000" w:themeColor="text1"/>
        </w:rPr>
      </w:pPr>
      <w:bookmarkStart w:id="16" w:name="X98af0869df828ed78c175aa5ecaf8207a476e8e"/>
      <w:bookmarkEnd w:id="15"/>
      <w:r w:rsidRPr="003E2A47">
        <w:rPr>
          <w:rFonts w:ascii="Times New Roman" w:hAnsi="Times New Roman" w:cs="Times New Roman"/>
          <w:color w:val="000000" w:themeColor="text1"/>
        </w:rPr>
        <w:t>4.3 The Risk Profile: Why 40% Face Cancellation</w:t>
      </w:r>
    </w:p>
    <w:p w14:paraId="635F78EE"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Forty percent of agentic AI projects are at risk of cancellation by 2027 (Gartner Hype Cycle, 2026). Analysis of failure modes reveals systematic patterns:</w:t>
      </w:r>
    </w:p>
    <w:p w14:paraId="60AF2AD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Data quality (52% blocker)</w:t>
      </w:r>
      <w:r w:rsidRPr="003E2A47">
        <w:rPr>
          <w:rFonts w:ascii="Times New Roman" w:hAnsi="Times New Roman" w:cs="Times New Roman"/>
          <w:color w:val="000000" w:themeColor="text1"/>
        </w:rPr>
        <w:t>: Agents amplify upstream data errors. Where assistive AI can qualify responses (“based on available data…”), autonomous agents execute transactions on flawed data. Organizations discover data quality issues only at agent deployment—too late in the cycle.</w:t>
      </w:r>
    </w:p>
    <w:p w14:paraId="3B0B2E8E"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Unclear ROI (primary cancellation cause)</w:t>
      </w:r>
      <w:r w:rsidRPr="003E2A47">
        <w:rPr>
          <w:rFonts w:ascii="Times New Roman" w:hAnsi="Times New Roman" w:cs="Times New Roman"/>
          <w:color w:val="000000" w:themeColor="text1"/>
        </w:rPr>
        <w:t>: Pilots launched without P&amp;L hooks, agreed metrics, or baselines. “Successful” pilots that cannot articulate business value in dollar terms or cycle-time reduction fail to secure production funding.</w:t>
      </w:r>
    </w:p>
    <w:p w14:paraId="3705DD1F"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lastRenderedPageBreak/>
        <w:t>Cost overruns (7× YoY growth)</w:t>
      </w:r>
      <w:r w:rsidRPr="003E2A47">
        <w:rPr>
          <w:rFonts w:ascii="Times New Roman" w:hAnsi="Times New Roman" w:cs="Times New Roman"/>
          <w:color w:val="000000" w:themeColor="text1"/>
        </w:rPr>
        <w:t>: Token consumption grows 7× year-over-year as agents move from demo to production workload, but few organizations implement FinOps controls (per-agent budgets, model routing, rate limits) until costs spiral.</w:t>
      </w:r>
    </w:p>
    <w:p w14:paraId="7700B870"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Governance gaps (79% immature)</w:t>
      </w:r>
      <w:r w:rsidRPr="003E2A47">
        <w:rPr>
          <w:rFonts w:ascii="Times New Roman" w:hAnsi="Times New Roman" w:cs="Times New Roman"/>
          <w:color w:val="000000" w:themeColor="text1"/>
        </w:rPr>
        <w:t>: Only 21% of organizations have mature governance models for autonomous agents. Missing elements: risk tiering, human-in-loop approval policies, audit trails, and PII handling protocols.</w:t>
      </w:r>
    </w:p>
    <w:p w14:paraId="71B09A25"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Workforce resistance (44% lack owner)</w:t>
      </w:r>
      <w:r w:rsidRPr="003E2A47">
        <w:rPr>
          <w:rFonts w:ascii="Times New Roman" w:hAnsi="Times New Roman" w:cs="Times New Roman"/>
          <w:color w:val="000000" w:themeColor="text1"/>
        </w:rPr>
        <w:t>: 56% of leading organizations have named an “agent owner” per deployment; the remaining 44% treat agents as IT projects rather than operational transformations, leading to adoption failure.</w:t>
      </w:r>
    </w:p>
    <w:p w14:paraId="1F166837"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692779EC">
          <v:rect id="_x0000_i1035" alt="" style="width:468pt;height:.05pt;mso-width-percent:0;mso-height-percent:0;mso-width-percent:0;mso-height-percent:0" o:hralign="center" o:hrstd="t" o:hr="t"/>
        </w:pict>
      </w:r>
    </w:p>
    <w:p w14:paraId="39A8D9AD" w14:textId="77777777" w:rsidR="00911569" w:rsidRPr="003E2A47" w:rsidRDefault="00000000" w:rsidP="003E2A47">
      <w:pPr>
        <w:pStyle w:val="Heading2"/>
        <w:jc w:val="both"/>
        <w:rPr>
          <w:rFonts w:ascii="Times New Roman" w:hAnsi="Times New Roman" w:cs="Times New Roman"/>
          <w:color w:val="000000" w:themeColor="text1"/>
        </w:rPr>
      </w:pPr>
      <w:bookmarkStart w:id="17" w:name="use-cases-and-documented-roi"/>
      <w:bookmarkEnd w:id="13"/>
      <w:bookmarkEnd w:id="16"/>
      <w:r w:rsidRPr="003E2A47">
        <w:rPr>
          <w:rFonts w:ascii="Times New Roman" w:hAnsi="Times New Roman" w:cs="Times New Roman"/>
          <w:color w:val="000000" w:themeColor="text1"/>
        </w:rPr>
        <w:t>5. USE CASES AND DOCUMENTED ROI</w:t>
      </w:r>
    </w:p>
    <w:p w14:paraId="1DB39791" w14:textId="77777777" w:rsidR="00911569" w:rsidRPr="003E2A47" w:rsidRDefault="00000000" w:rsidP="003E2A47">
      <w:pPr>
        <w:pStyle w:val="Heading3"/>
        <w:jc w:val="both"/>
        <w:rPr>
          <w:rFonts w:ascii="Times New Roman" w:hAnsi="Times New Roman" w:cs="Times New Roman"/>
          <w:color w:val="000000" w:themeColor="text1"/>
        </w:rPr>
      </w:pPr>
      <w:bookmarkStart w:id="18" w:name="X37145567b4b0b0b34e50c4ab9b055a87efdd2b4"/>
      <w:r w:rsidRPr="003E2A47">
        <w:rPr>
          <w:rFonts w:ascii="Times New Roman" w:hAnsi="Times New Roman" w:cs="Times New Roman"/>
          <w:color w:val="000000" w:themeColor="text1"/>
        </w:rPr>
        <w:t>5.1 Customer Service: Autonomous Case Lifecycle</w:t>
      </w:r>
    </w:p>
    <w:p w14:paraId="0DCA67BA"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Agent Workflow</w:t>
      </w:r>
      <w:r w:rsidRPr="003E2A47">
        <w:rPr>
          <w:rFonts w:ascii="Times New Roman" w:hAnsi="Times New Roman" w:cs="Times New Roman"/>
          <w:color w:val="000000" w:themeColor="text1"/>
        </w:rPr>
        <w:t>: Triage incoming inquiry → retrieve context from CRM/knowledge base → resolve via self-service or execute refund/replacement → schedule callback if escalation needed.</w:t>
      </w:r>
    </w:p>
    <w:p w14:paraId="28F9FA14"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Documented Outcomes</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ServiceNow</w:t>
      </w:r>
      <w:r w:rsidRPr="003E2A47">
        <w:rPr>
          <w:rFonts w:ascii="Times New Roman" w:hAnsi="Times New Roman" w:cs="Times New Roman"/>
          <w:color w:val="000000" w:themeColor="text1"/>
        </w:rPr>
        <w:t xml:space="preserve">: 80% of inquiries handled autonomously, $325M documented productivity impact - </w:t>
      </w:r>
      <w:r w:rsidRPr="003E2A47">
        <w:rPr>
          <w:rFonts w:ascii="Times New Roman" w:hAnsi="Times New Roman" w:cs="Times New Roman"/>
          <w:b/>
          <w:bCs/>
          <w:color w:val="000000" w:themeColor="text1"/>
        </w:rPr>
        <w:t>Cycle time</w:t>
      </w:r>
      <w:r w:rsidRPr="003E2A47">
        <w:rPr>
          <w:rFonts w:ascii="Times New Roman" w:hAnsi="Times New Roman" w:cs="Times New Roman"/>
          <w:color w:val="000000" w:themeColor="text1"/>
        </w:rPr>
        <w:t xml:space="preserve">: 30-90% faster resolution (hours, not days) - </w:t>
      </w:r>
      <w:r w:rsidRPr="003E2A47">
        <w:rPr>
          <w:rFonts w:ascii="Times New Roman" w:hAnsi="Times New Roman" w:cs="Times New Roman"/>
          <w:b/>
          <w:bCs/>
          <w:color w:val="000000" w:themeColor="text1"/>
        </w:rPr>
        <w:t>First-contact resolution</w:t>
      </w:r>
      <w:r w:rsidRPr="003E2A47">
        <w:rPr>
          <w:rFonts w:ascii="Times New Roman" w:hAnsi="Times New Roman" w:cs="Times New Roman"/>
          <w:color w:val="000000" w:themeColor="text1"/>
        </w:rPr>
        <w:t xml:space="preserve">: +25% lift from grounded retrieval and policy-enforced reasoning - </w:t>
      </w:r>
      <w:r w:rsidRPr="003E2A47">
        <w:rPr>
          <w:rFonts w:ascii="Times New Roman" w:hAnsi="Times New Roman" w:cs="Times New Roman"/>
          <w:b/>
          <w:bCs/>
          <w:color w:val="000000" w:themeColor="text1"/>
        </w:rPr>
        <w:t>Cost-to-serve</w:t>
      </w:r>
      <w:r w:rsidRPr="003E2A47">
        <w:rPr>
          <w:rFonts w:ascii="Times New Roman" w:hAnsi="Times New Roman" w:cs="Times New Roman"/>
          <w:color w:val="000000" w:themeColor="text1"/>
        </w:rPr>
        <w:t>: 30-50% reduction in tier-1 support costs</w:t>
      </w:r>
    </w:p>
    <w:p w14:paraId="18FB8AE3"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Critical Success Factors</w:t>
      </w:r>
      <w:r w:rsidRPr="003E2A47">
        <w:rPr>
          <w:rFonts w:ascii="Times New Roman" w:hAnsi="Times New Roman" w:cs="Times New Roman"/>
          <w:color w:val="000000" w:themeColor="text1"/>
        </w:rPr>
        <w:t>: Clean knowledge base, structured case taxonomy, clear escalation criteria, human approval for refunds above threshold.</w:t>
      </w:r>
    </w:p>
    <w:p w14:paraId="050BF418" w14:textId="77777777" w:rsidR="00911569" w:rsidRPr="003E2A47" w:rsidRDefault="00000000" w:rsidP="003E2A47">
      <w:pPr>
        <w:pStyle w:val="Heading3"/>
        <w:jc w:val="both"/>
        <w:rPr>
          <w:rFonts w:ascii="Times New Roman" w:hAnsi="Times New Roman" w:cs="Times New Roman"/>
          <w:color w:val="000000" w:themeColor="text1"/>
        </w:rPr>
      </w:pPr>
      <w:bookmarkStart w:id="19" w:name="Xaf25d2418cb8651522666402676c64c05f81df7"/>
      <w:bookmarkEnd w:id="18"/>
      <w:r w:rsidRPr="003E2A47">
        <w:rPr>
          <w:rFonts w:ascii="Times New Roman" w:hAnsi="Times New Roman" w:cs="Times New Roman"/>
          <w:color w:val="000000" w:themeColor="text1"/>
        </w:rPr>
        <w:t>5.2 IT Operations: Incident Triage and Runbook Execution</w:t>
      </w:r>
    </w:p>
    <w:p w14:paraId="369FF717"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Agent Workflow</w:t>
      </w:r>
      <w:r w:rsidRPr="003E2A47">
        <w:rPr>
          <w:rFonts w:ascii="Times New Roman" w:hAnsi="Times New Roman" w:cs="Times New Roman"/>
          <w:color w:val="000000" w:themeColor="text1"/>
        </w:rPr>
        <w:t>: Ingest alert from observability platform → correlate with known incidents → execute diagnostic runbook → propose remediation → obtain approval for high-blast-radius actions → execute or escalate.</w:t>
      </w:r>
    </w:p>
    <w:p w14:paraId="31D6F3F0"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Documented Outcomes</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Highest scaled-agent adoption</w:t>
      </w:r>
      <w:r w:rsidRPr="003E2A47">
        <w:rPr>
          <w:rFonts w:ascii="Times New Roman" w:hAnsi="Times New Roman" w:cs="Times New Roman"/>
          <w:color w:val="000000" w:themeColor="text1"/>
        </w:rPr>
        <w:t xml:space="preserve"> of any enterprise function (McKinsey, 2026) - </w:t>
      </w:r>
      <w:r w:rsidRPr="003E2A47">
        <w:rPr>
          <w:rFonts w:ascii="Times New Roman" w:hAnsi="Times New Roman" w:cs="Times New Roman"/>
          <w:b/>
          <w:bCs/>
          <w:color w:val="000000" w:themeColor="text1"/>
        </w:rPr>
        <w:t>Mean time to resolution (MTTR)</w:t>
      </w:r>
      <w:r w:rsidRPr="003E2A47">
        <w:rPr>
          <w:rFonts w:ascii="Times New Roman" w:hAnsi="Times New Roman" w:cs="Times New Roman"/>
          <w:color w:val="000000" w:themeColor="text1"/>
        </w:rPr>
        <w:t xml:space="preserve">: 40-60% reduction - </w:t>
      </w:r>
      <w:r w:rsidRPr="003E2A47">
        <w:rPr>
          <w:rFonts w:ascii="Times New Roman" w:hAnsi="Times New Roman" w:cs="Times New Roman"/>
          <w:b/>
          <w:bCs/>
          <w:color w:val="000000" w:themeColor="text1"/>
        </w:rPr>
        <w:t>On-call burden</w:t>
      </w:r>
      <w:r w:rsidRPr="003E2A47">
        <w:rPr>
          <w:rFonts w:ascii="Times New Roman" w:hAnsi="Times New Roman" w:cs="Times New Roman"/>
          <w:color w:val="000000" w:themeColor="text1"/>
        </w:rPr>
        <w:t xml:space="preserve">: 24×7 tier-1 triage without human staffing - </w:t>
      </w:r>
      <w:r w:rsidRPr="003E2A47">
        <w:rPr>
          <w:rFonts w:ascii="Times New Roman" w:hAnsi="Times New Roman" w:cs="Times New Roman"/>
          <w:b/>
          <w:bCs/>
          <w:color w:val="000000" w:themeColor="text1"/>
        </w:rPr>
        <w:t>False positive filtering</w:t>
      </w:r>
      <w:r w:rsidRPr="003E2A47">
        <w:rPr>
          <w:rFonts w:ascii="Times New Roman" w:hAnsi="Times New Roman" w:cs="Times New Roman"/>
          <w:color w:val="000000" w:themeColor="text1"/>
        </w:rPr>
        <w:t>: 70% reduction in alert noise reaching human operators</w:t>
      </w:r>
    </w:p>
    <w:p w14:paraId="1E591C13"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Critical Success Factors</w:t>
      </w:r>
      <w:r w:rsidRPr="003E2A47">
        <w:rPr>
          <w:rFonts w:ascii="Times New Roman" w:hAnsi="Times New Roman" w:cs="Times New Roman"/>
          <w:color w:val="000000" w:themeColor="text1"/>
        </w:rPr>
        <w:t>: Comprehensive runbook library, approval gates for production changes, observability integration, blameless postmortems feeding agent learning.</w:t>
      </w:r>
    </w:p>
    <w:p w14:paraId="5B96CF3B" w14:textId="77777777" w:rsidR="00911569" w:rsidRPr="003E2A47" w:rsidRDefault="00000000" w:rsidP="003E2A47">
      <w:pPr>
        <w:pStyle w:val="Heading3"/>
        <w:jc w:val="both"/>
        <w:rPr>
          <w:rFonts w:ascii="Times New Roman" w:hAnsi="Times New Roman" w:cs="Times New Roman"/>
          <w:color w:val="000000" w:themeColor="text1"/>
        </w:rPr>
      </w:pPr>
      <w:bookmarkStart w:id="20" w:name="X607cae343e8ce2fe1fd48fa461ce3556df6b8c1"/>
      <w:bookmarkEnd w:id="19"/>
      <w:r w:rsidRPr="003E2A47">
        <w:rPr>
          <w:rFonts w:ascii="Times New Roman" w:hAnsi="Times New Roman" w:cs="Times New Roman"/>
          <w:color w:val="000000" w:themeColor="text1"/>
        </w:rPr>
        <w:t>5.3 Software Engineering: Coding Agents and PR Review</w:t>
      </w:r>
    </w:p>
    <w:p w14:paraId="4398EB77"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Agent Workflow</w:t>
      </w:r>
      <w:r w:rsidRPr="003E2A47">
        <w:rPr>
          <w:rFonts w:ascii="Times New Roman" w:hAnsi="Times New Roman" w:cs="Times New Roman"/>
          <w:color w:val="000000" w:themeColor="text1"/>
        </w:rPr>
        <w:t>: Accept feature specification → generate code → write tests → submit pull request → respond to review comments → update documentation.</w:t>
      </w:r>
    </w:p>
    <w:p w14:paraId="5C8E16AF"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Documented Outcomes</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TELUS</w:t>
      </w:r>
      <w:r w:rsidRPr="003E2A47">
        <w:rPr>
          <w:rFonts w:ascii="Times New Roman" w:hAnsi="Times New Roman" w:cs="Times New Roman"/>
          <w:color w:val="000000" w:themeColor="text1"/>
        </w:rPr>
        <w:t xml:space="preserve">: 30% faster code shipping with Claude-based coding agents - </w:t>
      </w:r>
      <w:r w:rsidRPr="003E2A47">
        <w:rPr>
          <w:rFonts w:ascii="Times New Roman" w:hAnsi="Times New Roman" w:cs="Times New Roman"/>
          <w:b/>
          <w:bCs/>
          <w:color w:val="000000" w:themeColor="text1"/>
        </w:rPr>
        <w:t>Pull request cycle time</w:t>
      </w:r>
      <w:r w:rsidRPr="003E2A47">
        <w:rPr>
          <w:rFonts w:ascii="Times New Roman" w:hAnsi="Times New Roman" w:cs="Times New Roman"/>
          <w:color w:val="000000" w:themeColor="text1"/>
        </w:rPr>
        <w:t xml:space="preserve">: 40% reduction - </w:t>
      </w:r>
      <w:r w:rsidRPr="003E2A47">
        <w:rPr>
          <w:rFonts w:ascii="Times New Roman" w:hAnsi="Times New Roman" w:cs="Times New Roman"/>
          <w:b/>
          <w:bCs/>
          <w:color w:val="000000" w:themeColor="text1"/>
        </w:rPr>
        <w:t>Test coverage</w:t>
      </w:r>
      <w:r w:rsidRPr="003E2A47">
        <w:rPr>
          <w:rFonts w:ascii="Times New Roman" w:hAnsi="Times New Roman" w:cs="Times New Roman"/>
          <w:color w:val="000000" w:themeColor="text1"/>
        </w:rPr>
        <w:t xml:space="preserve">: Automated test generation increases </w:t>
      </w:r>
      <w:r w:rsidRPr="003E2A47">
        <w:rPr>
          <w:rFonts w:ascii="Times New Roman" w:hAnsi="Times New Roman" w:cs="Times New Roman"/>
          <w:color w:val="000000" w:themeColor="text1"/>
        </w:rPr>
        <w:lastRenderedPageBreak/>
        <w:t xml:space="preserve">coverage 15-20 percentage points - </w:t>
      </w:r>
      <w:r w:rsidRPr="003E2A47">
        <w:rPr>
          <w:rFonts w:ascii="Times New Roman" w:hAnsi="Times New Roman" w:cs="Times New Roman"/>
          <w:b/>
          <w:bCs/>
          <w:color w:val="000000" w:themeColor="text1"/>
        </w:rPr>
        <w:t>Documentation freshness</w:t>
      </w:r>
      <w:r w:rsidRPr="003E2A47">
        <w:rPr>
          <w:rFonts w:ascii="Times New Roman" w:hAnsi="Times New Roman" w:cs="Times New Roman"/>
          <w:color w:val="000000" w:themeColor="text1"/>
        </w:rPr>
        <w:t>: Agents update docs on every PR, eliminating drift</w:t>
      </w:r>
    </w:p>
    <w:p w14:paraId="52092B5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Critical Success Factors</w:t>
      </w:r>
      <w:r w:rsidRPr="003E2A47">
        <w:rPr>
          <w:rFonts w:ascii="Times New Roman" w:hAnsi="Times New Roman" w:cs="Times New Roman"/>
          <w:color w:val="000000" w:themeColor="text1"/>
        </w:rPr>
        <w:t>: Clear coding standards, automated testing infrastructure, human review for architecture decisions, incremental adoption (start with test generation, not greenfield features).</w:t>
      </w:r>
    </w:p>
    <w:p w14:paraId="44D0746F" w14:textId="77777777" w:rsidR="00911569" w:rsidRPr="003E2A47" w:rsidRDefault="00000000" w:rsidP="003E2A47">
      <w:pPr>
        <w:pStyle w:val="Heading3"/>
        <w:jc w:val="both"/>
        <w:rPr>
          <w:rFonts w:ascii="Times New Roman" w:hAnsi="Times New Roman" w:cs="Times New Roman"/>
          <w:color w:val="000000" w:themeColor="text1"/>
        </w:rPr>
      </w:pPr>
      <w:bookmarkStart w:id="21" w:name="Xeb39bd829b816303266120b2bb2d1a76a941e44"/>
      <w:bookmarkEnd w:id="20"/>
      <w:r w:rsidRPr="003E2A47">
        <w:rPr>
          <w:rFonts w:ascii="Times New Roman" w:hAnsi="Times New Roman" w:cs="Times New Roman"/>
          <w:color w:val="000000" w:themeColor="text1"/>
        </w:rPr>
        <w:t>5.4 Finance &amp; Compliance: Reconciliation and Audit Evidence</w:t>
      </w:r>
    </w:p>
    <w:p w14:paraId="0C0F9946"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Agent Workflow</w:t>
      </w:r>
      <w:r w:rsidRPr="003E2A47">
        <w:rPr>
          <w:rFonts w:ascii="Times New Roman" w:hAnsi="Times New Roman" w:cs="Times New Roman"/>
          <w:color w:val="000000" w:themeColor="text1"/>
        </w:rPr>
        <w:t>: Ingest transaction data → reconcile across systems → flag anomalies → assemble evidence bundle for audit → escalate unreconciled items.</w:t>
      </w:r>
    </w:p>
    <w:p w14:paraId="4D77C8D4"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Documented Outcomes</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Largest productivity gains</w:t>
      </w:r>
      <w:r w:rsidRPr="003E2A47">
        <w:rPr>
          <w:rFonts w:ascii="Times New Roman" w:hAnsi="Times New Roman" w:cs="Times New Roman"/>
          <w:color w:val="000000" w:themeColor="text1"/>
        </w:rPr>
        <w:t xml:space="preserve"> in financial services (McKinsey, 2026) - </w:t>
      </w:r>
      <w:r w:rsidRPr="003E2A47">
        <w:rPr>
          <w:rFonts w:ascii="Times New Roman" w:hAnsi="Times New Roman" w:cs="Times New Roman"/>
          <w:b/>
          <w:bCs/>
          <w:color w:val="000000" w:themeColor="text1"/>
        </w:rPr>
        <w:t>Month-end close cycle</w:t>
      </w:r>
      <w:r w:rsidRPr="003E2A47">
        <w:rPr>
          <w:rFonts w:ascii="Times New Roman" w:hAnsi="Times New Roman" w:cs="Times New Roman"/>
          <w:color w:val="000000" w:themeColor="text1"/>
        </w:rPr>
        <w:t xml:space="preserve">: 5-7 days → 2-3 days - </w:t>
      </w:r>
      <w:r w:rsidRPr="003E2A47">
        <w:rPr>
          <w:rFonts w:ascii="Times New Roman" w:hAnsi="Times New Roman" w:cs="Times New Roman"/>
          <w:b/>
          <w:bCs/>
          <w:color w:val="000000" w:themeColor="text1"/>
        </w:rPr>
        <w:t>Audit prep time</w:t>
      </w:r>
      <w:r w:rsidRPr="003E2A47">
        <w:rPr>
          <w:rFonts w:ascii="Times New Roman" w:hAnsi="Times New Roman" w:cs="Times New Roman"/>
          <w:color w:val="000000" w:themeColor="text1"/>
        </w:rPr>
        <w:t xml:space="preserve">: 60% reduction - </w:t>
      </w:r>
      <w:r w:rsidRPr="003E2A47">
        <w:rPr>
          <w:rFonts w:ascii="Times New Roman" w:hAnsi="Times New Roman" w:cs="Times New Roman"/>
          <w:b/>
          <w:bCs/>
          <w:color w:val="000000" w:themeColor="text1"/>
        </w:rPr>
        <w:t>Error detection</w:t>
      </w:r>
      <w:r w:rsidRPr="003E2A47">
        <w:rPr>
          <w:rFonts w:ascii="Times New Roman" w:hAnsi="Times New Roman" w:cs="Times New Roman"/>
          <w:color w:val="000000" w:themeColor="text1"/>
        </w:rPr>
        <w:t>: 3× increase in anomaly identification vs. manual review</w:t>
      </w:r>
    </w:p>
    <w:p w14:paraId="076041EA"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Critical Success Factors</w:t>
      </w:r>
      <w:r w:rsidRPr="003E2A47">
        <w:rPr>
          <w:rFonts w:ascii="Times New Roman" w:hAnsi="Times New Roman" w:cs="Times New Roman"/>
          <w:color w:val="000000" w:themeColor="text1"/>
        </w:rPr>
        <w:t>: System-of-record APIs, clear materiality thresholds, audit trail for every agent decision, compliance team co-design.</w:t>
      </w:r>
    </w:p>
    <w:p w14:paraId="12CD59C5" w14:textId="77777777" w:rsidR="00911569" w:rsidRPr="003E2A47" w:rsidRDefault="00000000" w:rsidP="003E2A47">
      <w:pPr>
        <w:pStyle w:val="Heading3"/>
        <w:jc w:val="both"/>
        <w:rPr>
          <w:rFonts w:ascii="Times New Roman" w:hAnsi="Times New Roman" w:cs="Times New Roman"/>
          <w:color w:val="000000" w:themeColor="text1"/>
        </w:rPr>
      </w:pPr>
      <w:bookmarkStart w:id="22" w:name="hr-talent-sourcing-screening-onboarding"/>
      <w:bookmarkEnd w:id="21"/>
      <w:r w:rsidRPr="003E2A47">
        <w:rPr>
          <w:rFonts w:ascii="Times New Roman" w:hAnsi="Times New Roman" w:cs="Times New Roman"/>
          <w:color w:val="000000" w:themeColor="text1"/>
        </w:rPr>
        <w:t>5.5 HR &amp; Talent: Sourcing, Screening, Onboarding</w:t>
      </w:r>
    </w:p>
    <w:p w14:paraId="6AF99109"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Agent Workflow</w:t>
      </w:r>
      <w:r w:rsidRPr="003E2A47">
        <w:rPr>
          <w:rFonts w:ascii="Times New Roman" w:hAnsi="Times New Roman" w:cs="Times New Roman"/>
          <w:color w:val="000000" w:themeColor="text1"/>
        </w:rPr>
        <w:t>: Source candidates from multiple channels → screen resumes against job requirements → conduct structured asynchronous interviews → compile hiring packet → onboard new hires with personalized workflows.</w:t>
      </w:r>
    </w:p>
    <w:p w14:paraId="033E0880"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Documented Outcomes</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Fountain</w:t>
      </w:r>
      <w:r w:rsidRPr="003E2A47">
        <w:rPr>
          <w:rFonts w:ascii="Times New Roman" w:hAnsi="Times New Roman" w:cs="Times New Roman"/>
          <w:color w:val="000000" w:themeColor="text1"/>
        </w:rPr>
        <w:t xml:space="preserve">: 50% faster screening, 2× candidate conversion - </w:t>
      </w:r>
      <w:r w:rsidRPr="003E2A47">
        <w:rPr>
          <w:rFonts w:ascii="Times New Roman" w:hAnsi="Times New Roman" w:cs="Times New Roman"/>
          <w:b/>
          <w:bCs/>
          <w:color w:val="000000" w:themeColor="text1"/>
        </w:rPr>
        <w:t>Time-to-fill</w:t>
      </w:r>
      <w:r w:rsidRPr="003E2A47">
        <w:rPr>
          <w:rFonts w:ascii="Times New Roman" w:hAnsi="Times New Roman" w:cs="Times New Roman"/>
          <w:color w:val="000000" w:themeColor="text1"/>
        </w:rPr>
        <w:t xml:space="preserve">: 30-40% reduction - </w:t>
      </w:r>
      <w:r w:rsidRPr="003E2A47">
        <w:rPr>
          <w:rFonts w:ascii="Times New Roman" w:hAnsi="Times New Roman" w:cs="Times New Roman"/>
          <w:b/>
          <w:bCs/>
          <w:color w:val="000000" w:themeColor="text1"/>
        </w:rPr>
        <w:t>Candidate experience</w:t>
      </w:r>
      <w:r w:rsidRPr="003E2A47">
        <w:rPr>
          <w:rFonts w:ascii="Times New Roman" w:hAnsi="Times New Roman" w:cs="Times New Roman"/>
          <w:color w:val="000000" w:themeColor="text1"/>
        </w:rPr>
        <w:t xml:space="preserve">: Consistent, bias-reduced screening - </w:t>
      </w:r>
      <w:r w:rsidRPr="003E2A47">
        <w:rPr>
          <w:rFonts w:ascii="Times New Roman" w:hAnsi="Times New Roman" w:cs="Times New Roman"/>
          <w:b/>
          <w:bCs/>
          <w:color w:val="000000" w:themeColor="text1"/>
        </w:rPr>
        <w:t>Onboarding completion</w:t>
      </w:r>
      <w:r w:rsidRPr="003E2A47">
        <w:rPr>
          <w:rFonts w:ascii="Times New Roman" w:hAnsi="Times New Roman" w:cs="Times New Roman"/>
          <w:color w:val="000000" w:themeColor="text1"/>
        </w:rPr>
        <w:t>: 95% vs. 70% with manual follow-up</w:t>
      </w:r>
    </w:p>
    <w:p w14:paraId="7DD8BE22"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Critical Success Factors</w:t>
      </w:r>
      <w:r w:rsidRPr="003E2A47">
        <w:rPr>
          <w:rFonts w:ascii="Times New Roman" w:hAnsi="Times New Roman" w:cs="Times New Roman"/>
          <w:color w:val="000000" w:themeColor="text1"/>
        </w:rPr>
        <w:t>: Structured job requirements, bias testing in screening criteria, human interview for final rounds, onboarding checklist automation.</w:t>
      </w:r>
    </w:p>
    <w:p w14:paraId="7F0321ED" w14:textId="77777777" w:rsidR="00911569" w:rsidRPr="003E2A47" w:rsidRDefault="00000000" w:rsidP="003E2A47">
      <w:pPr>
        <w:pStyle w:val="Heading3"/>
        <w:jc w:val="both"/>
        <w:rPr>
          <w:rFonts w:ascii="Times New Roman" w:hAnsi="Times New Roman" w:cs="Times New Roman"/>
          <w:color w:val="000000" w:themeColor="text1"/>
        </w:rPr>
      </w:pPr>
      <w:bookmarkStart w:id="23" w:name="cross-functional-value-levers"/>
      <w:bookmarkEnd w:id="22"/>
      <w:r w:rsidRPr="003E2A47">
        <w:rPr>
          <w:rFonts w:ascii="Times New Roman" w:hAnsi="Times New Roman" w:cs="Times New Roman"/>
          <w:color w:val="000000" w:themeColor="text1"/>
        </w:rPr>
        <w:t>5.6 Cross-Functional Value Levers</w:t>
      </w:r>
    </w:p>
    <w:p w14:paraId="3639705E"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Analysis across use cases reveals common value drivers:</w:t>
      </w:r>
    </w:p>
    <w:tbl>
      <w:tblPr>
        <w:tblStyle w:val="Table"/>
        <w:tblW w:w="5000" w:type="pct"/>
        <w:tblLayout w:type="fixed"/>
        <w:tblLook w:val="0020" w:firstRow="1" w:lastRow="0" w:firstColumn="0" w:lastColumn="0" w:noHBand="0" w:noVBand="0"/>
      </w:tblPr>
      <w:tblGrid>
        <w:gridCol w:w="3618"/>
        <w:gridCol w:w="3192"/>
        <w:gridCol w:w="2766"/>
      </w:tblGrid>
      <w:tr w:rsidR="00911569" w:rsidRPr="003E2A47" w14:paraId="39BB0872" w14:textId="77777777" w:rsidTr="00911569">
        <w:trPr>
          <w:cnfStyle w:val="100000000000" w:firstRow="1" w:lastRow="0" w:firstColumn="0" w:lastColumn="0" w:oddVBand="0" w:evenVBand="0" w:oddHBand="0" w:evenHBand="0" w:firstRowFirstColumn="0" w:firstRowLastColumn="0" w:lastRowFirstColumn="0" w:lastRowLastColumn="0"/>
          <w:tblHeader/>
        </w:trPr>
        <w:tc>
          <w:tcPr>
            <w:tcW w:w="2992" w:type="dxa"/>
          </w:tcPr>
          <w:p w14:paraId="549895F2"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Value Dimension</w:t>
            </w:r>
          </w:p>
        </w:tc>
        <w:tc>
          <w:tcPr>
            <w:tcW w:w="2640" w:type="dxa"/>
          </w:tcPr>
          <w:p w14:paraId="7CBD4FE9"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Typical Range</w:t>
            </w:r>
          </w:p>
        </w:tc>
        <w:tc>
          <w:tcPr>
            <w:tcW w:w="2288" w:type="dxa"/>
          </w:tcPr>
          <w:p w14:paraId="05AF862C"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Measurement</w:t>
            </w:r>
          </w:p>
        </w:tc>
      </w:tr>
      <w:tr w:rsidR="00911569" w:rsidRPr="003E2A47" w14:paraId="23C0B3D6" w14:textId="77777777">
        <w:tc>
          <w:tcPr>
            <w:tcW w:w="2992" w:type="dxa"/>
          </w:tcPr>
          <w:p w14:paraId="573FDBAC"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Cycle time reduction</w:t>
            </w:r>
          </w:p>
        </w:tc>
        <w:tc>
          <w:tcPr>
            <w:tcW w:w="2640" w:type="dxa"/>
          </w:tcPr>
          <w:p w14:paraId="47DB42A8"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30-90%</w:t>
            </w:r>
          </w:p>
        </w:tc>
        <w:tc>
          <w:tcPr>
            <w:tcW w:w="2288" w:type="dxa"/>
          </w:tcPr>
          <w:p w14:paraId="4198F375"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Hours/days from intake to resolution</w:t>
            </w:r>
          </w:p>
        </w:tc>
      </w:tr>
      <w:tr w:rsidR="00911569" w:rsidRPr="003E2A47" w14:paraId="0BB6BF34" w14:textId="77777777">
        <w:tc>
          <w:tcPr>
            <w:tcW w:w="2992" w:type="dxa"/>
          </w:tcPr>
          <w:p w14:paraId="32BFD489"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Labor productivity</w:t>
            </w:r>
          </w:p>
        </w:tc>
        <w:tc>
          <w:tcPr>
            <w:tcW w:w="2640" w:type="dxa"/>
          </w:tcPr>
          <w:p w14:paraId="044963AA"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3-10%</w:t>
            </w:r>
          </w:p>
        </w:tc>
        <w:tc>
          <w:tcPr>
            <w:tcW w:w="2288" w:type="dxa"/>
          </w:tcPr>
          <w:p w14:paraId="0E8126B6"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Output per FTE; 3-5% initial, 10%+ at multi-agent scale</w:t>
            </w:r>
          </w:p>
        </w:tc>
      </w:tr>
      <w:tr w:rsidR="00911569" w:rsidRPr="003E2A47" w14:paraId="53801055" w14:textId="77777777">
        <w:tc>
          <w:tcPr>
            <w:tcW w:w="2992" w:type="dxa"/>
          </w:tcPr>
          <w:p w14:paraId="7CD1F25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First-contact resolution</w:t>
            </w:r>
          </w:p>
        </w:tc>
        <w:tc>
          <w:tcPr>
            <w:tcW w:w="2640" w:type="dxa"/>
          </w:tcPr>
          <w:p w14:paraId="1D4C2777"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+25%</w:t>
            </w:r>
          </w:p>
        </w:tc>
        <w:tc>
          <w:tcPr>
            <w:tcW w:w="2288" w:type="dxa"/>
          </w:tcPr>
          <w:p w14:paraId="0D92CAF0"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 resolved without escalation</w:t>
            </w:r>
          </w:p>
        </w:tc>
      </w:tr>
      <w:tr w:rsidR="00911569" w:rsidRPr="003E2A47" w14:paraId="70004491" w14:textId="77777777">
        <w:tc>
          <w:tcPr>
            <w:tcW w:w="2992" w:type="dxa"/>
          </w:tcPr>
          <w:p w14:paraId="72FF8117"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24×7 coverage</w:t>
            </w:r>
          </w:p>
        </w:tc>
        <w:tc>
          <w:tcPr>
            <w:tcW w:w="2640" w:type="dxa"/>
          </w:tcPr>
          <w:p w14:paraId="4F0844FE"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Infinite</w:t>
            </w:r>
          </w:p>
        </w:tc>
        <w:tc>
          <w:tcPr>
            <w:tcW w:w="2288" w:type="dxa"/>
          </w:tcPr>
          <w:p w14:paraId="0B4BA4DC"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Off-hours volume absorbed without staffing</w:t>
            </w:r>
          </w:p>
        </w:tc>
      </w:tr>
      <w:tr w:rsidR="00911569" w:rsidRPr="003E2A47" w14:paraId="116A9153" w14:textId="77777777">
        <w:tc>
          <w:tcPr>
            <w:tcW w:w="2992" w:type="dxa"/>
          </w:tcPr>
          <w:p w14:paraId="555354CD"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Cost-to-serve</w:t>
            </w:r>
          </w:p>
        </w:tc>
        <w:tc>
          <w:tcPr>
            <w:tcW w:w="2640" w:type="dxa"/>
          </w:tcPr>
          <w:p w14:paraId="78E92C7D"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30-50%</w:t>
            </w:r>
          </w:p>
        </w:tc>
        <w:tc>
          <w:tcPr>
            <w:tcW w:w="2288" w:type="dxa"/>
          </w:tcPr>
          <w:p w14:paraId="245CA675"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 per transaction/case/ticket</w:t>
            </w:r>
          </w:p>
        </w:tc>
      </w:tr>
      <w:tr w:rsidR="00911569" w:rsidRPr="003E2A47" w14:paraId="044563C8" w14:textId="77777777">
        <w:tc>
          <w:tcPr>
            <w:tcW w:w="2992" w:type="dxa"/>
          </w:tcPr>
          <w:p w14:paraId="4055E72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lastRenderedPageBreak/>
              <w:t>Time-to-value</w:t>
            </w:r>
          </w:p>
        </w:tc>
        <w:tc>
          <w:tcPr>
            <w:tcW w:w="2640" w:type="dxa"/>
          </w:tcPr>
          <w:p w14:paraId="3A92BB3C"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&lt;6 months</w:t>
            </w:r>
          </w:p>
        </w:tc>
        <w:tc>
          <w:tcPr>
            <w:tcW w:w="2288" w:type="dxa"/>
          </w:tcPr>
          <w:p w14:paraId="2A25B960"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Payback period per Forrester TEI</w:t>
            </w:r>
          </w:p>
        </w:tc>
      </w:tr>
    </w:tbl>
    <w:p w14:paraId="7511A334"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1ABB0D87">
          <v:rect id="_x0000_i1034" alt="" style="width:468pt;height:.05pt;mso-width-percent:0;mso-height-percent:0;mso-width-percent:0;mso-height-percent:0" o:hralign="center" o:hrstd="t" o:hr="t"/>
        </w:pict>
      </w:r>
    </w:p>
    <w:p w14:paraId="40AF00E5" w14:textId="77777777" w:rsidR="00911569" w:rsidRPr="003E2A47" w:rsidRDefault="00000000" w:rsidP="003E2A47">
      <w:pPr>
        <w:pStyle w:val="Heading2"/>
        <w:jc w:val="both"/>
        <w:rPr>
          <w:rFonts w:ascii="Times New Roman" w:hAnsi="Times New Roman" w:cs="Times New Roman"/>
          <w:color w:val="000000" w:themeColor="text1"/>
        </w:rPr>
      </w:pPr>
      <w:bookmarkStart w:id="24" w:name="reference-architecture"/>
      <w:bookmarkEnd w:id="17"/>
      <w:bookmarkEnd w:id="23"/>
      <w:r w:rsidRPr="003E2A47">
        <w:rPr>
          <w:rFonts w:ascii="Times New Roman" w:hAnsi="Times New Roman" w:cs="Times New Roman"/>
          <w:color w:val="000000" w:themeColor="text1"/>
        </w:rPr>
        <w:t>6. REFERENCE ARCHITECTURE</w:t>
      </w:r>
    </w:p>
    <w:p w14:paraId="14C2268A" w14:textId="77777777" w:rsidR="00911569" w:rsidRPr="003E2A47" w:rsidRDefault="00000000" w:rsidP="003E2A47">
      <w:pPr>
        <w:pStyle w:val="Heading3"/>
        <w:jc w:val="both"/>
        <w:rPr>
          <w:rFonts w:ascii="Times New Roman" w:hAnsi="Times New Roman" w:cs="Times New Roman"/>
          <w:color w:val="000000" w:themeColor="text1"/>
        </w:rPr>
      </w:pPr>
      <w:bookmarkStart w:id="25" w:name="five-essential-layers"/>
      <w:r w:rsidRPr="003E2A47">
        <w:rPr>
          <w:rFonts w:ascii="Times New Roman" w:hAnsi="Times New Roman" w:cs="Times New Roman"/>
          <w:color w:val="000000" w:themeColor="text1"/>
        </w:rPr>
        <w:t>6.1 Five Essential Layers</w:t>
      </w:r>
    </w:p>
    <w:p w14:paraId="774D2B56"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Every production agent system requires five architectural layers, each addressing distinct concerns:</w:t>
      </w:r>
    </w:p>
    <w:p w14:paraId="66846CB7"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Layer 1: Experience Layer</w:t>
      </w:r>
      <w:r w:rsidRPr="003E2A47">
        <w:rPr>
          <w:rFonts w:ascii="Times New Roman" w:hAnsi="Times New Roman" w:cs="Times New Roman"/>
          <w:color w:val="000000" w:themeColor="text1"/>
        </w:rPr>
        <w:t xml:space="preserve"> Where humans engage and approve. Interfaces include: conversational chat, embedded copilots, voice channels, workflow inboxes for approval queues. This layer surfaces agent recommendations and actions for human review when autonomy boundaries are exceeded.</w:t>
      </w:r>
    </w:p>
    <w:p w14:paraId="014B86AB"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Layer 2: Orchestration Layer</w:t>
      </w:r>
      <w:r w:rsidRPr="003E2A47">
        <w:rPr>
          <w:rFonts w:ascii="Times New Roman" w:hAnsi="Times New Roman" w:cs="Times New Roman"/>
          <w:color w:val="000000" w:themeColor="text1"/>
        </w:rPr>
        <w:t xml:space="preserve"> The planner, router, and supervisor. Responsible for: goal decomposition, task delegation to specialized agents, result consolidation, error recovery, and escalation logic. Analogous to an API gateway or service mesh in microservices.</w:t>
      </w:r>
    </w:p>
    <w:p w14:paraId="497A0DF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Layer 3: Agent Layer</w:t>
      </w:r>
      <w:r w:rsidRPr="003E2A47">
        <w:rPr>
          <w:rFonts w:ascii="Times New Roman" w:hAnsi="Times New Roman" w:cs="Times New Roman"/>
          <w:color w:val="000000" w:themeColor="text1"/>
        </w:rPr>
        <w:t xml:space="preserve"> Specialized agents per function (support, finance, IT ops, HR), each with scoped tools and permissions. Agents at this layer possess domain expertise, function-specific prompts, and guardrails matched to their autonomy tier.</w:t>
      </w:r>
    </w:p>
    <w:p w14:paraId="6A7666EA"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Layer 4: Capability Layer</w:t>
      </w:r>
      <w:r w:rsidRPr="003E2A47">
        <w:rPr>
          <w:rFonts w:ascii="Times New Roman" w:hAnsi="Times New Roman" w:cs="Times New Roman"/>
          <w:color w:val="000000" w:themeColor="text1"/>
        </w:rPr>
        <w:t xml:space="preserve"> Shared capabilities all agents consume: tool/API registry, RAG (retrieval-augmented generation), code execution sandboxes, browser automation, memory (short-term working memory, episodic memory of past interactions, semantic memory of domain knowledge).</w:t>
      </w:r>
    </w:p>
    <w:p w14:paraId="5B570E6D"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Layer 5: Foundation Layer</w:t>
      </w:r>
      <w:r w:rsidRPr="003E2A47">
        <w:rPr>
          <w:rFonts w:ascii="Times New Roman" w:hAnsi="Times New Roman" w:cs="Times New Roman"/>
          <w:color w:val="000000" w:themeColor="text1"/>
        </w:rPr>
        <w:t xml:space="preserve"> LLMs (frontier and specialized models), vector databases, graph databases, identity &amp; access management, observability (tracing, logging, metrics), policy enforcement, evaluation harnesses, and FinOps controls (budgets, rate limits, model routing).</w:t>
      </w:r>
    </w:p>
    <w:p w14:paraId="35D14942" w14:textId="77777777" w:rsidR="00911569" w:rsidRPr="003E2A47" w:rsidRDefault="00000000" w:rsidP="003E2A47">
      <w:pPr>
        <w:pStyle w:val="Heading3"/>
        <w:jc w:val="both"/>
        <w:rPr>
          <w:rFonts w:ascii="Times New Roman" w:hAnsi="Times New Roman" w:cs="Times New Roman"/>
          <w:color w:val="000000" w:themeColor="text1"/>
        </w:rPr>
      </w:pPr>
      <w:bookmarkStart w:id="26" w:name="cross-cutting-concerns-trust-and-control"/>
      <w:bookmarkEnd w:id="25"/>
      <w:r w:rsidRPr="003E2A47">
        <w:rPr>
          <w:rFonts w:ascii="Times New Roman" w:hAnsi="Times New Roman" w:cs="Times New Roman"/>
          <w:color w:val="000000" w:themeColor="text1"/>
        </w:rPr>
        <w:t>6.2 Cross-Cutting Concerns: Trust and Control</w:t>
      </w:r>
    </w:p>
    <w:p w14:paraId="38F444C4"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Five trust and control mechanisms span all layers:</w:t>
      </w:r>
    </w:p>
    <w:p w14:paraId="0DFEDA3D" w14:textId="77777777" w:rsidR="00911569" w:rsidRPr="003E2A47" w:rsidRDefault="00000000" w:rsidP="003E2A47">
      <w:pPr>
        <w:numPr>
          <w:ilvl w:val="0"/>
          <w:numId w:val="5"/>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Identity &amp; RBAC</w:t>
      </w:r>
      <w:r w:rsidRPr="003E2A47">
        <w:rPr>
          <w:rFonts w:ascii="Times New Roman" w:hAnsi="Times New Roman" w:cs="Times New Roman"/>
          <w:color w:val="000000" w:themeColor="text1"/>
        </w:rPr>
        <w:t>: Every agent has its own identity with role-based access control. Agents inherit permissions from their designated role, not from a shared service account.</w:t>
      </w:r>
    </w:p>
    <w:p w14:paraId="05071122" w14:textId="77777777" w:rsidR="00911569" w:rsidRPr="003E2A47" w:rsidRDefault="00000000" w:rsidP="003E2A47">
      <w:pPr>
        <w:numPr>
          <w:ilvl w:val="0"/>
          <w:numId w:val="5"/>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Approval Policies</w:t>
      </w:r>
      <w:r w:rsidRPr="003E2A47">
        <w:rPr>
          <w:rFonts w:ascii="Times New Roman" w:hAnsi="Times New Roman" w:cs="Times New Roman"/>
          <w:color w:val="000000" w:themeColor="text1"/>
        </w:rPr>
        <w:t>: Actions are tiered by autonomy level and blast radius. Tier-1 (informational) actions execute automatically; Tier-3 (high-impact) actions require human approval.</w:t>
      </w:r>
    </w:p>
    <w:p w14:paraId="7B28F6F3" w14:textId="77777777" w:rsidR="00911569" w:rsidRPr="003E2A47" w:rsidRDefault="00000000" w:rsidP="003E2A47">
      <w:pPr>
        <w:numPr>
          <w:ilvl w:val="0"/>
          <w:numId w:val="5"/>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Audit Trail</w:t>
      </w:r>
      <w:r w:rsidRPr="003E2A47">
        <w:rPr>
          <w:rFonts w:ascii="Times New Roman" w:hAnsi="Times New Roman" w:cs="Times New Roman"/>
          <w:color w:val="000000" w:themeColor="text1"/>
        </w:rPr>
        <w:t>: Every agent action—prompt, tool call, output, approval/rejection, cost—is logged immutably for compliance review.</w:t>
      </w:r>
    </w:p>
    <w:p w14:paraId="6D96D1EB" w14:textId="77777777" w:rsidR="00911569" w:rsidRPr="003E2A47" w:rsidRDefault="00000000" w:rsidP="003E2A47">
      <w:pPr>
        <w:numPr>
          <w:ilvl w:val="0"/>
          <w:numId w:val="5"/>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PII &amp; Data Residency</w:t>
      </w:r>
      <w:r w:rsidRPr="003E2A47">
        <w:rPr>
          <w:rFonts w:ascii="Times New Roman" w:hAnsi="Times New Roman" w:cs="Times New Roman"/>
          <w:color w:val="000000" w:themeColor="text1"/>
        </w:rPr>
        <w:t>: Agents respect data classification policies. PII is masked in logs, and data residency rules determine which models/infrastructure can process which data.</w:t>
      </w:r>
    </w:p>
    <w:p w14:paraId="4E001823" w14:textId="77777777" w:rsidR="00911569" w:rsidRPr="003E2A47" w:rsidRDefault="00000000" w:rsidP="003E2A47">
      <w:pPr>
        <w:numPr>
          <w:ilvl w:val="0"/>
          <w:numId w:val="5"/>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lastRenderedPageBreak/>
        <w:t>Evaluation &amp; Red-Teaming</w:t>
      </w:r>
      <w:r w:rsidRPr="003E2A47">
        <w:rPr>
          <w:rFonts w:ascii="Times New Roman" w:hAnsi="Times New Roman" w:cs="Times New Roman"/>
          <w:color w:val="000000" w:themeColor="text1"/>
        </w:rPr>
        <w:t>: Continuous evaluation against golden datasets, drift detection, and adversarial testing (jailbreak attempts, prompt injection) before production rollout.</w:t>
      </w:r>
    </w:p>
    <w:p w14:paraId="74AAC29D" w14:textId="77777777" w:rsidR="00911569" w:rsidRPr="003E2A47" w:rsidRDefault="00000000" w:rsidP="003E2A47">
      <w:pPr>
        <w:numPr>
          <w:ilvl w:val="0"/>
          <w:numId w:val="5"/>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FinOps &amp; Rate Limits</w:t>
      </w:r>
      <w:r w:rsidRPr="003E2A47">
        <w:rPr>
          <w:rFonts w:ascii="Times New Roman" w:hAnsi="Times New Roman" w:cs="Times New Roman"/>
          <w:color w:val="000000" w:themeColor="text1"/>
        </w:rPr>
        <w:t>: Per-agent budgets, token consumption tracking, model routing (use cheaper models for routine tasks, frontier models for complex reasoning), and circuit breakers to prevent runaway costs.</w:t>
      </w:r>
    </w:p>
    <w:p w14:paraId="55F90150"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2D52179D">
          <v:rect id="_x0000_i1033" alt="" style="width:468pt;height:.05pt;mso-width-percent:0;mso-height-percent:0;mso-width-percent:0;mso-height-percent:0" o:hralign="center" o:hrstd="t" o:hr="t"/>
        </w:pict>
      </w:r>
    </w:p>
    <w:p w14:paraId="4CB432B4" w14:textId="77777777" w:rsidR="00911569" w:rsidRPr="003E2A47" w:rsidRDefault="00000000" w:rsidP="003E2A47">
      <w:pPr>
        <w:pStyle w:val="Heading2"/>
        <w:jc w:val="both"/>
        <w:rPr>
          <w:rFonts w:ascii="Times New Roman" w:hAnsi="Times New Roman" w:cs="Times New Roman"/>
          <w:color w:val="000000" w:themeColor="text1"/>
        </w:rPr>
      </w:pPr>
      <w:bookmarkStart w:id="27" w:name="framework-comparison"/>
      <w:bookmarkEnd w:id="24"/>
      <w:bookmarkEnd w:id="26"/>
      <w:r w:rsidRPr="003E2A47">
        <w:rPr>
          <w:rFonts w:ascii="Times New Roman" w:hAnsi="Times New Roman" w:cs="Times New Roman"/>
          <w:color w:val="000000" w:themeColor="text1"/>
        </w:rPr>
        <w:t>7. FRAMEWORK COMPARISON</w:t>
      </w:r>
    </w:p>
    <w:p w14:paraId="3809F8A9" w14:textId="77777777" w:rsidR="00911569" w:rsidRPr="003E2A47" w:rsidRDefault="00000000" w:rsidP="003E2A47">
      <w:pPr>
        <w:pStyle w:val="Heading3"/>
        <w:jc w:val="both"/>
        <w:rPr>
          <w:rFonts w:ascii="Times New Roman" w:hAnsi="Times New Roman" w:cs="Times New Roman"/>
          <w:color w:val="000000" w:themeColor="text1"/>
        </w:rPr>
      </w:pPr>
      <w:bookmarkStart w:id="28" w:name="evaluation-criteria"/>
      <w:r w:rsidRPr="003E2A47">
        <w:rPr>
          <w:rFonts w:ascii="Times New Roman" w:hAnsi="Times New Roman" w:cs="Times New Roman"/>
          <w:color w:val="000000" w:themeColor="text1"/>
        </w:rPr>
        <w:t>7.1 Evaluation Criteria</w:t>
      </w:r>
    </w:p>
    <w:p w14:paraId="719539FE"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Four frameworks dominate enterprise agentic AI: LangGraph, CrewAI, AutoGen, and Google Agent Development Kit (ADK). We evaluate across six dimensions:</w:t>
      </w:r>
    </w:p>
    <w:tbl>
      <w:tblPr>
        <w:tblStyle w:val="Table"/>
        <w:tblW w:w="5000" w:type="pct"/>
        <w:tblLayout w:type="fixed"/>
        <w:tblLook w:val="0020" w:firstRow="1" w:lastRow="0" w:firstColumn="0" w:lastColumn="0" w:noHBand="0" w:noVBand="0"/>
      </w:tblPr>
      <w:tblGrid>
        <w:gridCol w:w="1158"/>
        <w:gridCol w:w="1052"/>
        <w:gridCol w:w="1052"/>
        <w:gridCol w:w="2526"/>
        <w:gridCol w:w="1578"/>
        <w:gridCol w:w="2210"/>
      </w:tblGrid>
      <w:tr w:rsidR="00911569" w:rsidRPr="003E2A47" w14:paraId="7A5D0CDC" w14:textId="77777777" w:rsidTr="00911569">
        <w:trPr>
          <w:cnfStyle w:val="100000000000" w:firstRow="1" w:lastRow="0" w:firstColumn="0" w:lastColumn="0" w:oddVBand="0" w:evenVBand="0" w:oddHBand="0" w:evenHBand="0" w:firstRowFirstColumn="0" w:firstRowLastColumn="0" w:lastRowFirstColumn="0" w:lastRowLastColumn="0"/>
          <w:tblHeader/>
        </w:trPr>
        <w:tc>
          <w:tcPr>
            <w:tcW w:w="957" w:type="dxa"/>
          </w:tcPr>
          <w:p w14:paraId="04DEB3D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Framework</w:t>
            </w:r>
          </w:p>
        </w:tc>
        <w:tc>
          <w:tcPr>
            <w:tcW w:w="870" w:type="dxa"/>
          </w:tcPr>
          <w:p w14:paraId="6EA72962"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Strength</w:t>
            </w:r>
          </w:p>
        </w:tc>
        <w:tc>
          <w:tcPr>
            <w:tcW w:w="870" w:type="dxa"/>
          </w:tcPr>
          <w:p w14:paraId="1DEB775C"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Best Fit</w:t>
            </w:r>
          </w:p>
        </w:tc>
        <w:tc>
          <w:tcPr>
            <w:tcW w:w="2088" w:type="dxa"/>
          </w:tcPr>
          <w:p w14:paraId="6D4EC755"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Production Deployments</w:t>
            </w:r>
          </w:p>
        </w:tc>
        <w:tc>
          <w:tcPr>
            <w:tcW w:w="1305" w:type="dxa"/>
          </w:tcPr>
          <w:p w14:paraId="0241E997"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Control Level</w:t>
            </w:r>
          </w:p>
        </w:tc>
        <w:tc>
          <w:tcPr>
            <w:tcW w:w="1827" w:type="dxa"/>
          </w:tcPr>
          <w:p w14:paraId="35AAF3F0"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Enterprise Readiness</w:t>
            </w:r>
          </w:p>
        </w:tc>
      </w:tr>
      <w:tr w:rsidR="00911569" w:rsidRPr="003E2A47" w14:paraId="2A4018EF" w14:textId="77777777">
        <w:tc>
          <w:tcPr>
            <w:tcW w:w="957" w:type="dxa"/>
          </w:tcPr>
          <w:p w14:paraId="5EC3607C"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LangGraph</w:t>
            </w:r>
          </w:p>
        </w:tc>
        <w:tc>
          <w:tcPr>
            <w:tcW w:w="870" w:type="dxa"/>
          </w:tcPr>
          <w:p w14:paraId="08596BF6"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Stateful graphs, deterministic workflows, fine-grained control</w:t>
            </w:r>
          </w:p>
        </w:tc>
        <w:tc>
          <w:tcPr>
            <w:tcW w:w="870" w:type="dxa"/>
          </w:tcPr>
          <w:p w14:paraId="698F79F5"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Production-grade pipelines with audit and recovery requirements</w:t>
            </w:r>
          </w:p>
        </w:tc>
        <w:tc>
          <w:tcPr>
            <w:tcW w:w="2088" w:type="dxa"/>
          </w:tcPr>
          <w:p w14:paraId="404691A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Klarna, Elastic</w:t>
            </w:r>
          </w:p>
        </w:tc>
        <w:tc>
          <w:tcPr>
            <w:tcW w:w="1305" w:type="dxa"/>
          </w:tcPr>
          <w:p w14:paraId="6E4FACB4"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High</w:t>
            </w:r>
          </w:p>
        </w:tc>
        <w:tc>
          <w:tcPr>
            <w:tcW w:w="1827" w:type="dxa"/>
          </w:tcPr>
          <w:p w14:paraId="01A17632"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High</w:t>
            </w:r>
          </w:p>
        </w:tc>
      </w:tr>
      <w:tr w:rsidR="00911569" w:rsidRPr="003E2A47" w14:paraId="6D9D86C7" w14:textId="77777777">
        <w:tc>
          <w:tcPr>
            <w:tcW w:w="957" w:type="dxa"/>
          </w:tcPr>
          <w:p w14:paraId="78094836"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CrewAI</w:t>
            </w:r>
          </w:p>
        </w:tc>
        <w:tc>
          <w:tcPr>
            <w:tcW w:w="870" w:type="dxa"/>
          </w:tcPr>
          <w:p w14:paraId="17243E96"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Fast iteration, role-based crews, enterprise control plane</w:t>
            </w:r>
          </w:p>
        </w:tc>
        <w:tc>
          <w:tcPr>
            <w:tcW w:w="870" w:type="dxa"/>
          </w:tcPr>
          <w:p w14:paraId="6481BF0E"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Agent teams with clear roles, low-code authoring</w:t>
            </w:r>
          </w:p>
        </w:tc>
        <w:tc>
          <w:tcPr>
            <w:tcW w:w="2088" w:type="dxa"/>
          </w:tcPr>
          <w:p w14:paraId="608B6FA0"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Fortune 500 (undisclosed)</w:t>
            </w:r>
          </w:p>
        </w:tc>
        <w:tc>
          <w:tcPr>
            <w:tcW w:w="1305" w:type="dxa"/>
          </w:tcPr>
          <w:p w14:paraId="60462A69"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Medium</w:t>
            </w:r>
          </w:p>
        </w:tc>
        <w:tc>
          <w:tcPr>
            <w:tcW w:w="1827" w:type="dxa"/>
          </w:tcPr>
          <w:p w14:paraId="7ED5DD73"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High</w:t>
            </w:r>
          </w:p>
        </w:tc>
      </w:tr>
      <w:tr w:rsidR="00911569" w:rsidRPr="003E2A47" w14:paraId="7158C449" w14:textId="77777777">
        <w:tc>
          <w:tcPr>
            <w:tcW w:w="957" w:type="dxa"/>
          </w:tcPr>
          <w:p w14:paraId="4F485FD3"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AutoGen</w:t>
            </w:r>
          </w:p>
        </w:tc>
        <w:tc>
          <w:tcPr>
            <w:tcW w:w="870" w:type="dxa"/>
          </w:tcPr>
          <w:p w14:paraId="26911245"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Multi-agent chat, code execution, research flexibilit</w:t>
            </w:r>
            <w:r w:rsidRPr="003E2A47">
              <w:rPr>
                <w:rFonts w:ascii="Times New Roman" w:hAnsi="Times New Roman" w:cs="Times New Roman"/>
                <w:color w:val="000000" w:themeColor="text1"/>
              </w:rPr>
              <w:lastRenderedPageBreak/>
              <w:t>y</w:t>
            </w:r>
          </w:p>
        </w:tc>
        <w:tc>
          <w:tcPr>
            <w:tcW w:w="870" w:type="dxa"/>
          </w:tcPr>
          <w:p w14:paraId="2676BB22"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lastRenderedPageBreak/>
              <w:t>R&amp;D, prototyping, human-in-the-loop research</w:t>
            </w:r>
          </w:p>
        </w:tc>
        <w:tc>
          <w:tcPr>
            <w:tcW w:w="2088" w:type="dxa"/>
          </w:tcPr>
          <w:p w14:paraId="33F5C791"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Microsoft/Azure AI</w:t>
            </w:r>
          </w:p>
        </w:tc>
        <w:tc>
          <w:tcPr>
            <w:tcW w:w="1305" w:type="dxa"/>
          </w:tcPr>
          <w:p w14:paraId="76F5D2B3"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Medium</w:t>
            </w:r>
          </w:p>
        </w:tc>
        <w:tc>
          <w:tcPr>
            <w:tcW w:w="1827" w:type="dxa"/>
          </w:tcPr>
          <w:p w14:paraId="4FA112BD"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Medium</w:t>
            </w:r>
          </w:p>
        </w:tc>
      </w:tr>
      <w:tr w:rsidR="00911569" w:rsidRPr="003E2A47" w14:paraId="406DC720" w14:textId="77777777">
        <w:tc>
          <w:tcPr>
            <w:tcW w:w="957" w:type="dxa"/>
          </w:tcPr>
          <w:p w14:paraId="756F065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Google ADK</w:t>
            </w:r>
          </w:p>
        </w:tc>
        <w:tc>
          <w:tcPr>
            <w:tcW w:w="870" w:type="dxa"/>
          </w:tcPr>
          <w:p w14:paraId="3F547342"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Managed deployment, SLAs, security compliance</w:t>
            </w:r>
          </w:p>
        </w:tc>
        <w:tc>
          <w:tcPr>
            <w:tcW w:w="870" w:type="dxa"/>
          </w:tcPr>
          <w:p w14:paraId="25D6717C"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GCP-aligned organizations needing turnkey operations</w:t>
            </w:r>
          </w:p>
        </w:tc>
        <w:tc>
          <w:tcPr>
            <w:tcW w:w="2088" w:type="dxa"/>
          </w:tcPr>
          <w:p w14:paraId="2ECC78F7"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GCP enterprises</w:t>
            </w:r>
          </w:p>
        </w:tc>
        <w:tc>
          <w:tcPr>
            <w:tcW w:w="1305" w:type="dxa"/>
          </w:tcPr>
          <w:p w14:paraId="75496A2D"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Low (managed)</w:t>
            </w:r>
          </w:p>
        </w:tc>
        <w:tc>
          <w:tcPr>
            <w:tcW w:w="1827" w:type="dxa"/>
          </w:tcPr>
          <w:p w14:paraId="1C7B475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High</w:t>
            </w:r>
          </w:p>
        </w:tc>
      </w:tr>
    </w:tbl>
    <w:p w14:paraId="4E7CF8A1" w14:textId="77777777" w:rsidR="00911569" w:rsidRPr="003E2A47" w:rsidRDefault="00000000" w:rsidP="003E2A47">
      <w:pPr>
        <w:pStyle w:val="Heading3"/>
        <w:jc w:val="both"/>
        <w:rPr>
          <w:rFonts w:ascii="Times New Roman" w:hAnsi="Times New Roman" w:cs="Times New Roman"/>
          <w:color w:val="000000" w:themeColor="text1"/>
        </w:rPr>
      </w:pPr>
      <w:bookmarkStart w:id="29" w:name="framework-selection-guidance"/>
      <w:bookmarkEnd w:id="28"/>
      <w:r w:rsidRPr="003E2A47">
        <w:rPr>
          <w:rFonts w:ascii="Times New Roman" w:hAnsi="Times New Roman" w:cs="Times New Roman"/>
          <w:color w:val="000000" w:themeColor="text1"/>
        </w:rPr>
        <w:t>7.2 Framework Selection Guidance</w:t>
      </w:r>
    </w:p>
    <w:p w14:paraId="2B5B28CF"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Choose LangGraph if</w:t>
      </w:r>
      <w:r w:rsidRPr="003E2A47">
        <w:rPr>
          <w:rFonts w:ascii="Times New Roman" w:hAnsi="Times New Roman" w:cs="Times New Roman"/>
          <w:color w:val="000000" w:themeColor="text1"/>
        </w:rPr>
        <w:t>: You require deterministic, auditable workflows with explicit state management. Your use case involves complex branching logic, error recovery, and compliance requirements. You have engineering capacity to manage infrastructure.</w:t>
      </w:r>
    </w:p>
    <w:p w14:paraId="63394B63"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Choose CrewAI if</w:t>
      </w:r>
      <w:r w:rsidRPr="003E2A47">
        <w:rPr>
          <w:rFonts w:ascii="Times New Roman" w:hAnsi="Times New Roman" w:cs="Times New Roman"/>
          <w:color w:val="000000" w:themeColor="text1"/>
        </w:rPr>
        <w:t>: You need rapid iteration with business-friendly authoring. Your use case involves role-based agent teams (researcher + writer + critic). You value an enterprise control plane (monitoring, governance, deployment) as a managed service.</w:t>
      </w:r>
    </w:p>
    <w:p w14:paraId="280E0C07"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Choose AutoGen if</w:t>
      </w:r>
      <w:r w:rsidRPr="003E2A47">
        <w:rPr>
          <w:rFonts w:ascii="Times New Roman" w:hAnsi="Times New Roman" w:cs="Times New Roman"/>
          <w:color w:val="000000" w:themeColor="text1"/>
        </w:rPr>
        <w:t>: You’re in research/prototyping phase and need flexibility over production guarantees. Your use case benefits from conversational multi-agent interaction and code execution. You can tolerate framework churn.</w:t>
      </w:r>
    </w:p>
    <w:p w14:paraId="3DF03412"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Choose Google ADK if</w:t>
      </w:r>
      <w:r w:rsidRPr="003E2A47">
        <w:rPr>
          <w:rFonts w:ascii="Times New Roman" w:hAnsi="Times New Roman" w:cs="Times New Roman"/>
          <w:color w:val="000000" w:themeColor="text1"/>
        </w:rPr>
        <w:t>: You’re a GCP-native organization and prefer managed services over self-hosted infrastructure. You need vendor SLAs and compliance certifications. You’re willing to accept some lock-in for operational simplicity.</w:t>
      </w:r>
    </w:p>
    <w:p w14:paraId="430A73FA" w14:textId="77777777" w:rsidR="00911569" w:rsidRPr="003E2A47" w:rsidRDefault="00000000" w:rsidP="003E2A47">
      <w:pPr>
        <w:pStyle w:val="Heading3"/>
        <w:jc w:val="both"/>
        <w:rPr>
          <w:rFonts w:ascii="Times New Roman" w:hAnsi="Times New Roman" w:cs="Times New Roman"/>
          <w:color w:val="000000" w:themeColor="text1"/>
        </w:rPr>
      </w:pPr>
      <w:bookmarkStart w:id="30" w:name="common-antipatterns"/>
      <w:bookmarkEnd w:id="29"/>
      <w:r w:rsidRPr="003E2A47">
        <w:rPr>
          <w:rFonts w:ascii="Times New Roman" w:hAnsi="Times New Roman" w:cs="Times New Roman"/>
          <w:color w:val="000000" w:themeColor="text1"/>
        </w:rPr>
        <w:t>7.3 Common Antipatterns</w:t>
      </w:r>
    </w:p>
    <w:p w14:paraId="031004B5"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Analysis of failed deployments reveals framework-independent antipatterns:</w:t>
      </w:r>
    </w:p>
    <w:p w14:paraId="189140CA" w14:textId="77777777" w:rsidR="00911569" w:rsidRPr="003E2A47" w:rsidRDefault="00000000" w:rsidP="003E2A47">
      <w:pPr>
        <w:numPr>
          <w:ilvl w:val="0"/>
          <w:numId w:val="6"/>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Framework-first thinking</w:t>
      </w:r>
      <w:r w:rsidRPr="003E2A47">
        <w:rPr>
          <w:rFonts w:ascii="Times New Roman" w:hAnsi="Times New Roman" w:cs="Times New Roman"/>
          <w:color w:val="000000" w:themeColor="text1"/>
        </w:rPr>
        <w:t>: Selecting a framework before defining the workflow. Correct sequence: workflow → capability requirements → framework fit.</w:t>
      </w:r>
    </w:p>
    <w:p w14:paraId="176F3F3C" w14:textId="77777777" w:rsidR="00911569" w:rsidRPr="003E2A47" w:rsidRDefault="00000000" w:rsidP="003E2A47">
      <w:pPr>
        <w:numPr>
          <w:ilvl w:val="0"/>
          <w:numId w:val="6"/>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Underestimating orchestration complexity</w:t>
      </w:r>
      <w:r w:rsidRPr="003E2A47">
        <w:rPr>
          <w:rFonts w:ascii="Times New Roman" w:hAnsi="Times New Roman" w:cs="Times New Roman"/>
          <w:color w:val="000000" w:themeColor="text1"/>
        </w:rPr>
        <w:t>: Multi-agent systems appear simple in demos but require sophisticated error handling, timeout management, and deadlock prevention in production.</w:t>
      </w:r>
    </w:p>
    <w:p w14:paraId="21D98D9B" w14:textId="77777777" w:rsidR="00911569" w:rsidRPr="003E2A47" w:rsidRDefault="00000000" w:rsidP="003E2A47">
      <w:pPr>
        <w:numPr>
          <w:ilvl w:val="0"/>
          <w:numId w:val="6"/>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Ignoring observability</w:t>
      </w:r>
      <w:r w:rsidRPr="003E2A47">
        <w:rPr>
          <w:rFonts w:ascii="Times New Roman" w:hAnsi="Times New Roman" w:cs="Times New Roman"/>
          <w:color w:val="000000" w:themeColor="text1"/>
        </w:rPr>
        <w:t>: Deploying agents without end-to-end tracing. When agents fail, debugging becomes impossible without visibility into prompt → tool call → output chains.</w:t>
      </w:r>
    </w:p>
    <w:p w14:paraId="321A3E9D" w14:textId="77777777" w:rsidR="00911569" w:rsidRPr="003E2A47" w:rsidRDefault="00000000" w:rsidP="003E2A47">
      <w:pPr>
        <w:numPr>
          <w:ilvl w:val="0"/>
          <w:numId w:val="6"/>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Over-autonomy out of the gate</w:t>
      </w:r>
      <w:r w:rsidRPr="003E2A47">
        <w:rPr>
          <w:rFonts w:ascii="Times New Roman" w:hAnsi="Times New Roman" w:cs="Times New Roman"/>
          <w:color w:val="000000" w:themeColor="text1"/>
        </w:rPr>
        <w:t>: Granting full autonomy before establishing baseline performance. Successful deployments start with human-in-loop approval and gradually increase autonomy as trust builds.</w:t>
      </w:r>
    </w:p>
    <w:p w14:paraId="33E0D591"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lastRenderedPageBreak/>
        <w:pict w14:anchorId="197E02FE">
          <v:rect id="_x0000_i1032" alt="" style="width:468pt;height:.05pt;mso-width-percent:0;mso-height-percent:0;mso-width-percent:0;mso-height-percent:0" o:hralign="center" o:hrstd="t" o:hr="t"/>
        </w:pict>
      </w:r>
    </w:p>
    <w:p w14:paraId="536DEEEC" w14:textId="77777777" w:rsidR="00911569" w:rsidRPr="003E2A47" w:rsidRDefault="00000000" w:rsidP="003E2A47">
      <w:pPr>
        <w:pStyle w:val="Heading2"/>
        <w:jc w:val="both"/>
        <w:rPr>
          <w:rFonts w:ascii="Times New Roman" w:hAnsi="Times New Roman" w:cs="Times New Roman"/>
          <w:color w:val="000000" w:themeColor="text1"/>
        </w:rPr>
      </w:pPr>
      <w:bookmarkStart w:id="31" w:name="maturity-model"/>
      <w:bookmarkEnd w:id="27"/>
      <w:bookmarkEnd w:id="30"/>
      <w:r w:rsidRPr="003E2A47">
        <w:rPr>
          <w:rFonts w:ascii="Times New Roman" w:hAnsi="Times New Roman" w:cs="Times New Roman"/>
          <w:color w:val="000000" w:themeColor="text1"/>
        </w:rPr>
        <w:t>8. MATURITY MODEL</w:t>
      </w:r>
    </w:p>
    <w:p w14:paraId="3B73A602" w14:textId="77777777" w:rsidR="00911569" w:rsidRPr="003E2A47" w:rsidRDefault="00000000" w:rsidP="003E2A47">
      <w:pPr>
        <w:pStyle w:val="Heading3"/>
        <w:jc w:val="both"/>
        <w:rPr>
          <w:rFonts w:ascii="Times New Roman" w:hAnsi="Times New Roman" w:cs="Times New Roman"/>
          <w:color w:val="000000" w:themeColor="text1"/>
        </w:rPr>
      </w:pPr>
      <w:bookmarkStart w:id="32" w:name="five-stages-of-agentic-maturity"/>
      <w:r w:rsidRPr="003E2A47">
        <w:rPr>
          <w:rFonts w:ascii="Times New Roman" w:hAnsi="Times New Roman" w:cs="Times New Roman"/>
          <w:color w:val="000000" w:themeColor="text1"/>
        </w:rPr>
        <w:t>8.1 Five Stages of Agentic Maturity</w:t>
      </w:r>
    </w:p>
    <w:p w14:paraId="5EB45F22"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Organizations progress through five distinct stages in their agentic AI journey:</w:t>
      </w:r>
    </w:p>
    <w:p w14:paraId="48B2955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Stage 1: Assistive (Most organizations today)</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Characteristics</w:t>
      </w:r>
      <w:r w:rsidRPr="003E2A47">
        <w:rPr>
          <w:rFonts w:ascii="Times New Roman" w:hAnsi="Times New Roman" w:cs="Times New Roman"/>
          <w:color w:val="000000" w:themeColor="text1"/>
        </w:rPr>
        <w:t xml:space="preserve">: Copilots embedded in applications; humans drive every step - </w:t>
      </w:r>
      <w:r w:rsidRPr="003E2A47">
        <w:rPr>
          <w:rFonts w:ascii="Times New Roman" w:hAnsi="Times New Roman" w:cs="Times New Roman"/>
          <w:b/>
          <w:bCs/>
          <w:color w:val="000000" w:themeColor="text1"/>
        </w:rPr>
        <w:t>Interaction</w:t>
      </w:r>
      <w:r w:rsidRPr="003E2A47">
        <w:rPr>
          <w:rFonts w:ascii="Times New Roman" w:hAnsi="Times New Roman" w:cs="Times New Roman"/>
          <w:color w:val="000000" w:themeColor="text1"/>
        </w:rPr>
        <w:t xml:space="preserve">: One-shot prompt-response; no persistent memory - </w:t>
      </w:r>
      <w:r w:rsidRPr="003E2A47">
        <w:rPr>
          <w:rFonts w:ascii="Times New Roman" w:hAnsi="Times New Roman" w:cs="Times New Roman"/>
          <w:b/>
          <w:bCs/>
          <w:color w:val="000000" w:themeColor="text1"/>
        </w:rPr>
        <w:t>Tools</w:t>
      </w:r>
      <w:r w:rsidRPr="003E2A47">
        <w:rPr>
          <w:rFonts w:ascii="Times New Roman" w:hAnsi="Times New Roman" w:cs="Times New Roman"/>
          <w:color w:val="000000" w:themeColor="text1"/>
        </w:rPr>
        <w:t xml:space="preserve">: Optional plug-ins, human orchestrates tool use - </w:t>
      </w:r>
      <w:r w:rsidRPr="003E2A47">
        <w:rPr>
          <w:rFonts w:ascii="Times New Roman" w:hAnsi="Times New Roman" w:cs="Times New Roman"/>
          <w:b/>
          <w:bCs/>
          <w:color w:val="000000" w:themeColor="text1"/>
        </w:rPr>
        <w:t>Value</w:t>
      </w:r>
      <w:r w:rsidRPr="003E2A47">
        <w:rPr>
          <w:rFonts w:ascii="Times New Roman" w:hAnsi="Times New Roman" w:cs="Times New Roman"/>
          <w:color w:val="000000" w:themeColor="text1"/>
        </w:rPr>
        <w:t xml:space="preserve">: Productivity per user (drafting, summarization) - </w:t>
      </w:r>
      <w:r w:rsidRPr="003E2A47">
        <w:rPr>
          <w:rFonts w:ascii="Times New Roman" w:hAnsi="Times New Roman" w:cs="Times New Roman"/>
          <w:b/>
          <w:bCs/>
          <w:color w:val="000000" w:themeColor="text1"/>
        </w:rPr>
        <w:t>Governance</w:t>
      </w:r>
      <w:r w:rsidRPr="003E2A47">
        <w:rPr>
          <w:rFonts w:ascii="Times New Roman" w:hAnsi="Times New Roman" w:cs="Times New Roman"/>
          <w:color w:val="000000" w:themeColor="text1"/>
        </w:rPr>
        <w:t>: Lightweight content policies</w:t>
      </w:r>
    </w:p>
    <w:p w14:paraId="0617D2FF"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Stage 2: Task Agents (31% in production)</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Characteristics</w:t>
      </w:r>
      <w:r w:rsidRPr="003E2A47">
        <w:rPr>
          <w:rFonts w:ascii="Times New Roman" w:hAnsi="Times New Roman" w:cs="Times New Roman"/>
          <w:color w:val="000000" w:themeColor="text1"/>
        </w:rPr>
        <w:t xml:space="preserve">: Single-purpose agents own discrete tasks with human approval - </w:t>
      </w:r>
      <w:r w:rsidRPr="003E2A47">
        <w:rPr>
          <w:rFonts w:ascii="Times New Roman" w:hAnsi="Times New Roman" w:cs="Times New Roman"/>
          <w:b/>
          <w:bCs/>
          <w:color w:val="000000" w:themeColor="text1"/>
        </w:rPr>
        <w:t>Interaction</w:t>
      </w:r>
      <w:r w:rsidRPr="003E2A47">
        <w:rPr>
          <w:rFonts w:ascii="Times New Roman" w:hAnsi="Times New Roman" w:cs="Times New Roman"/>
          <w:color w:val="000000" w:themeColor="text1"/>
        </w:rPr>
        <w:t xml:space="preserve">: Goal pursuit within task boundary; short-term memory - </w:t>
      </w:r>
      <w:r w:rsidRPr="003E2A47">
        <w:rPr>
          <w:rFonts w:ascii="Times New Roman" w:hAnsi="Times New Roman" w:cs="Times New Roman"/>
          <w:b/>
          <w:bCs/>
          <w:color w:val="000000" w:themeColor="text1"/>
        </w:rPr>
        <w:t>Tools</w:t>
      </w:r>
      <w:r w:rsidRPr="003E2A47">
        <w:rPr>
          <w:rFonts w:ascii="Times New Roman" w:hAnsi="Times New Roman" w:cs="Times New Roman"/>
          <w:color w:val="000000" w:themeColor="text1"/>
        </w:rPr>
        <w:t xml:space="preserve">: Native tool execution for specific task domain - </w:t>
      </w:r>
      <w:r w:rsidRPr="003E2A47">
        <w:rPr>
          <w:rFonts w:ascii="Times New Roman" w:hAnsi="Times New Roman" w:cs="Times New Roman"/>
          <w:b/>
          <w:bCs/>
          <w:color w:val="000000" w:themeColor="text1"/>
        </w:rPr>
        <w:t>Value</w:t>
      </w:r>
      <w:r w:rsidRPr="003E2A47">
        <w:rPr>
          <w:rFonts w:ascii="Times New Roman" w:hAnsi="Times New Roman" w:cs="Times New Roman"/>
          <w:color w:val="000000" w:themeColor="text1"/>
        </w:rPr>
        <w:t xml:space="preserve">: Cycle time reduction for well-defined tasks - </w:t>
      </w:r>
      <w:r w:rsidRPr="003E2A47">
        <w:rPr>
          <w:rFonts w:ascii="Times New Roman" w:hAnsi="Times New Roman" w:cs="Times New Roman"/>
          <w:b/>
          <w:bCs/>
          <w:color w:val="000000" w:themeColor="text1"/>
        </w:rPr>
        <w:t>Governance</w:t>
      </w:r>
      <w:r w:rsidRPr="003E2A47">
        <w:rPr>
          <w:rFonts w:ascii="Times New Roman" w:hAnsi="Times New Roman" w:cs="Times New Roman"/>
          <w:color w:val="000000" w:themeColor="text1"/>
        </w:rPr>
        <w:t>: Approval gates for actions, basic audit trail</w:t>
      </w:r>
    </w:p>
    <w:p w14:paraId="5B063071"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Stage 3: Workflow Agents (23% scaling)</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Characteristics</w:t>
      </w:r>
      <w:r w:rsidRPr="003E2A47">
        <w:rPr>
          <w:rFonts w:ascii="Times New Roman" w:hAnsi="Times New Roman" w:cs="Times New Roman"/>
          <w:color w:val="000000" w:themeColor="text1"/>
        </w:rPr>
        <w:t xml:space="preserve">: End-to-end ownership of complete workflows with policy guardrails - </w:t>
      </w:r>
      <w:r w:rsidRPr="003E2A47">
        <w:rPr>
          <w:rFonts w:ascii="Times New Roman" w:hAnsi="Times New Roman" w:cs="Times New Roman"/>
          <w:b/>
          <w:bCs/>
          <w:color w:val="000000" w:themeColor="text1"/>
        </w:rPr>
        <w:t>Interaction</w:t>
      </w:r>
      <w:r w:rsidRPr="003E2A47">
        <w:rPr>
          <w:rFonts w:ascii="Times New Roman" w:hAnsi="Times New Roman" w:cs="Times New Roman"/>
          <w:color w:val="000000" w:themeColor="text1"/>
        </w:rPr>
        <w:t xml:space="preserve">: Multi-step planning and execution; episodic memory - </w:t>
      </w:r>
      <w:r w:rsidRPr="003E2A47">
        <w:rPr>
          <w:rFonts w:ascii="Times New Roman" w:hAnsi="Times New Roman" w:cs="Times New Roman"/>
          <w:b/>
          <w:bCs/>
          <w:color w:val="000000" w:themeColor="text1"/>
        </w:rPr>
        <w:t>Tools</w:t>
      </w:r>
      <w:r w:rsidRPr="003E2A47">
        <w:rPr>
          <w:rFonts w:ascii="Times New Roman" w:hAnsi="Times New Roman" w:cs="Times New Roman"/>
          <w:color w:val="000000" w:themeColor="text1"/>
        </w:rPr>
        <w:t xml:space="preserve">: Full API access within domain; error recovery - </w:t>
      </w:r>
      <w:r w:rsidRPr="003E2A47">
        <w:rPr>
          <w:rFonts w:ascii="Times New Roman" w:hAnsi="Times New Roman" w:cs="Times New Roman"/>
          <w:b/>
          <w:bCs/>
          <w:color w:val="000000" w:themeColor="text1"/>
        </w:rPr>
        <w:t>Value</w:t>
      </w:r>
      <w:r w:rsidRPr="003E2A47">
        <w:rPr>
          <w:rFonts w:ascii="Times New Roman" w:hAnsi="Times New Roman" w:cs="Times New Roman"/>
          <w:color w:val="000000" w:themeColor="text1"/>
        </w:rPr>
        <w:t xml:space="preserve">: Outcomes per workflow; labor leverage at scale - </w:t>
      </w:r>
      <w:r w:rsidRPr="003E2A47">
        <w:rPr>
          <w:rFonts w:ascii="Times New Roman" w:hAnsi="Times New Roman" w:cs="Times New Roman"/>
          <w:b/>
          <w:bCs/>
          <w:color w:val="000000" w:themeColor="text1"/>
        </w:rPr>
        <w:t>Governance</w:t>
      </w:r>
      <w:r w:rsidRPr="003E2A47">
        <w:rPr>
          <w:rFonts w:ascii="Times New Roman" w:hAnsi="Times New Roman" w:cs="Times New Roman"/>
          <w:color w:val="000000" w:themeColor="text1"/>
        </w:rPr>
        <w:t>: Risk-tiering, policy-based autonomy, full audit trail</w:t>
      </w:r>
    </w:p>
    <w:p w14:paraId="177D348C"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Stage 4: Multi-Agent Systems (22% with 3+ agents)</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Characteristics</w:t>
      </w:r>
      <w:r w:rsidRPr="003E2A47">
        <w:rPr>
          <w:rFonts w:ascii="Times New Roman" w:hAnsi="Times New Roman" w:cs="Times New Roman"/>
          <w:color w:val="000000" w:themeColor="text1"/>
        </w:rPr>
        <w:t xml:space="preserve">: Orchestrated specialists across functions; shared memory - </w:t>
      </w:r>
      <w:r w:rsidRPr="003E2A47">
        <w:rPr>
          <w:rFonts w:ascii="Times New Roman" w:hAnsi="Times New Roman" w:cs="Times New Roman"/>
          <w:b/>
          <w:bCs/>
          <w:color w:val="000000" w:themeColor="text1"/>
        </w:rPr>
        <w:t>Interaction</w:t>
      </w:r>
      <w:r w:rsidRPr="003E2A47">
        <w:rPr>
          <w:rFonts w:ascii="Times New Roman" w:hAnsi="Times New Roman" w:cs="Times New Roman"/>
          <w:color w:val="000000" w:themeColor="text1"/>
        </w:rPr>
        <w:t xml:space="preserve">: Agent-to-agent delegation and coordination - </w:t>
      </w:r>
      <w:r w:rsidRPr="003E2A47">
        <w:rPr>
          <w:rFonts w:ascii="Times New Roman" w:hAnsi="Times New Roman" w:cs="Times New Roman"/>
          <w:b/>
          <w:bCs/>
          <w:color w:val="000000" w:themeColor="text1"/>
        </w:rPr>
        <w:t>Tools</w:t>
      </w:r>
      <w:r w:rsidRPr="003E2A47">
        <w:rPr>
          <w:rFonts w:ascii="Times New Roman" w:hAnsi="Times New Roman" w:cs="Times New Roman"/>
          <w:color w:val="000000" w:themeColor="text1"/>
        </w:rPr>
        <w:t xml:space="preserve">: Cross-functional tool access with RBAC - </w:t>
      </w:r>
      <w:r w:rsidRPr="003E2A47">
        <w:rPr>
          <w:rFonts w:ascii="Times New Roman" w:hAnsi="Times New Roman" w:cs="Times New Roman"/>
          <w:b/>
          <w:bCs/>
          <w:color w:val="000000" w:themeColor="text1"/>
        </w:rPr>
        <w:t>Value</w:t>
      </w:r>
      <w:r w:rsidRPr="003E2A47">
        <w:rPr>
          <w:rFonts w:ascii="Times New Roman" w:hAnsi="Times New Roman" w:cs="Times New Roman"/>
          <w:color w:val="000000" w:themeColor="text1"/>
        </w:rPr>
        <w:t xml:space="preserve">: Compound productivity gains; 10%+ growth uplift - </w:t>
      </w:r>
      <w:r w:rsidRPr="003E2A47">
        <w:rPr>
          <w:rFonts w:ascii="Times New Roman" w:hAnsi="Times New Roman" w:cs="Times New Roman"/>
          <w:b/>
          <w:bCs/>
          <w:color w:val="000000" w:themeColor="text1"/>
        </w:rPr>
        <w:t>Governance</w:t>
      </w:r>
      <w:r w:rsidRPr="003E2A47">
        <w:rPr>
          <w:rFonts w:ascii="Times New Roman" w:hAnsi="Times New Roman" w:cs="Times New Roman"/>
          <w:color w:val="000000" w:themeColor="text1"/>
        </w:rPr>
        <w:t>: Supervisor agents, centralized policy, agent identity management</w:t>
      </w:r>
    </w:p>
    <w:p w14:paraId="39559C00"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Stage 5: Autonomous Operations (Emerging)</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Characteristics</w:t>
      </w:r>
      <w:r w:rsidRPr="003E2A47">
        <w:rPr>
          <w:rFonts w:ascii="Times New Roman" w:hAnsi="Times New Roman" w:cs="Times New Roman"/>
          <w:color w:val="000000" w:themeColor="text1"/>
        </w:rPr>
        <w:t xml:space="preserve">: Agent-native operating model; humans set goals and review exceptions - </w:t>
      </w:r>
      <w:r w:rsidRPr="003E2A47">
        <w:rPr>
          <w:rFonts w:ascii="Times New Roman" w:hAnsi="Times New Roman" w:cs="Times New Roman"/>
          <w:b/>
          <w:bCs/>
          <w:color w:val="000000" w:themeColor="text1"/>
        </w:rPr>
        <w:t>Interaction</w:t>
      </w:r>
      <w:r w:rsidRPr="003E2A47">
        <w:rPr>
          <w:rFonts w:ascii="Times New Roman" w:hAnsi="Times New Roman" w:cs="Times New Roman"/>
          <w:color w:val="000000" w:themeColor="text1"/>
        </w:rPr>
        <w:t xml:space="preserve">: Autonomous goal decomposition and re-planning - </w:t>
      </w:r>
      <w:r w:rsidRPr="003E2A47">
        <w:rPr>
          <w:rFonts w:ascii="Times New Roman" w:hAnsi="Times New Roman" w:cs="Times New Roman"/>
          <w:b/>
          <w:bCs/>
          <w:color w:val="000000" w:themeColor="text1"/>
        </w:rPr>
        <w:t>Tools</w:t>
      </w:r>
      <w:r w:rsidRPr="003E2A47">
        <w:rPr>
          <w:rFonts w:ascii="Times New Roman" w:hAnsi="Times New Roman" w:cs="Times New Roman"/>
          <w:color w:val="000000" w:themeColor="text1"/>
        </w:rPr>
        <w:t xml:space="preserve">: Self-provisioning of required capabilities - </w:t>
      </w:r>
      <w:r w:rsidRPr="003E2A47">
        <w:rPr>
          <w:rFonts w:ascii="Times New Roman" w:hAnsi="Times New Roman" w:cs="Times New Roman"/>
          <w:b/>
          <w:bCs/>
          <w:color w:val="000000" w:themeColor="text1"/>
        </w:rPr>
        <w:t>Value</w:t>
      </w:r>
      <w:r w:rsidRPr="003E2A47">
        <w:rPr>
          <w:rFonts w:ascii="Times New Roman" w:hAnsi="Times New Roman" w:cs="Times New Roman"/>
          <w:color w:val="000000" w:themeColor="text1"/>
        </w:rPr>
        <w:t xml:space="preserve">: Operating model transformation; margin expansion - </w:t>
      </w:r>
      <w:r w:rsidRPr="003E2A47">
        <w:rPr>
          <w:rFonts w:ascii="Times New Roman" w:hAnsi="Times New Roman" w:cs="Times New Roman"/>
          <w:b/>
          <w:bCs/>
          <w:color w:val="000000" w:themeColor="text1"/>
        </w:rPr>
        <w:t>Governance</w:t>
      </w:r>
      <w:r w:rsidRPr="003E2A47">
        <w:rPr>
          <w:rFonts w:ascii="Times New Roman" w:hAnsi="Times New Roman" w:cs="Times New Roman"/>
          <w:color w:val="000000" w:themeColor="text1"/>
        </w:rPr>
        <w:t>: Continuous evaluation, automated controls, exception-based human oversight</w:t>
      </w:r>
    </w:p>
    <w:p w14:paraId="244E8E3C" w14:textId="77777777" w:rsidR="00911569" w:rsidRPr="003E2A47" w:rsidRDefault="00000000" w:rsidP="003E2A47">
      <w:pPr>
        <w:pStyle w:val="Heading3"/>
        <w:jc w:val="both"/>
        <w:rPr>
          <w:rFonts w:ascii="Times New Roman" w:hAnsi="Times New Roman" w:cs="Times New Roman"/>
          <w:color w:val="000000" w:themeColor="text1"/>
        </w:rPr>
      </w:pPr>
      <w:bookmarkStart w:id="33" w:name="stage-transition-challenges"/>
      <w:bookmarkEnd w:id="32"/>
      <w:r w:rsidRPr="003E2A47">
        <w:rPr>
          <w:rFonts w:ascii="Times New Roman" w:hAnsi="Times New Roman" w:cs="Times New Roman"/>
          <w:color w:val="000000" w:themeColor="text1"/>
        </w:rPr>
        <w:t>8.2 Stage Transition Challenges</w:t>
      </w:r>
    </w:p>
    <w:p w14:paraId="74B34C4A"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Each stage transition introduces new failure modes:</w:t>
      </w:r>
    </w:p>
    <w:p w14:paraId="1D82B170"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1 → 2 (Assistive to Task)</w:t>
      </w:r>
      <w:r w:rsidRPr="003E2A47">
        <w:rPr>
          <w:rFonts w:ascii="Times New Roman" w:hAnsi="Times New Roman" w:cs="Times New Roman"/>
          <w:color w:val="000000" w:themeColor="text1"/>
        </w:rPr>
        <w:t>: Data quality becomes critical. Assistive AI can qualify answers; task agents execute transactions. Organizations discover data flaws only when agents act on bad data.</w:t>
      </w:r>
    </w:p>
    <w:p w14:paraId="39DDE79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2 → 3 (Task to Workflow)</w:t>
      </w:r>
      <w:r w:rsidRPr="003E2A47">
        <w:rPr>
          <w:rFonts w:ascii="Times New Roman" w:hAnsi="Times New Roman" w:cs="Times New Roman"/>
          <w:color w:val="000000" w:themeColor="text1"/>
        </w:rPr>
        <w:t>: Workflow complexity explodes. Task agents handle one step; workflow agents coordinate multiple steps with branching logic, requiring sophisticated orchestration.</w:t>
      </w:r>
    </w:p>
    <w:p w14:paraId="110A2D6D"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3 → 4 (Workflow to Multi-Agent)</w:t>
      </w:r>
      <w:r w:rsidRPr="003E2A47">
        <w:rPr>
          <w:rFonts w:ascii="Times New Roman" w:hAnsi="Times New Roman" w:cs="Times New Roman"/>
          <w:color w:val="000000" w:themeColor="text1"/>
        </w:rPr>
        <w:t>: Agent coordination becomes the challenge. Multi-agent systems require shared memory, conflict resolution, and deadlock prevention absent in single-agent systems.</w:t>
      </w:r>
    </w:p>
    <w:p w14:paraId="4E7D707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lastRenderedPageBreak/>
        <w:t>4 → 5 (Multi-Agent to Autonomous)</w:t>
      </w:r>
      <w:r w:rsidRPr="003E2A47">
        <w:rPr>
          <w:rFonts w:ascii="Times New Roman" w:hAnsi="Times New Roman" w:cs="Times New Roman"/>
          <w:color w:val="000000" w:themeColor="text1"/>
        </w:rPr>
        <w:t>: Organizational readiness becomes the bottleneck. Stage 5 requires role redefinition, operating model changes, and cultural shifts beyond technical capability.</w:t>
      </w:r>
    </w:p>
    <w:p w14:paraId="3D502BBE"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76E1C3A6">
          <v:rect id="_x0000_i1031" alt="" style="width:468pt;height:.05pt;mso-width-percent:0;mso-height-percent:0;mso-width-percent:0;mso-height-percent:0" o:hralign="center" o:hrstd="t" o:hr="t"/>
        </w:pict>
      </w:r>
    </w:p>
    <w:p w14:paraId="47AAFFCD" w14:textId="77777777" w:rsidR="00911569" w:rsidRPr="003E2A47" w:rsidRDefault="00000000" w:rsidP="003E2A47">
      <w:pPr>
        <w:pStyle w:val="Heading2"/>
        <w:jc w:val="both"/>
        <w:rPr>
          <w:rFonts w:ascii="Times New Roman" w:hAnsi="Times New Roman" w:cs="Times New Roman"/>
          <w:color w:val="000000" w:themeColor="text1"/>
        </w:rPr>
      </w:pPr>
      <w:bookmarkStart w:id="34" w:name="governance-and-risk-management"/>
      <w:bookmarkEnd w:id="31"/>
      <w:bookmarkEnd w:id="33"/>
      <w:r w:rsidRPr="003E2A47">
        <w:rPr>
          <w:rFonts w:ascii="Times New Roman" w:hAnsi="Times New Roman" w:cs="Times New Roman"/>
          <w:color w:val="000000" w:themeColor="text1"/>
        </w:rPr>
        <w:t>9. GOVERNANCE AND RISK MANAGEMENT</w:t>
      </w:r>
    </w:p>
    <w:p w14:paraId="062424E8" w14:textId="77777777" w:rsidR="00911569" w:rsidRPr="003E2A47" w:rsidRDefault="00000000" w:rsidP="003E2A47">
      <w:pPr>
        <w:pStyle w:val="Heading3"/>
        <w:jc w:val="both"/>
        <w:rPr>
          <w:rFonts w:ascii="Times New Roman" w:hAnsi="Times New Roman" w:cs="Times New Roman"/>
          <w:color w:val="000000" w:themeColor="text1"/>
        </w:rPr>
      </w:pPr>
      <w:bookmarkStart w:id="35" w:name="primary-failure-modes"/>
      <w:r w:rsidRPr="003E2A47">
        <w:rPr>
          <w:rFonts w:ascii="Times New Roman" w:hAnsi="Times New Roman" w:cs="Times New Roman"/>
          <w:color w:val="000000" w:themeColor="text1"/>
        </w:rPr>
        <w:t>9.1 Primary Failure Modes</w:t>
      </w:r>
    </w:p>
    <w:p w14:paraId="33A88C0F"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Analysis of the 40% at-risk agentic AI projects reveals systematic failure patterns:</w:t>
      </w:r>
    </w:p>
    <w:p w14:paraId="6411E2A1"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Data Quality (52% blocker)</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Problem</w:t>
      </w:r>
      <w:r w:rsidRPr="003E2A47">
        <w:rPr>
          <w:rFonts w:ascii="Times New Roman" w:hAnsi="Times New Roman" w:cs="Times New Roman"/>
          <w:color w:val="000000" w:themeColor="text1"/>
        </w:rPr>
        <w:t xml:space="preserve">: Agents amplify upstream data errors; garbage-in-garbage-out at scale - </w:t>
      </w:r>
      <w:r w:rsidRPr="003E2A47">
        <w:rPr>
          <w:rFonts w:ascii="Times New Roman" w:hAnsi="Times New Roman" w:cs="Times New Roman"/>
          <w:b/>
          <w:bCs/>
          <w:color w:val="000000" w:themeColor="text1"/>
        </w:rPr>
        <w:t>Manifestation</w:t>
      </w:r>
      <w:r w:rsidRPr="003E2A47">
        <w:rPr>
          <w:rFonts w:ascii="Times New Roman" w:hAnsi="Times New Roman" w:cs="Times New Roman"/>
          <w:color w:val="000000" w:themeColor="text1"/>
        </w:rPr>
        <w:t xml:space="preserve">: Agents execute confidently on flawed data, creating downstream chaos - </w:t>
      </w:r>
      <w:r w:rsidRPr="003E2A47">
        <w:rPr>
          <w:rFonts w:ascii="Times New Roman" w:hAnsi="Times New Roman" w:cs="Times New Roman"/>
          <w:b/>
          <w:bCs/>
          <w:color w:val="000000" w:themeColor="text1"/>
        </w:rPr>
        <w:t>Mitigation</w:t>
      </w:r>
      <w:r w:rsidRPr="003E2A47">
        <w:rPr>
          <w:rFonts w:ascii="Times New Roman" w:hAnsi="Times New Roman" w:cs="Times New Roman"/>
          <w:color w:val="000000" w:themeColor="text1"/>
        </w:rPr>
        <w:t>: Data quality gates before agent deployment; continuous monitoring; golden dataset validation</w:t>
      </w:r>
    </w:p>
    <w:p w14:paraId="1D3029C2"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Unclear ROI (Primary cancellation cause)</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Problem</w:t>
      </w:r>
      <w:r w:rsidRPr="003E2A47">
        <w:rPr>
          <w:rFonts w:ascii="Times New Roman" w:hAnsi="Times New Roman" w:cs="Times New Roman"/>
          <w:color w:val="000000" w:themeColor="text1"/>
        </w:rPr>
        <w:t xml:space="preserve">: Pilots without P&amp;L hooks, agreed metrics, or baselines - </w:t>
      </w:r>
      <w:r w:rsidRPr="003E2A47">
        <w:rPr>
          <w:rFonts w:ascii="Times New Roman" w:hAnsi="Times New Roman" w:cs="Times New Roman"/>
          <w:b/>
          <w:bCs/>
          <w:color w:val="000000" w:themeColor="text1"/>
        </w:rPr>
        <w:t>Manifestation</w:t>
      </w:r>
      <w:r w:rsidRPr="003E2A47">
        <w:rPr>
          <w:rFonts w:ascii="Times New Roman" w:hAnsi="Times New Roman" w:cs="Times New Roman"/>
          <w:color w:val="000000" w:themeColor="text1"/>
        </w:rPr>
        <w:t xml:space="preserve">: “Successful” demos that can’t articulate business value; funding denied for production - </w:t>
      </w:r>
      <w:r w:rsidRPr="003E2A47">
        <w:rPr>
          <w:rFonts w:ascii="Times New Roman" w:hAnsi="Times New Roman" w:cs="Times New Roman"/>
          <w:b/>
          <w:bCs/>
          <w:color w:val="000000" w:themeColor="text1"/>
        </w:rPr>
        <w:t>Mitigation</w:t>
      </w:r>
      <w:r w:rsidRPr="003E2A47">
        <w:rPr>
          <w:rFonts w:ascii="Times New Roman" w:hAnsi="Times New Roman" w:cs="Times New Roman"/>
          <w:color w:val="000000" w:themeColor="text1"/>
        </w:rPr>
        <w:t>: Define success metric and baseline before pilot; tie to P&amp;L or KPI dashboard</w:t>
      </w:r>
    </w:p>
    <w:p w14:paraId="5BBEC733"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Cost Overruns (7× YoY growth)</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Problem</w:t>
      </w:r>
      <w:r w:rsidRPr="003E2A47">
        <w:rPr>
          <w:rFonts w:ascii="Times New Roman" w:hAnsi="Times New Roman" w:cs="Times New Roman"/>
          <w:color w:val="000000" w:themeColor="text1"/>
        </w:rPr>
        <w:t xml:space="preserve">: Token spend grows 7× as agents move demo → production, but no FinOps controls - </w:t>
      </w:r>
      <w:r w:rsidRPr="003E2A47">
        <w:rPr>
          <w:rFonts w:ascii="Times New Roman" w:hAnsi="Times New Roman" w:cs="Times New Roman"/>
          <w:b/>
          <w:bCs/>
          <w:color w:val="000000" w:themeColor="text1"/>
        </w:rPr>
        <w:t>Manifestation</w:t>
      </w:r>
      <w:r w:rsidRPr="003E2A47">
        <w:rPr>
          <w:rFonts w:ascii="Times New Roman" w:hAnsi="Times New Roman" w:cs="Times New Roman"/>
          <w:color w:val="000000" w:themeColor="text1"/>
        </w:rPr>
        <w:t xml:space="preserve">: Month-end invoices 10× higher than budgeted; emergency cost containment - </w:t>
      </w:r>
      <w:r w:rsidRPr="003E2A47">
        <w:rPr>
          <w:rFonts w:ascii="Times New Roman" w:hAnsi="Times New Roman" w:cs="Times New Roman"/>
          <w:b/>
          <w:bCs/>
          <w:color w:val="000000" w:themeColor="text1"/>
        </w:rPr>
        <w:t>Mitigation</w:t>
      </w:r>
      <w:r w:rsidRPr="003E2A47">
        <w:rPr>
          <w:rFonts w:ascii="Times New Roman" w:hAnsi="Times New Roman" w:cs="Times New Roman"/>
          <w:color w:val="000000" w:themeColor="text1"/>
        </w:rPr>
        <w:t>: Per-agent budgets, model routing, rate limits, circuit breakers from day 1</w:t>
      </w:r>
    </w:p>
    <w:p w14:paraId="40ECD38F"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Governance Gaps (79% immature)</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Problem</w:t>
      </w:r>
      <w:r w:rsidRPr="003E2A47">
        <w:rPr>
          <w:rFonts w:ascii="Times New Roman" w:hAnsi="Times New Roman" w:cs="Times New Roman"/>
          <w:color w:val="000000" w:themeColor="text1"/>
        </w:rPr>
        <w:t xml:space="preserve">: Only 21% have mature governance for autonomous agents - </w:t>
      </w:r>
      <w:r w:rsidRPr="003E2A47">
        <w:rPr>
          <w:rFonts w:ascii="Times New Roman" w:hAnsi="Times New Roman" w:cs="Times New Roman"/>
          <w:b/>
          <w:bCs/>
          <w:color w:val="000000" w:themeColor="text1"/>
        </w:rPr>
        <w:t>Manifestation</w:t>
      </w:r>
      <w:r w:rsidRPr="003E2A47">
        <w:rPr>
          <w:rFonts w:ascii="Times New Roman" w:hAnsi="Times New Roman" w:cs="Times New Roman"/>
          <w:color w:val="000000" w:themeColor="text1"/>
        </w:rPr>
        <w:t xml:space="preserve">: PII leaks, compliance violations, unauthorized actions, no audit trail - </w:t>
      </w:r>
      <w:r w:rsidRPr="003E2A47">
        <w:rPr>
          <w:rFonts w:ascii="Times New Roman" w:hAnsi="Times New Roman" w:cs="Times New Roman"/>
          <w:b/>
          <w:bCs/>
          <w:color w:val="000000" w:themeColor="text1"/>
        </w:rPr>
        <w:t>Mitigation</w:t>
      </w:r>
      <w:r w:rsidRPr="003E2A47">
        <w:rPr>
          <w:rFonts w:ascii="Times New Roman" w:hAnsi="Times New Roman" w:cs="Times New Roman"/>
          <w:color w:val="000000" w:themeColor="text1"/>
        </w:rPr>
        <w:t>: Risk tiering, approval policies, agent identity, full audit logging, red-teaming</w:t>
      </w:r>
    </w:p>
    <w:p w14:paraId="587CDB3B"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Workforce Resistance (44% lack owner)</w:t>
      </w:r>
      <w:r w:rsidRPr="003E2A47">
        <w:rPr>
          <w:rFonts w:ascii="Times New Roman" w:hAnsi="Times New Roman" w:cs="Times New Roman"/>
          <w:color w:val="000000" w:themeColor="text1"/>
        </w:rPr>
        <w:t xml:space="preserve"> - </w:t>
      </w:r>
      <w:r w:rsidRPr="003E2A47">
        <w:rPr>
          <w:rFonts w:ascii="Times New Roman" w:hAnsi="Times New Roman" w:cs="Times New Roman"/>
          <w:b/>
          <w:bCs/>
          <w:color w:val="000000" w:themeColor="text1"/>
        </w:rPr>
        <w:t>Problem</w:t>
      </w:r>
      <w:r w:rsidRPr="003E2A47">
        <w:rPr>
          <w:rFonts w:ascii="Times New Roman" w:hAnsi="Times New Roman" w:cs="Times New Roman"/>
          <w:color w:val="000000" w:themeColor="text1"/>
        </w:rPr>
        <w:t xml:space="preserve">: Agents treated as IT projects rather than operational transformations - </w:t>
      </w:r>
      <w:r w:rsidRPr="003E2A47">
        <w:rPr>
          <w:rFonts w:ascii="Times New Roman" w:hAnsi="Times New Roman" w:cs="Times New Roman"/>
          <w:b/>
          <w:bCs/>
          <w:color w:val="000000" w:themeColor="text1"/>
        </w:rPr>
        <w:t>Manifestation</w:t>
      </w:r>
      <w:r w:rsidRPr="003E2A47">
        <w:rPr>
          <w:rFonts w:ascii="Times New Roman" w:hAnsi="Times New Roman" w:cs="Times New Roman"/>
          <w:color w:val="000000" w:themeColor="text1"/>
        </w:rPr>
        <w:t xml:space="preserve">: Business teams don’t adopt; agents shadow IT indefinitely - </w:t>
      </w:r>
      <w:r w:rsidRPr="003E2A47">
        <w:rPr>
          <w:rFonts w:ascii="Times New Roman" w:hAnsi="Times New Roman" w:cs="Times New Roman"/>
          <w:b/>
          <w:bCs/>
          <w:color w:val="000000" w:themeColor="text1"/>
        </w:rPr>
        <w:t>Mitigation</w:t>
      </w:r>
      <w:r w:rsidRPr="003E2A47">
        <w:rPr>
          <w:rFonts w:ascii="Times New Roman" w:hAnsi="Times New Roman" w:cs="Times New Roman"/>
          <w:color w:val="000000" w:themeColor="text1"/>
        </w:rPr>
        <w:t>: Name an agent owner (business role); co-design with workflow owners; measure business outcomes</w:t>
      </w:r>
    </w:p>
    <w:p w14:paraId="48F34ECF" w14:textId="77777777" w:rsidR="00911569" w:rsidRPr="003E2A47" w:rsidRDefault="00000000" w:rsidP="003E2A47">
      <w:pPr>
        <w:pStyle w:val="Heading3"/>
        <w:jc w:val="both"/>
        <w:rPr>
          <w:rFonts w:ascii="Times New Roman" w:hAnsi="Times New Roman" w:cs="Times New Roman"/>
          <w:color w:val="000000" w:themeColor="text1"/>
        </w:rPr>
      </w:pPr>
      <w:bookmarkStart w:id="36" w:name="governance-stack-for-production-agents"/>
      <w:bookmarkEnd w:id="35"/>
      <w:r w:rsidRPr="003E2A47">
        <w:rPr>
          <w:rFonts w:ascii="Times New Roman" w:hAnsi="Times New Roman" w:cs="Times New Roman"/>
          <w:color w:val="000000" w:themeColor="text1"/>
        </w:rPr>
        <w:t>9.2 Governance Stack for Production Agents</w:t>
      </w:r>
    </w:p>
    <w:p w14:paraId="39233603"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A governance model that scales with autonomy requires six layers:</w:t>
      </w:r>
    </w:p>
    <w:p w14:paraId="16DBF0A0"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1. Policy &amp; Ethics</w:t>
      </w:r>
      <w:r w:rsidRPr="003E2A47">
        <w:rPr>
          <w:rFonts w:ascii="Times New Roman" w:hAnsi="Times New Roman" w:cs="Times New Roman"/>
          <w:color w:val="000000" w:themeColor="text1"/>
        </w:rPr>
        <w:t xml:space="preserve"> - Acceptable-use policy for agent actions - Data residency and sovereignty rules - Model cards documenting capabilities and limitations - Fairness reviews for screening/decisioning agents - Regulatory compliance mapping (GDPR, PDPA, industry-specific)</w:t>
      </w:r>
    </w:p>
    <w:p w14:paraId="0EAAF44F"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2. Risk Classification</w:t>
      </w:r>
      <w:r w:rsidRPr="003E2A47">
        <w:rPr>
          <w:rFonts w:ascii="Times New Roman" w:hAnsi="Times New Roman" w:cs="Times New Roman"/>
          <w:color w:val="000000" w:themeColor="text1"/>
        </w:rPr>
        <w:t xml:space="preserve"> - Tier agents by autonomy × blast radius - Tier-1 (informational): Auto-execute - Tier-2 (transactional, reversible): Auto-execute with audit - Tier-3 (high-impact, irreversible): Human approval required</w:t>
      </w:r>
    </w:p>
    <w:p w14:paraId="4F6B276E"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3. Identity &amp; Access</w:t>
      </w:r>
      <w:r w:rsidRPr="003E2A47">
        <w:rPr>
          <w:rFonts w:ascii="Times New Roman" w:hAnsi="Times New Roman" w:cs="Times New Roman"/>
          <w:color w:val="000000" w:themeColor="text1"/>
        </w:rPr>
        <w:t xml:space="preserve"> - Each agent has its own identity (not shared service accounts) - Scoped tool access via RBAC - Secrets vault for API keys/credentials - Token expiration and rotation</w:t>
      </w:r>
    </w:p>
    <w:p w14:paraId="5CD491A8"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lastRenderedPageBreak/>
        <w:t>4. Evaluation &amp; Testing</w:t>
      </w:r>
      <w:r w:rsidRPr="003E2A47">
        <w:rPr>
          <w:rFonts w:ascii="Times New Roman" w:hAnsi="Times New Roman" w:cs="Times New Roman"/>
          <w:color w:val="000000" w:themeColor="text1"/>
        </w:rPr>
        <w:t xml:space="preserve"> - Pre-production evals against golden datasets - Online evals during production (sample-based) - Drift detection (accuracy degradation over time) - Red-teaming and adversarial testing - Jailbreak resistance testing</w:t>
      </w:r>
    </w:p>
    <w:p w14:paraId="61E4CD0B"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5. Observability</w:t>
      </w:r>
      <w:r w:rsidRPr="003E2A47">
        <w:rPr>
          <w:rFonts w:ascii="Times New Roman" w:hAnsi="Times New Roman" w:cs="Times New Roman"/>
          <w:color w:val="000000" w:themeColor="text1"/>
        </w:rPr>
        <w:t xml:space="preserve"> - End-to-end tracing: prompt → tool calls → outputs - Cost per action/outcome - Latency distribution - Human override rate - Error rate and retry frequency</w:t>
      </w:r>
    </w:p>
    <w:p w14:paraId="219B183B"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6. FinOps</w:t>
      </w:r>
      <w:r w:rsidRPr="003E2A47">
        <w:rPr>
          <w:rFonts w:ascii="Times New Roman" w:hAnsi="Times New Roman" w:cs="Times New Roman"/>
          <w:color w:val="000000" w:themeColor="text1"/>
        </w:rPr>
        <w:t xml:space="preserve"> - Per-agent budgets and spend tracking - Model routing (cheap models for routine, frontier for complex) - Rate limits and circuit breakers - Cost allocation to business units</w:t>
      </w:r>
    </w:p>
    <w:p w14:paraId="55FD653A"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34FAEB52">
          <v:rect id="_x0000_i1030" alt="" style="width:468pt;height:.05pt;mso-width-percent:0;mso-height-percent:0;mso-width-percent:0;mso-height-percent:0" o:hralign="center" o:hrstd="t" o:hr="t"/>
        </w:pict>
      </w:r>
    </w:p>
    <w:p w14:paraId="75213B15" w14:textId="77777777" w:rsidR="00911569" w:rsidRPr="003E2A47" w:rsidRDefault="00000000" w:rsidP="003E2A47">
      <w:pPr>
        <w:pStyle w:val="Heading2"/>
        <w:jc w:val="both"/>
        <w:rPr>
          <w:rFonts w:ascii="Times New Roman" w:hAnsi="Times New Roman" w:cs="Times New Roman"/>
          <w:color w:val="000000" w:themeColor="text1"/>
        </w:rPr>
      </w:pPr>
      <w:bookmarkStart w:id="37" w:name="implementation-roadmap"/>
      <w:bookmarkEnd w:id="34"/>
      <w:bookmarkEnd w:id="36"/>
      <w:r w:rsidRPr="003E2A47">
        <w:rPr>
          <w:rFonts w:ascii="Times New Roman" w:hAnsi="Times New Roman" w:cs="Times New Roman"/>
          <w:color w:val="000000" w:themeColor="text1"/>
        </w:rPr>
        <w:t>10. IMPLEMENTATION ROADMAP</w:t>
      </w:r>
    </w:p>
    <w:p w14:paraId="16E48CBE" w14:textId="77777777" w:rsidR="00911569" w:rsidRPr="003E2A47" w:rsidRDefault="00000000" w:rsidP="003E2A47">
      <w:pPr>
        <w:pStyle w:val="Heading3"/>
        <w:jc w:val="both"/>
        <w:rPr>
          <w:rFonts w:ascii="Times New Roman" w:hAnsi="Times New Roman" w:cs="Times New Roman"/>
          <w:color w:val="000000" w:themeColor="text1"/>
        </w:rPr>
      </w:pPr>
      <w:bookmarkStart w:id="38" w:name="day-plan-to-first-agentic-value"/>
      <w:r w:rsidRPr="003E2A47">
        <w:rPr>
          <w:rFonts w:ascii="Times New Roman" w:hAnsi="Times New Roman" w:cs="Times New Roman"/>
          <w:color w:val="000000" w:themeColor="text1"/>
        </w:rPr>
        <w:t>10.1 90-Day Plan to First Agentic Value</w:t>
      </w:r>
    </w:p>
    <w:p w14:paraId="58F80F17"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Days 0-30: Discover &amp; Decide</w:t>
      </w:r>
    </w:p>
    <w:p w14:paraId="3F67DCCB"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i/>
          <w:iCs/>
          <w:color w:val="000000" w:themeColor="text1"/>
        </w:rPr>
        <w:t>Objective</w:t>
      </w:r>
      <w:r w:rsidRPr="003E2A47">
        <w:rPr>
          <w:rFonts w:ascii="Times New Roman" w:hAnsi="Times New Roman" w:cs="Times New Roman"/>
          <w:color w:val="000000" w:themeColor="text1"/>
        </w:rPr>
        <w:t>: Identify high-value, low-risk candidate workflow</w:t>
      </w:r>
    </w:p>
    <w:p w14:paraId="0E8E1FC1" w14:textId="77777777" w:rsidR="00911569" w:rsidRPr="003E2A47" w:rsidRDefault="00000000" w:rsidP="003E2A47">
      <w:pPr>
        <w:pStyle w:val="Compact"/>
        <w:numPr>
          <w:ilvl w:val="0"/>
          <w:numId w:val="7"/>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Map 10 workflows by: volume, repetitiveness, data availability, ROI potential</w:t>
      </w:r>
    </w:p>
    <w:p w14:paraId="7D64F7F1" w14:textId="77777777" w:rsidR="00911569" w:rsidRPr="003E2A47" w:rsidRDefault="00000000" w:rsidP="003E2A47">
      <w:pPr>
        <w:pStyle w:val="Compact"/>
        <w:numPr>
          <w:ilvl w:val="0"/>
          <w:numId w:val="7"/>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Pick 1-2 workflows: high volume + repetitive + low blast radius</w:t>
      </w:r>
    </w:p>
    <w:p w14:paraId="2588C7AC" w14:textId="77777777" w:rsidR="00911569" w:rsidRPr="003E2A47" w:rsidRDefault="00000000" w:rsidP="003E2A47">
      <w:pPr>
        <w:pStyle w:val="Compact"/>
        <w:numPr>
          <w:ilvl w:val="0"/>
          <w:numId w:val="7"/>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Define success metric (cycle time, cost, accuracy) and baseline</w:t>
      </w:r>
    </w:p>
    <w:p w14:paraId="0B60D35A" w14:textId="77777777" w:rsidR="00911569" w:rsidRPr="003E2A47" w:rsidRDefault="00000000" w:rsidP="003E2A47">
      <w:pPr>
        <w:pStyle w:val="Compact"/>
        <w:numPr>
          <w:ilvl w:val="0"/>
          <w:numId w:val="7"/>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Define human-in-loop policy (what requires approval?)</w:t>
      </w:r>
    </w:p>
    <w:p w14:paraId="1C98CA36" w14:textId="77777777" w:rsidR="00911569" w:rsidRPr="003E2A47" w:rsidRDefault="00000000" w:rsidP="003E2A47">
      <w:pPr>
        <w:pStyle w:val="Compact"/>
        <w:numPr>
          <w:ilvl w:val="0"/>
          <w:numId w:val="7"/>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Stand up evaluation harness and observability infrastructure</w:t>
      </w:r>
    </w:p>
    <w:p w14:paraId="2C923B08"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i/>
          <w:iCs/>
          <w:color w:val="000000" w:themeColor="text1"/>
        </w:rPr>
        <w:t>Deliverable</w:t>
      </w:r>
      <w:r w:rsidRPr="003E2A47">
        <w:rPr>
          <w:rFonts w:ascii="Times New Roman" w:hAnsi="Times New Roman" w:cs="Times New Roman"/>
          <w:color w:val="000000" w:themeColor="text1"/>
        </w:rPr>
        <w:t>: Workflow specification, success criteria, evaluation framework</w:t>
      </w:r>
    </w:p>
    <w:p w14:paraId="00EF6B57"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Days 31-60: Build &amp; Validate</w:t>
      </w:r>
    </w:p>
    <w:p w14:paraId="7BF59C61"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i/>
          <w:iCs/>
          <w:color w:val="000000" w:themeColor="text1"/>
        </w:rPr>
        <w:t>Objective</w:t>
      </w:r>
      <w:r w:rsidRPr="003E2A47">
        <w:rPr>
          <w:rFonts w:ascii="Times New Roman" w:hAnsi="Times New Roman" w:cs="Times New Roman"/>
          <w:color w:val="000000" w:themeColor="text1"/>
        </w:rPr>
        <w:t>: Implement agent with scoped tools and guardrails</w:t>
      </w:r>
    </w:p>
    <w:p w14:paraId="187D22CA" w14:textId="77777777" w:rsidR="00911569" w:rsidRPr="003E2A47" w:rsidRDefault="00000000" w:rsidP="003E2A47">
      <w:pPr>
        <w:pStyle w:val="Compact"/>
        <w:numPr>
          <w:ilvl w:val="0"/>
          <w:numId w:val="8"/>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Implement agent with selected framework</w:t>
      </w:r>
    </w:p>
    <w:p w14:paraId="13AC4D77" w14:textId="77777777" w:rsidR="00911569" w:rsidRPr="003E2A47" w:rsidRDefault="00000000" w:rsidP="003E2A47">
      <w:pPr>
        <w:pStyle w:val="Compact"/>
        <w:numPr>
          <w:ilvl w:val="0"/>
          <w:numId w:val="8"/>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Scope tools/API access to minimum required</w:t>
      </w:r>
    </w:p>
    <w:p w14:paraId="54249CE7" w14:textId="77777777" w:rsidR="00911569" w:rsidRPr="003E2A47" w:rsidRDefault="00000000" w:rsidP="003E2A47">
      <w:pPr>
        <w:pStyle w:val="Compact"/>
        <w:numPr>
          <w:ilvl w:val="0"/>
          <w:numId w:val="8"/>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Build approval workflow for Tier-3 actions</w:t>
      </w:r>
    </w:p>
    <w:p w14:paraId="1BA43F7C" w14:textId="77777777" w:rsidR="00911569" w:rsidRPr="003E2A47" w:rsidRDefault="00000000" w:rsidP="003E2A47">
      <w:pPr>
        <w:pStyle w:val="Compact"/>
        <w:numPr>
          <w:ilvl w:val="0"/>
          <w:numId w:val="8"/>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Run shadow mode against historical cases (no live execution)</w:t>
      </w:r>
    </w:p>
    <w:p w14:paraId="07242B4D" w14:textId="77777777" w:rsidR="00911569" w:rsidRPr="003E2A47" w:rsidRDefault="00000000" w:rsidP="003E2A47">
      <w:pPr>
        <w:pStyle w:val="Compact"/>
        <w:numPr>
          <w:ilvl w:val="0"/>
          <w:numId w:val="8"/>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Iterate on prompts, tool interfaces, error handling</w:t>
      </w:r>
    </w:p>
    <w:p w14:paraId="119DE5BE" w14:textId="77777777" w:rsidR="00911569" w:rsidRPr="003E2A47" w:rsidRDefault="00000000" w:rsidP="003E2A47">
      <w:pPr>
        <w:pStyle w:val="Compact"/>
        <w:numPr>
          <w:ilvl w:val="0"/>
          <w:numId w:val="8"/>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Conduct red-teaming and compliance review</w:t>
      </w:r>
    </w:p>
    <w:p w14:paraId="71836969" w14:textId="77777777" w:rsidR="00911569" w:rsidRPr="003E2A47" w:rsidRDefault="00000000" w:rsidP="003E2A47">
      <w:pPr>
        <w:pStyle w:val="Compact"/>
        <w:numPr>
          <w:ilvl w:val="0"/>
          <w:numId w:val="8"/>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Document playbook, escalation paths, owner</w:t>
      </w:r>
    </w:p>
    <w:p w14:paraId="596FD49C"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i/>
          <w:iCs/>
          <w:color w:val="000000" w:themeColor="text1"/>
        </w:rPr>
        <w:t>Deliverable</w:t>
      </w:r>
      <w:r w:rsidRPr="003E2A47">
        <w:rPr>
          <w:rFonts w:ascii="Times New Roman" w:hAnsi="Times New Roman" w:cs="Times New Roman"/>
          <w:color w:val="000000" w:themeColor="text1"/>
        </w:rPr>
        <w:t>: Tested agent in shadow mode, compliance sign-off</w:t>
      </w:r>
    </w:p>
    <w:p w14:paraId="323C3B11"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Days 61-90: Pilot &amp; Instrument</w:t>
      </w:r>
    </w:p>
    <w:p w14:paraId="4BB2BF3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i/>
          <w:iCs/>
          <w:color w:val="000000" w:themeColor="text1"/>
        </w:rPr>
        <w:t>Objective</w:t>
      </w:r>
      <w:r w:rsidRPr="003E2A47">
        <w:rPr>
          <w:rFonts w:ascii="Times New Roman" w:hAnsi="Times New Roman" w:cs="Times New Roman"/>
          <w:color w:val="000000" w:themeColor="text1"/>
        </w:rPr>
        <w:t>: Deploy to pilot team, measure, decide</w:t>
      </w:r>
    </w:p>
    <w:p w14:paraId="235E51C3" w14:textId="77777777" w:rsidR="00911569" w:rsidRPr="003E2A47" w:rsidRDefault="00000000" w:rsidP="003E2A47">
      <w:pPr>
        <w:pStyle w:val="Compact"/>
        <w:numPr>
          <w:ilvl w:val="0"/>
          <w:numId w:val="9"/>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Pilot with one team/geography (limit blast radius)</w:t>
      </w:r>
    </w:p>
    <w:p w14:paraId="747362D4" w14:textId="77777777" w:rsidR="00911569" w:rsidRPr="003E2A47" w:rsidRDefault="00000000" w:rsidP="003E2A47">
      <w:pPr>
        <w:pStyle w:val="Compact"/>
        <w:numPr>
          <w:ilvl w:val="0"/>
          <w:numId w:val="9"/>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Track KPIs: cycle time, accuracy, cost, override rate</w:t>
      </w:r>
    </w:p>
    <w:p w14:paraId="09A359AD" w14:textId="77777777" w:rsidR="00911569" w:rsidRPr="003E2A47" w:rsidRDefault="00000000" w:rsidP="003E2A47">
      <w:pPr>
        <w:pStyle w:val="Compact"/>
        <w:numPr>
          <w:ilvl w:val="0"/>
          <w:numId w:val="9"/>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Instrument FinOps: set per-agent budget, monitor spend</w:t>
      </w:r>
    </w:p>
    <w:p w14:paraId="5AB402A9" w14:textId="77777777" w:rsidR="00911569" w:rsidRPr="003E2A47" w:rsidRDefault="00000000" w:rsidP="003E2A47">
      <w:pPr>
        <w:pStyle w:val="Compact"/>
        <w:numPr>
          <w:ilvl w:val="0"/>
          <w:numId w:val="9"/>
        </w:numPr>
        <w:jc w:val="both"/>
        <w:rPr>
          <w:rFonts w:ascii="Times New Roman" w:hAnsi="Times New Roman" w:cs="Times New Roman"/>
          <w:color w:val="000000" w:themeColor="text1"/>
        </w:rPr>
      </w:pPr>
      <w:r w:rsidRPr="003E2A47">
        <w:rPr>
          <w:rFonts w:ascii="Times New Roman" w:hAnsi="Times New Roman" w:cs="Times New Roman"/>
          <w:color w:val="000000" w:themeColor="text1"/>
        </w:rPr>
        <w:lastRenderedPageBreak/>
        <w:t>Collect feedback from pilot users</w:t>
      </w:r>
    </w:p>
    <w:p w14:paraId="46D6EBCE" w14:textId="77777777" w:rsidR="00911569" w:rsidRPr="003E2A47" w:rsidRDefault="00000000" w:rsidP="003E2A47">
      <w:pPr>
        <w:pStyle w:val="Compact"/>
        <w:numPr>
          <w:ilvl w:val="0"/>
          <w:numId w:val="9"/>
        </w:numPr>
        <w:jc w:val="both"/>
        <w:rPr>
          <w:rFonts w:ascii="Times New Roman" w:hAnsi="Times New Roman" w:cs="Times New Roman"/>
          <w:color w:val="000000" w:themeColor="text1"/>
        </w:rPr>
      </w:pPr>
      <w:r w:rsidRPr="003E2A47">
        <w:rPr>
          <w:rFonts w:ascii="Times New Roman" w:hAnsi="Times New Roman" w:cs="Times New Roman"/>
          <w:color w:val="000000" w:themeColor="text1"/>
        </w:rPr>
        <w:t>Document lessons learned, iteration backlog</w:t>
      </w:r>
    </w:p>
    <w:p w14:paraId="3E211295" w14:textId="77777777" w:rsidR="00911569" w:rsidRPr="003E2A47" w:rsidRDefault="00000000" w:rsidP="003E2A47">
      <w:pPr>
        <w:pStyle w:val="Compact"/>
        <w:numPr>
          <w:ilvl w:val="0"/>
          <w:numId w:val="9"/>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Decision gate</w:t>
      </w:r>
      <w:r w:rsidRPr="003E2A47">
        <w:rPr>
          <w:rFonts w:ascii="Times New Roman" w:hAnsi="Times New Roman" w:cs="Times New Roman"/>
          <w:color w:val="000000" w:themeColor="text1"/>
        </w:rPr>
        <w:t>: Scale, iterate, or kill—with evidence</w:t>
      </w:r>
    </w:p>
    <w:p w14:paraId="15D2A251"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i/>
          <w:iCs/>
          <w:color w:val="000000" w:themeColor="text1"/>
        </w:rPr>
        <w:t>Deliverable</w:t>
      </w:r>
      <w:r w:rsidRPr="003E2A47">
        <w:rPr>
          <w:rFonts w:ascii="Times New Roman" w:hAnsi="Times New Roman" w:cs="Times New Roman"/>
          <w:color w:val="000000" w:themeColor="text1"/>
        </w:rPr>
        <w:t>: Pilot results, scale/kill decision with data</w:t>
      </w:r>
    </w:p>
    <w:p w14:paraId="4CA9BC24" w14:textId="77777777" w:rsidR="00911569" w:rsidRPr="003E2A47" w:rsidRDefault="00000000" w:rsidP="003E2A47">
      <w:pPr>
        <w:pStyle w:val="Heading3"/>
        <w:jc w:val="both"/>
        <w:rPr>
          <w:rFonts w:ascii="Times New Roman" w:hAnsi="Times New Roman" w:cs="Times New Roman"/>
          <w:color w:val="000000" w:themeColor="text1"/>
        </w:rPr>
      </w:pPr>
      <w:bookmarkStart w:id="39" w:name="agent-specific-kpis"/>
      <w:bookmarkEnd w:id="38"/>
      <w:r w:rsidRPr="003E2A47">
        <w:rPr>
          <w:rFonts w:ascii="Times New Roman" w:hAnsi="Times New Roman" w:cs="Times New Roman"/>
          <w:color w:val="000000" w:themeColor="text1"/>
        </w:rPr>
        <w:t>10.2 Agent-Specific KPIs</w:t>
      </w:r>
    </w:p>
    <w:p w14:paraId="26A38C31"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Successful deployments measure across four dimensions:</w:t>
      </w:r>
    </w:p>
    <w:p w14:paraId="6B4608D8"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VALUE KPIs</w:t>
      </w:r>
      <w:r w:rsidRPr="003E2A47">
        <w:rPr>
          <w:rFonts w:ascii="Times New Roman" w:hAnsi="Times New Roman" w:cs="Times New Roman"/>
          <w:color w:val="000000" w:themeColor="text1"/>
        </w:rPr>
        <w:t xml:space="preserve"> 1. Cycle time reduction (%) - Time from intake to resolution 2. Cost-to-serve (Δ$) - $/transaction before vs. after 3. Revenue/case lift - For sales/revenue-generating workflows 4. First-contact resolution - % resolved without escalation</w:t>
      </w:r>
    </w:p>
    <w:p w14:paraId="78CE268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QUALITY KPIs</w:t>
      </w:r>
      <w:r w:rsidRPr="003E2A47">
        <w:rPr>
          <w:rFonts w:ascii="Times New Roman" w:hAnsi="Times New Roman" w:cs="Times New Roman"/>
          <w:color w:val="000000" w:themeColor="text1"/>
        </w:rPr>
        <w:t xml:space="preserve"> 1. Task accuracy vs. golden set - % correct on known-good test cases 2. Human override rate - % of agent actions edited/rejected 3. Eval drift score - Accuracy degradation over time 4. Escalation rate - % requiring human takeover</w:t>
      </w:r>
    </w:p>
    <w:p w14:paraId="17A8DDA4"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TRUST KPIs</w:t>
      </w:r>
      <w:r w:rsidRPr="003E2A47">
        <w:rPr>
          <w:rFonts w:ascii="Times New Roman" w:hAnsi="Times New Roman" w:cs="Times New Roman"/>
          <w:color w:val="000000" w:themeColor="text1"/>
        </w:rPr>
        <w:t xml:space="preserve"> 1. Policy violations - Count of actions outside approved boundaries 2. PII/data leak events - Security incidents 3. Audit completeness - % of actions with full trace 4. Red-team pass rate - % of adversarial tests passed</w:t>
      </w:r>
    </w:p>
    <w:p w14:paraId="444B92E7"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ECONOMICS KPIs</w:t>
      </w:r>
      <w:r w:rsidRPr="003E2A47">
        <w:rPr>
          <w:rFonts w:ascii="Times New Roman" w:hAnsi="Times New Roman" w:cs="Times New Roman"/>
          <w:color w:val="000000" w:themeColor="text1"/>
        </w:rPr>
        <w:t xml:space="preserve"> 1. $ per resolved task - Fully-loaded cost per outcome 2. Tokens per outcome - Efficiency metric 3. Latency P95 - User-perceived response time 4. Active agent budget vs. cap - Spend control</w:t>
      </w:r>
    </w:p>
    <w:p w14:paraId="224F75D8" w14:textId="77777777" w:rsidR="00911569" w:rsidRPr="003E2A47" w:rsidRDefault="00000000" w:rsidP="003E2A47">
      <w:pPr>
        <w:pStyle w:val="Heading3"/>
        <w:jc w:val="both"/>
        <w:rPr>
          <w:rFonts w:ascii="Times New Roman" w:hAnsi="Times New Roman" w:cs="Times New Roman"/>
          <w:color w:val="000000" w:themeColor="text1"/>
        </w:rPr>
      </w:pPr>
      <w:bookmarkStart w:id="40" w:name="Xac979ae8644edc0acab15accff6b295490193bb"/>
      <w:bookmarkEnd w:id="39"/>
      <w:r w:rsidRPr="003E2A47">
        <w:rPr>
          <w:rFonts w:ascii="Times New Roman" w:hAnsi="Times New Roman" w:cs="Times New Roman"/>
          <w:color w:val="000000" w:themeColor="text1"/>
        </w:rPr>
        <w:t>10.3 Regional Adaptation: ASEAN/Malaysia Context</w:t>
      </w:r>
    </w:p>
    <w:p w14:paraId="5D68B5B6"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Organizations in Malaysia and ASEAN face distinct challenges and opportunities:</w:t>
      </w:r>
    </w:p>
    <w:p w14:paraId="150FE395"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Language &amp; Locale</w:t>
      </w:r>
      <w:r w:rsidRPr="003E2A47">
        <w:rPr>
          <w:rFonts w:ascii="Times New Roman" w:hAnsi="Times New Roman" w:cs="Times New Roman"/>
          <w:color w:val="000000" w:themeColor="text1"/>
        </w:rPr>
        <w:t xml:space="preserve"> - Challenge: Bahasa Melayu, Tamil, Mandarin, code-switched data - Adaptation: Local fine-tuning, multilingual evaluation sets, locale-aware prompts</w:t>
      </w:r>
    </w:p>
    <w:p w14:paraId="1D9A8427"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Data Sovereignty</w:t>
      </w:r>
      <w:r w:rsidRPr="003E2A47">
        <w:rPr>
          <w:rFonts w:ascii="Times New Roman" w:hAnsi="Times New Roman" w:cs="Times New Roman"/>
          <w:color w:val="000000" w:themeColor="text1"/>
        </w:rPr>
        <w:t xml:space="preserve"> - Challenge: Public sector and regulated industries require on-prem or sovereign cloud - Adaptation: Model deployment options that satisfy PDPA Malaysia; data residency controls</w:t>
      </w:r>
    </w:p>
    <w:p w14:paraId="4BCC8869"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Talent Depth</w:t>
      </w:r>
      <w:r w:rsidRPr="003E2A47">
        <w:rPr>
          <w:rFonts w:ascii="Times New Roman" w:hAnsi="Times New Roman" w:cs="Times New Roman"/>
          <w:color w:val="000000" w:themeColor="text1"/>
        </w:rPr>
        <w:t xml:space="preserve"> - Challenge: Strong engineering base, but scarce agent/eval specialists - Adaptation: Build internal academies; partner with universities; regional CoE model</w:t>
      </w:r>
    </w:p>
    <w:p w14:paraId="0099FF7C"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Procurement Reality</w:t>
      </w:r>
      <w:r w:rsidRPr="003E2A47">
        <w:rPr>
          <w:rFonts w:ascii="Times New Roman" w:hAnsi="Times New Roman" w:cs="Times New Roman"/>
          <w:color w:val="000000" w:themeColor="text1"/>
        </w:rPr>
        <w:t xml:space="preserve"> - Challenge: Tender-led adoption favors fixed-scope proposals - Adaptation: Structure RFPs around 90-day proof points with clear success criteria; outcome-based contracts</w:t>
      </w:r>
    </w:p>
    <w:p w14:paraId="2EEAFBA2"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High-Fit Sectors for ASEAN</w:t>
      </w:r>
      <w:r w:rsidRPr="003E2A47">
        <w:rPr>
          <w:rFonts w:ascii="Times New Roman" w:hAnsi="Times New Roman" w:cs="Times New Roman"/>
          <w:color w:val="000000" w:themeColor="text1"/>
        </w:rPr>
        <w:t xml:space="preserve"> 1. </w:t>
      </w:r>
      <w:r w:rsidRPr="003E2A47">
        <w:rPr>
          <w:rFonts w:ascii="Times New Roman" w:hAnsi="Times New Roman" w:cs="Times New Roman"/>
          <w:b/>
          <w:bCs/>
          <w:color w:val="000000" w:themeColor="text1"/>
        </w:rPr>
        <w:t>Government services</w:t>
      </w:r>
      <w:r w:rsidRPr="003E2A47">
        <w:rPr>
          <w:rFonts w:ascii="Times New Roman" w:hAnsi="Times New Roman" w:cs="Times New Roman"/>
          <w:color w:val="000000" w:themeColor="text1"/>
        </w:rPr>
        <w:t xml:space="preserve">: Citizen Q&amp;A, case routing, document processing 2. </w:t>
      </w:r>
      <w:r w:rsidRPr="003E2A47">
        <w:rPr>
          <w:rFonts w:ascii="Times New Roman" w:hAnsi="Times New Roman" w:cs="Times New Roman"/>
          <w:b/>
          <w:bCs/>
          <w:color w:val="000000" w:themeColor="text1"/>
        </w:rPr>
        <w:t>Banking &amp; Takaful</w:t>
      </w:r>
      <w:r w:rsidRPr="003E2A47">
        <w:rPr>
          <w:rFonts w:ascii="Times New Roman" w:hAnsi="Times New Roman" w:cs="Times New Roman"/>
          <w:color w:val="000000" w:themeColor="text1"/>
        </w:rPr>
        <w:t xml:space="preserve">: KYC, claims, fraud triage, compliance evidence 3. </w:t>
      </w:r>
      <w:r w:rsidRPr="003E2A47">
        <w:rPr>
          <w:rFonts w:ascii="Times New Roman" w:hAnsi="Times New Roman" w:cs="Times New Roman"/>
          <w:b/>
          <w:bCs/>
          <w:color w:val="000000" w:themeColor="text1"/>
        </w:rPr>
        <w:t>Telco &amp; Utilities</w:t>
      </w:r>
      <w:r w:rsidRPr="003E2A47">
        <w:rPr>
          <w:rFonts w:ascii="Times New Roman" w:hAnsi="Times New Roman" w:cs="Times New Roman"/>
          <w:color w:val="000000" w:themeColor="text1"/>
        </w:rPr>
        <w:t xml:space="preserve">: Tier-1 support deflection, field-ops dispatch 4. </w:t>
      </w:r>
      <w:r w:rsidRPr="003E2A47">
        <w:rPr>
          <w:rFonts w:ascii="Times New Roman" w:hAnsi="Times New Roman" w:cs="Times New Roman"/>
          <w:b/>
          <w:bCs/>
          <w:color w:val="000000" w:themeColor="text1"/>
        </w:rPr>
        <w:t>Healthcare</w:t>
      </w:r>
      <w:r w:rsidRPr="003E2A47">
        <w:rPr>
          <w:rFonts w:ascii="Times New Roman" w:hAnsi="Times New Roman" w:cs="Times New Roman"/>
          <w:color w:val="000000" w:themeColor="text1"/>
        </w:rPr>
        <w:t xml:space="preserve">: Scheduling, prior-authorization, clinical documentation 5. </w:t>
      </w:r>
      <w:r w:rsidRPr="003E2A47">
        <w:rPr>
          <w:rFonts w:ascii="Times New Roman" w:hAnsi="Times New Roman" w:cs="Times New Roman"/>
          <w:b/>
          <w:bCs/>
          <w:color w:val="000000" w:themeColor="text1"/>
        </w:rPr>
        <w:t>Education</w:t>
      </w:r>
      <w:r w:rsidRPr="003E2A47">
        <w:rPr>
          <w:rFonts w:ascii="Times New Roman" w:hAnsi="Times New Roman" w:cs="Times New Roman"/>
          <w:color w:val="000000" w:themeColor="text1"/>
        </w:rPr>
        <w:t xml:space="preserve">: Tutoring agents, curriculum localization 6. </w:t>
      </w:r>
      <w:r w:rsidRPr="003E2A47">
        <w:rPr>
          <w:rFonts w:ascii="Times New Roman" w:hAnsi="Times New Roman" w:cs="Times New Roman"/>
          <w:b/>
          <w:bCs/>
          <w:color w:val="000000" w:themeColor="text1"/>
        </w:rPr>
        <w:t>SME operations</w:t>
      </w:r>
      <w:r w:rsidRPr="003E2A47">
        <w:rPr>
          <w:rFonts w:ascii="Times New Roman" w:hAnsi="Times New Roman" w:cs="Times New Roman"/>
          <w:color w:val="000000" w:themeColor="text1"/>
        </w:rPr>
        <w:t>: Sales ops, finance back-office, HR onboarding</w:t>
      </w:r>
    </w:p>
    <w:p w14:paraId="07C4498D"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7302D174">
          <v:rect id="_x0000_i1029" alt="" style="width:468pt;height:.05pt;mso-width-percent:0;mso-height-percent:0;mso-width-percent:0;mso-height-percent:0" o:hralign="center" o:hrstd="t" o:hr="t"/>
        </w:pict>
      </w:r>
    </w:p>
    <w:p w14:paraId="10466115" w14:textId="77777777" w:rsidR="00911569" w:rsidRPr="003E2A47" w:rsidRDefault="00000000" w:rsidP="003E2A47">
      <w:pPr>
        <w:pStyle w:val="Heading2"/>
        <w:jc w:val="both"/>
        <w:rPr>
          <w:rFonts w:ascii="Times New Roman" w:hAnsi="Times New Roman" w:cs="Times New Roman"/>
          <w:color w:val="000000" w:themeColor="text1"/>
        </w:rPr>
      </w:pPr>
      <w:bookmarkStart w:id="41" w:name="discussion"/>
      <w:bookmarkEnd w:id="37"/>
      <w:bookmarkEnd w:id="40"/>
      <w:r w:rsidRPr="003E2A47">
        <w:rPr>
          <w:rFonts w:ascii="Times New Roman" w:hAnsi="Times New Roman" w:cs="Times New Roman"/>
          <w:color w:val="000000" w:themeColor="text1"/>
        </w:rPr>
        <w:lastRenderedPageBreak/>
        <w:t>11. DISCUSSION</w:t>
      </w:r>
    </w:p>
    <w:p w14:paraId="77071CF5" w14:textId="77777777" w:rsidR="00911569" w:rsidRPr="003E2A47" w:rsidRDefault="00000000" w:rsidP="003E2A47">
      <w:pPr>
        <w:pStyle w:val="Heading3"/>
        <w:jc w:val="both"/>
        <w:rPr>
          <w:rFonts w:ascii="Times New Roman" w:hAnsi="Times New Roman" w:cs="Times New Roman"/>
          <w:color w:val="000000" w:themeColor="text1"/>
        </w:rPr>
      </w:pPr>
      <w:bookmarkStart w:id="42" w:name="the-operating-model-is-the-bottleneck"/>
      <w:r w:rsidRPr="003E2A47">
        <w:rPr>
          <w:rFonts w:ascii="Times New Roman" w:hAnsi="Times New Roman" w:cs="Times New Roman"/>
          <w:color w:val="000000" w:themeColor="text1"/>
        </w:rPr>
        <w:t>11.1 The Operating Model is the Bottleneck</w:t>
      </w:r>
    </w:p>
    <w:p w14:paraId="66EEDFA5"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The primary finding of this research: </w:t>
      </w:r>
      <w:r w:rsidRPr="003E2A47">
        <w:rPr>
          <w:rFonts w:ascii="Times New Roman" w:hAnsi="Times New Roman" w:cs="Times New Roman"/>
          <w:b/>
          <w:bCs/>
          <w:color w:val="000000" w:themeColor="text1"/>
        </w:rPr>
        <w:t>technical capability is no longer the constraint</w:t>
      </w:r>
      <w:r w:rsidRPr="003E2A47">
        <w:rPr>
          <w:rFonts w:ascii="Times New Roman" w:hAnsi="Times New Roman" w:cs="Times New Roman"/>
          <w:color w:val="000000" w:themeColor="text1"/>
        </w:rPr>
        <w:t>. Frameworks exist, models are capable, and successful deployments are documented across industries. The bottleneck has shifted to organizational readiness.</w:t>
      </w:r>
    </w:p>
    <w:p w14:paraId="7506B01A"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Agents do not replace teams—they reshape what teams do. The hardest part of agentic transformation is not the model; it is the operating model. Roles evolve from executing work to designing, supervising, and improving autonomous systems:</w:t>
      </w:r>
    </w:p>
    <w:tbl>
      <w:tblPr>
        <w:tblStyle w:val="Table"/>
        <w:tblW w:w="5000" w:type="pct"/>
        <w:tblLayout w:type="fixed"/>
        <w:tblLook w:val="0020" w:firstRow="1" w:lastRow="0" w:firstColumn="0" w:lastColumn="0" w:noHBand="0" w:noVBand="0"/>
      </w:tblPr>
      <w:tblGrid>
        <w:gridCol w:w="3380"/>
        <w:gridCol w:w="2629"/>
        <w:gridCol w:w="3567"/>
      </w:tblGrid>
      <w:tr w:rsidR="00911569" w:rsidRPr="003E2A47" w14:paraId="0EBC3AB4" w14:textId="77777777" w:rsidTr="00911569">
        <w:trPr>
          <w:cnfStyle w:val="100000000000" w:firstRow="1" w:lastRow="0" w:firstColumn="0" w:lastColumn="0" w:oddVBand="0" w:evenVBand="0" w:oddHBand="0" w:evenHBand="0" w:firstRowFirstColumn="0" w:firstRowLastColumn="0" w:lastRowFirstColumn="0" w:lastRowLastColumn="0"/>
          <w:tblHeader/>
        </w:trPr>
        <w:tc>
          <w:tcPr>
            <w:tcW w:w="2795" w:type="dxa"/>
          </w:tcPr>
          <w:p w14:paraId="1C9EDC9E"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Traditional Role</w:t>
            </w:r>
          </w:p>
        </w:tc>
        <w:tc>
          <w:tcPr>
            <w:tcW w:w="2174" w:type="dxa"/>
          </w:tcPr>
          <w:p w14:paraId="158266F4"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Evolved Role</w:t>
            </w:r>
          </w:p>
        </w:tc>
        <w:tc>
          <w:tcPr>
            <w:tcW w:w="2950" w:type="dxa"/>
          </w:tcPr>
          <w:p w14:paraId="46B4520B"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New Responsibility</w:t>
            </w:r>
          </w:p>
        </w:tc>
      </w:tr>
      <w:tr w:rsidR="00911569" w:rsidRPr="003E2A47" w14:paraId="6497BFDF" w14:textId="77777777">
        <w:tc>
          <w:tcPr>
            <w:tcW w:w="2795" w:type="dxa"/>
          </w:tcPr>
          <w:p w14:paraId="6624C289"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Operator</w:t>
            </w:r>
          </w:p>
        </w:tc>
        <w:tc>
          <w:tcPr>
            <w:tcW w:w="2174" w:type="dxa"/>
          </w:tcPr>
          <w:p w14:paraId="2B47F5FC"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Agent Supervisor</w:t>
            </w:r>
          </w:p>
        </w:tc>
        <w:tc>
          <w:tcPr>
            <w:tcW w:w="2950" w:type="dxa"/>
          </w:tcPr>
          <w:p w14:paraId="02B493D3"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Monitor agent performance, handle escalations</w:t>
            </w:r>
          </w:p>
        </w:tc>
      </w:tr>
      <w:tr w:rsidR="00911569" w:rsidRPr="003E2A47" w14:paraId="2B4B6D49" w14:textId="77777777">
        <w:tc>
          <w:tcPr>
            <w:tcW w:w="2795" w:type="dxa"/>
          </w:tcPr>
          <w:p w14:paraId="2CA8AD06"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Analyst</w:t>
            </w:r>
          </w:p>
        </w:tc>
        <w:tc>
          <w:tcPr>
            <w:tcW w:w="2174" w:type="dxa"/>
          </w:tcPr>
          <w:p w14:paraId="5E0295F2"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Agent Designer/Evaluator</w:t>
            </w:r>
          </w:p>
        </w:tc>
        <w:tc>
          <w:tcPr>
            <w:tcW w:w="2950" w:type="dxa"/>
          </w:tcPr>
          <w:p w14:paraId="243F4BCB"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Design prompts, build eval sets, tune performance</w:t>
            </w:r>
          </w:p>
        </w:tc>
      </w:tr>
      <w:tr w:rsidR="00911569" w:rsidRPr="003E2A47" w14:paraId="3BAE437A" w14:textId="77777777">
        <w:tc>
          <w:tcPr>
            <w:tcW w:w="2795" w:type="dxa"/>
          </w:tcPr>
          <w:p w14:paraId="07AC4863"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Engineer</w:t>
            </w:r>
          </w:p>
        </w:tc>
        <w:tc>
          <w:tcPr>
            <w:tcW w:w="2174" w:type="dxa"/>
          </w:tcPr>
          <w:p w14:paraId="7761C0A6"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Tool &amp; Integration Builder</w:t>
            </w:r>
          </w:p>
        </w:tc>
        <w:tc>
          <w:tcPr>
            <w:tcW w:w="2950" w:type="dxa"/>
          </w:tcPr>
          <w:p w14:paraId="7C289377"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Build APIs agents consume, maintain tool registry</w:t>
            </w:r>
          </w:p>
        </w:tc>
      </w:tr>
      <w:tr w:rsidR="00911569" w:rsidRPr="003E2A47" w14:paraId="139FB336" w14:textId="77777777">
        <w:tc>
          <w:tcPr>
            <w:tcW w:w="2795" w:type="dxa"/>
          </w:tcPr>
          <w:p w14:paraId="275F73EB"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Compliance</w:t>
            </w:r>
          </w:p>
        </w:tc>
        <w:tc>
          <w:tcPr>
            <w:tcW w:w="2174" w:type="dxa"/>
          </w:tcPr>
          <w:p w14:paraId="13EEB49F"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Policy Author</w:t>
            </w:r>
          </w:p>
        </w:tc>
        <w:tc>
          <w:tcPr>
            <w:tcW w:w="2950" w:type="dxa"/>
          </w:tcPr>
          <w:p w14:paraId="4793FEB8"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Define autonomy tiers, approval requirements</w:t>
            </w:r>
          </w:p>
        </w:tc>
      </w:tr>
      <w:tr w:rsidR="00911569" w:rsidRPr="003E2A47" w14:paraId="2A5F7C27" w14:textId="77777777">
        <w:tc>
          <w:tcPr>
            <w:tcW w:w="2795" w:type="dxa"/>
          </w:tcPr>
          <w:p w14:paraId="70AAD457"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Manager</w:t>
            </w:r>
          </w:p>
        </w:tc>
        <w:tc>
          <w:tcPr>
            <w:tcW w:w="2174" w:type="dxa"/>
          </w:tcPr>
          <w:p w14:paraId="64A0F082"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Outcome Owner</w:t>
            </w:r>
          </w:p>
        </w:tc>
        <w:tc>
          <w:tcPr>
            <w:tcW w:w="2950" w:type="dxa"/>
          </w:tcPr>
          <w:p w14:paraId="0D37A271"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Manage human-agent teams, own P&amp;L impact</w:t>
            </w:r>
          </w:p>
        </w:tc>
      </w:tr>
      <w:tr w:rsidR="00911569" w:rsidRPr="003E2A47" w14:paraId="7E9F1524" w14:textId="77777777">
        <w:tc>
          <w:tcPr>
            <w:tcW w:w="2795" w:type="dxa"/>
          </w:tcPr>
          <w:p w14:paraId="2C2AB95D"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i/>
                <w:iCs/>
                <w:color w:val="000000" w:themeColor="text1"/>
              </w:rPr>
              <w:t>New</w:t>
            </w:r>
          </w:p>
        </w:tc>
        <w:tc>
          <w:tcPr>
            <w:tcW w:w="2174" w:type="dxa"/>
          </w:tcPr>
          <w:p w14:paraId="7E15EC6A"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Agent Product Manager</w:t>
            </w:r>
          </w:p>
        </w:tc>
        <w:tc>
          <w:tcPr>
            <w:tcW w:w="2950" w:type="dxa"/>
          </w:tcPr>
          <w:p w14:paraId="2A1B913A"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Lifecycle management for agent deployments</w:t>
            </w:r>
          </w:p>
        </w:tc>
      </w:tr>
      <w:tr w:rsidR="00911569" w:rsidRPr="003E2A47" w14:paraId="55E957B5" w14:textId="77777777">
        <w:tc>
          <w:tcPr>
            <w:tcW w:w="2795" w:type="dxa"/>
          </w:tcPr>
          <w:p w14:paraId="37FAF353"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i/>
                <w:iCs/>
                <w:color w:val="000000" w:themeColor="text1"/>
              </w:rPr>
              <w:t>New</w:t>
            </w:r>
          </w:p>
        </w:tc>
        <w:tc>
          <w:tcPr>
            <w:tcW w:w="2174" w:type="dxa"/>
          </w:tcPr>
          <w:p w14:paraId="31558A8C"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Head of AI Trust &amp; Evals</w:t>
            </w:r>
          </w:p>
        </w:tc>
        <w:tc>
          <w:tcPr>
            <w:tcW w:w="2950" w:type="dxa"/>
          </w:tcPr>
          <w:p w14:paraId="39B0FD11" w14:textId="77777777" w:rsidR="00911569" w:rsidRPr="003E2A47" w:rsidRDefault="00000000" w:rsidP="003E2A47">
            <w:pPr>
              <w:pStyle w:val="Compact"/>
              <w:jc w:val="both"/>
              <w:rPr>
                <w:rFonts w:ascii="Times New Roman" w:hAnsi="Times New Roman" w:cs="Times New Roman"/>
                <w:color w:val="000000" w:themeColor="text1"/>
              </w:rPr>
            </w:pPr>
            <w:r w:rsidRPr="003E2A47">
              <w:rPr>
                <w:rFonts w:ascii="Times New Roman" w:hAnsi="Times New Roman" w:cs="Times New Roman"/>
                <w:color w:val="000000" w:themeColor="text1"/>
              </w:rPr>
              <w:t>Governance, red-teaming, continuous evaluation</w:t>
            </w:r>
          </w:p>
        </w:tc>
      </w:tr>
    </w:tbl>
    <w:p w14:paraId="73D68F1F" w14:textId="77777777" w:rsidR="00911569" w:rsidRPr="003E2A47" w:rsidRDefault="00000000" w:rsidP="003E2A47">
      <w:pPr>
        <w:pStyle w:val="Heading3"/>
        <w:jc w:val="both"/>
        <w:rPr>
          <w:rFonts w:ascii="Times New Roman" w:hAnsi="Times New Roman" w:cs="Times New Roman"/>
          <w:color w:val="000000" w:themeColor="text1"/>
        </w:rPr>
      </w:pPr>
      <w:bookmarkStart w:id="43" w:name="the-last-mile-problem"/>
      <w:bookmarkEnd w:id="42"/>
      <w:r w:rsidRPr="003E2A47">
        <w:rPr>
          <w:rFonts w:ascii="Times New Roman" w:hAnsi="Times New Roman" w:cs="Times New Roman"/>
          <w:color w:val="000000" w:themeColor="text1"/>
        </w:rPr>
        <w:t>11.2 The “Last Mile” Problem</w:t>
      </w:r>
    </w:p>
    <w:p w14:paraId="093D8656"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Analysis of successful vs. failed deployments reveals a “last mile” problem: agents demonstrate capability in controlled tests but fail in production edge cases. The failure modes cluster around:</w:t>
      </w:r>
    </w:p>
    <w:p w14:paraId="18573E47" w14:textId="77777777" w:rsidR="00911569" w:rsidRPr="003E2A47" w:rsidRDefault="00000000" w:rsidP="003E2A47">
      <w:pPr>
        <w:pStyle w:val="Compact"/>
        <w:numPr>
          <w:ilvl w:val="0"/>
          <w:numId w:val="10"/>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Data schema drift</w:t>
      </w:r>
      <w:r w:rsidRPr="003E2A47">
        <w:rPr>
          <w:rFonts w:ascii="Times New Roman" w:hAnsi="Times New Roman" w:cs="Times New Roman"/>
          <w:color w:val="000000" w:themeColor="text1"/>
        </w:rPr>
        <w:t>: Production data violates assumptions made during development</w:t>
      </w:r>
    </w:p>
    <w:p w14:paraId="65FCE3A3" w14:textId="77777777" w:rsidR="00911569" w:rsidRPr="003E2A47" w:rsidRDefault="00000000" w:rsidP="003E2A47">
      <w:pPr>
        <w:pStyle w:val="Compact"/>
        <w:numPr>
          <w:ilvl w:val="0"/>
          <w:numId w:val="10"/>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Tool interface changes</w:t>
      </w:r>
      <w:r w:rsidRPr="003E2A47">
        <w:rPr>
          <w:rFonts w:ascii="Times New Roman" w:hAnsi="Times New Roman" w:cs="Times New Roman"/>
          <w:color w:val="000000" w:themeColor="text1"/>
        </w:rPr>
        <w:t>: APIs agents depend on change without agent retraining</w:t>
      </w:r>
    </w:p>
    <w:p w14:paraId="31B5C6BF" w14:textId="77777777" w:rsidR="00911569" w:rsidRPr="003E2A47" w:rsidRDefault="00000000" w:rsidP="003E2A47">
      <w:pPr>
        <w:pStyle w:val="Compact"/>
        <w:numPr>
          <w:ilvl w:val="0"/>
          <w:numId w:val="10"/>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Unanticipated user behavior</w:t>
      </w:r>
      <w:r w:rsidRPr="003E2A47">
        <w:rPr>
          <w:rFonts w:ascii="Times New Roman" w:hAnsi="Times New Roman" w:cs="Times New Roman"/>
          <w:color w:val="000000" w:themeColor="text1"/>
        </w:rPr>
        <w:t>: Users interact with agents in ways not covered by test cases</w:t>
      </w:r>
    </w:p>
    <w:p w14:paraId="259661C2" w14:textId="77777777" w:rsidR="00911569" w:rsidRPr="003E2A47" w:rsidRDefault="00000000" w:rsidP="003E2A47">
      <w:pPr>
        <w:pStyle w:val="Compact"/>
        <w:numPr>
          <w:ilvl w:val="0"/>
          <w:numId w:val="10"/>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Context window limitations</w:t>
      </w:r>
      <w:r w:rsidRPr="003E2A47">
        <w:rPr>
          <w:rFonts w:ascii="Times New Roman" w:hAnsi="Times New Roman" w:cs="Times New Roman"/>
          <w:color w:val="000000" w:themeColor="text1"/>
        </w:rPr>
        <w:t>: Real-world workflows exceed context limits of even frontier models</w:t>
      </w:r>
    </w:p>
    <w:p w14:paraId="15311730"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Successful deployments address the last mile through: - </w:t>
      </w:r>
      <w:r w:rsidRPr="003E2A47">
        <w:rPr>
          <w:rFonts w:ascii="Times New Roman" w:hAnsi="Times New Roman" w:cs="Times New Roman"/>
          <w:b/>
          <w:bCs/>
          <w:color w:val="000000" w:themeColor="text1"/>
        </w:rPr>
        <w:t>Continuous evaluation</w:t>
      </w:r>
      <w:r w:rsidRPr="003E2A47">
        <w:rPr>
          <w:rFonts w:ascii="Times New Roman" w:hAnsi="Times New Roman" w:cs="Times New Roman"/>
          <w:color w:val="000000" w:themeColor="text1"/>
        </w:rPr>
        <w:t xml:space="preserve">: Online testing against production traffic (sample-based) - </w:t>
      </w:r>
      <w:r w:rsidRPr="003E2A47">
        <w:rPr>
          <w:rFonts w:ascii="Times New Roman" w:hAnsi="Times New Roman" w:cs="Times New Roman"/>
          <w:b/>
          <w:bCs/>
          <w:color w:val="000000" w:themeColor="text1"/>
        </w:rPr>
        <w:t>Graceful degradation</w:t>
      </w:r>
      <w:r w:rsidRPr="003E2A47">
        <w:rPr>
          <w:rFonts w:ascii="Times New Roman" w:hAnsi="Times New Roman" w:cs="Times New Roman"/>
          <w:color w:val="000000" w:themeColor="text1"/>
        </w:rPr>
        <w:t xml:space="preserve">: Agent detects low-confidence situations and escalates rather than guessing - </w:t>
      </w:r>
      <w:r w:rsidRPr="003E2A47">
        <w:rPr>
          <w:rFonts w:ascii="Times New Roman" w:hAnsi="Times New Roman" w:cs="Times New Roman"/>
          <w:b/>
          <w:bCs/>
          <w:color w:val="000000" w:themeColor="text1"/>
        </w:rPr>
        <w:t>Human oversight workflows</w:t>
      </w:r>
      <w:r w:rsidRPr="003E2A47">
        <w:rPr>
          <w:rFonts w:ascii="Times New Roman" w:hAnsi="Times New Roman" w:cs="Times New Roman"/>
          <w:color w:val="000000" w:themeColor="text1"/>
        </w:rPr>
        <w:t xml:space="preserve">: Business users review agent decisions in workflow inboxes - </w:t>
      </w:r>
      <w:r w:rsidRPr="003E2A47">
        <w:rPr>
          <w:rFonts w:ascii="Times New Roman" w:hAnsi="Times New Roman" w:cs="Times New Roman"/>
          <w:b/>
          <w:bCs/>
          <w:color w:val="000000" w:themeColor="text1"/>
        </w:rPr>
        <w:t>Rapid iteration cadence</w:t>
      </w:r>
      <w:r w:rsidRPr="003E2A47">
        <w:rPr>
          <w:rFonts w:ascii="Times New Roman" w:hAnsi="Times New Roman" w:cs="Times New Roman"/>
          <w:color w:val="000000" w:themeColor="text1"/>
        </w:rPr>
        <w:t>: Weekly prompt/tool updates based on production feedback</w:t>
      </w:r>
    </w:p>
    <w:p w14:paraId="17533966" w14:textId="77777777" w:rsidR="00911569" w:rsidRPr="003E2A47" w:rsidRDefault="00000000" w:rsidP="003E2A47">
      <w:pPr>
        <w:pStyle w:val="Heading3"/>
        <w:jc w:val="both"/>
        <w:rPr>
          <w:rFonts w:ascii="Times New Roman" w:hAnsi="Times New Roman" w:cs="Times New Roman"/>
          <w:color w:val="000000" w:themeColor="text1"/>
        </w:rPr>
      </w:pPr>
      <w:bookmarkStart w:id="44" w:name="X0b60c8b385b891b41af431f2f6ffe20edca75d2"/>
      <w:bookmarkEnd w:id="43"/>
      <w:r w:rsidRPr="003E2A47">
        <w:rPr>
          <w:rFonts w:ascii="Times New Roman" w:hAnsi="Times New Roman" w:cs="Times New Roman"/>
          <w:color w:val="000000" w:themeColor="text1"/>
        </w:rPr>
        <w:lastRenderedPageBreak/>
        <w:t>11.3 Multi-Agent Coordination as Competitive Moat</w:t>
      </w:r>
    </w:p>
    <w:p w14:paraId="6ECDB0EE"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Organizations with multi-agent systems (22% of sample) report disproportionate value: 10%+ productivity growth vs. 3-5% for single-agent deployments (McKinsey, 2026). The compound effect arises from:</w:t>
      </w:r>
    </w:p>
    <w:p w14:paraId="6409811C" w14:textId="77777777" w:rsidR="00911569" w:rsidRPr="003E2A47" w:rsidRDefault="00000000" w:rsidP="003E2A47">
      <w:pPr>
        <w:pStyle w:val="Compact"/>
        <w:numPr>
          <w:ilvl w:val="0"/>
          <w:numId w:val="11"/>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Specialization gains</w:t>
      </w:r>
      <w:r w:rsidRPr="003E2A47">
        <w:rPr>
          <w:rFonts w:ascii="Times New Roman" w:hAnsi="Times New Roman" w:cs="Times New Roman"/>
          <w:color w:val="000000" w:themeColor="text1"/>
        </w:rPr>
        <w:t>: Domain-expert agents outperform general-purpose assistants</w:t>
      </w:r>
    </w:p>
    <w:p w14:paraId="5BAB0987" w14:textId="77777777" w:rsidR="00911569" w:rsidRPr="003E2A47" w:rsidRDefault="00000000" w:rsidP="003E2A47">
      <w:pPr>
        <w:pStyle w:val="Compact"/>
        <w:numPr>
          <w:ilvl w:val="0"/>
          <w:numId w:val="11"/>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Parallel execution</w:t>
      </w:r>
      <w:r w:rsidRPr="003E2A47">
        <w:rPr>
          <w:rFonts w:ascii="Times New Roman" w:hAnsi="Times New Roman" w:cs="Times New Roman"/>
          <w:color w:val="000000" w:themeColor="text1"/>
        </w:rPr>
        <w:t>: Multiple agents work simultaneously on different workflow steps</w:t>
      </w:r>
    </w:p>
    <w:p w14:paraId="4B9971A2" w14:textId="77777777" w:rsidR="00911569" w:rsidRPr="003E2A47" w:rsidRDefault="00000000" w:rsidP="003E2A47">
      <w:pPr>
        <w:pStyle w:val="Compact"/>
        <w:numPr>
          <w:ilvl w:val="0"/>
          <w:numId w:val="11"/>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Shared memory</w:t>
      </w:r>
      <w:r w:rsidRPr="003E2A47">
        <w:rPr>
          <w:rFonts w:ascii="Times New Roman" w:hAnsi="Times New Roman" w:cs="Times New Roman"/>
          <w:color w:val="000000" w:themeColor="text1"/>
        </w:rPr>
        <w:t>: Agents leverage each other’s learnings, avoiding duplicate work</w:t>
      </w:r>
    </w:p>
    <w:p w14:paraId="58A93BC7" w14:textId="77777777" w:rsidR="00911569" w:rsidRPr="003E2A47" w:rsidRDefault="00000000" w:rsidP="003E2A47">
      <w:pPr>
        <w:pStyle w:val="Compact"/>
        <w:numPr>
          <w:ilvl w:val="0"/>
          <w:numId w:val="11"/>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Coordinated recovery</w:t>
      </w:r>
      <w:r w:rsidRPr="003E2A47">
        <w:rPr>
          <w:rFonts w:ascii="Times New Roman" w:hAnsi="Times New Roman" w:cs="Times New Roman"/>
          <w:color w:val="000000" w:themeColor="text1"/>
        </w:rPr>
        <w:t>: When one agent fails, supervisor re-routes to alternative path</w:t>
      </w:r>
    </w:p>
    <w:p w14:paraId="6F6718A8"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However, multi-agent systems introduce new failure modes: deadlock (agents waiting on each other), conflict (contradictory decisions), and cost explosion (agents spawning sub-agents recursively). Organizations that master multi-agent orchestration build a competitive moat difficult for single-agent competitors to breach.</w:t>
      </w:r>
    </w:p>
    <w:p w14:paraId="6129DD4A"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28B0C7AD">
          <v:rect id="_x0000_i1028" alt="" style="width:468pt;height:.05pt;mso-width-percent:0;mso-height-percent:0;mso-width-percent:0;mso-height-percent:0" o:hralign="center" o:hrstd="t" o:hr="t"/>
        </w:pict>
      </w:r>
    </w:p>
    <w:p w14:paraId="1E1B4E41" w14:textId="77777777" w:rsidR="00911569" w:rsidRPr="003E2A47" w:rsidRDefault="00000000" w:rsidP="003E2A47">
      <w:pPr>
        <w:pStyle w:val="Heading2"/>
        <w:jc w:val="both"/>
        <w:rPr>
          <w:rFonts w:ascii="Times New Roman" w:hAnsi="Times New Roman" w:cs="Times New Roman"/>
          <w:color w:val="000000" w:themeColor="text1"/>
        </w:rPr>
      </w:pPr>
      <w:bookmarkStart w:id="45" w:name="limitations"/>
      <w:bookmarkEnd w:id="41"/>
      <w:bookmarkEnd w:id="44"/>
      <w:r w:rsidRPr="003E2A47">
        <w:rPr>
          <w:rFonts w:ascii="Times New Roman" w:hAnsi="Times New Roman" w:cs="Times New Roman"/>
          <w:color w:val="000000" w:themeColor="text1"/>
        </w:rPr>
        <w:t>12. LIMITATIONS</w:t>
      </w:r>
    </w:p>
    <w:p w14:paraId="1895DC72"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This research has several limitations that bound the generalizability of findings:</w:t>
      </w:r>
    </w:p>
    <w:p w14:paraId="4836CA2B"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1. Selection bias in case studies</w:t>
      </w:r>
      <w:r w:rsidRPr="003E2A47">
        <w:rPr>
          <w:rFonts w:ascii="Times New Roman" w:hAnsi="Times New Roman" w:cs="Times New Roman"/>
          <w:color w:val="000000" w:themeColor="text1"/>
        </w:rPr>
        <w:t>: Documented deployments skew toward successful implementations. Failed projects rarely publish detailed postmortems, biasing our failure analysis toward observable patterns rather than complete enumeration.</w:t>
      </w:r>
    </w:p>
    <w:p w14:paraId="78F6BBC5"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2. Temporal validity</w:t>
      </w:r>
      <w:r w:rsidRPr="003E2A47">
        <w:rPr>
          <w:rFonts w:ascii="Times New Roman" w:hAnsi="Times New Roman" w:cs="Times New Roman"/>
          <w:color w:val="000000" w:themeColor="text1"/>
        </w:rPr>
        <w:t>: The agentic AI market is evolving rapidly. Framework capabilities, model performance, and best practices documented in 2026 may be obsolete by 2027. Readers should verify currency of specific recommendations.</w:t>
      </w:r>
    </w:p>
    <w:p w14:paraId="2C8E60D7"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3. Industry coverage gaps</w:t>
      </w:r>
      <w:r w:rsidRPr="003E2A47">
        <w:rPr>
          <w:rFonts w:ascii="Times New Roman" w:hAnsi="Times New Roman" w:cs="Times New Roman"/>
          <w:color w:val="000000" w:themeColor="text1"/>
        </w:rPr>
        <w:t>: High-penetration use cases cluster in digital-native functions (IT ops, software engineering, customer service). Physical industries (manufacturing, supply chain, field services) remain underrepresented in public case studies, limiting transferability.</w:t>
      </w:r>
    </w:p>
    <w:p w14:paraId="6D25DDB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4. ROI measurement challenges</w:t>
      </w:r>
      <w:r w:rsidRPr="003E2A47">
        <w:rPr>
          <w:rFonts w:ascii="Times New Roman" w:hAnsi="Times New Roman" w:cs="Times New Roman"/>
          <w:color w:val="000000" w:themeColor="text1"/>
        </w:rPr>
        <w:t>: Vendor-published ROI figures are unaudited and may reflect best-case scenarios. Where possible, we triangulate across multiple sources, but independent verification is limited.</w:t>
      </w:r>
    </w:p>
    <w:p w14:paraId="60B78581"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5. Governance model maturity</w:t>
      </w:r>
      <w:r w:rsidRPr="003E2A47">
        <w:rPr>
          <w:rFonts w:ascii="Times New Roman" w:hAnsi="Times New Roman" w:cs="Times New Roman"/>
          <w:color w:val="000000" w:themeColor="text1"/>
        </w:rPr>
        <w:t>: Only 21% of organizations have mature governance for agents. Our governance recommendations are synthesized from this leading cohort and may not reflect median organizational readiness.</w:t>
      </w:r>
    </w:p>
    <w:p w14:paraId="7B897F6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6. Geographic bias</w:t>
      </w:r>
      <w:r w:rsidRPr="003E2A47">
        <w:rPr>
          <w:rFonts w:ascii="Times New Roman" w:hAnsi="Times New Roman" w:cs="Times New Roman"/>
          <w:color w:val="000000" w:themeColor="text1"/>
        </w:rPr>
        <w:t>: Primary data sources (Gartner, McKinsey, vendor case studies) skew toward North American and European deployments. ASEAN-specific adaptations are proposed but not yet validated at scale.</w:t>
      </w:r>
    </w:p>
    <w:p w14:paraId="64E96E94"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4BEA9116">
          <v:rect id="_x0000_i1027" alt="" style="width:468pt;height:.05pt;mso-width-percent:0;mso-height-percent:0;mso-width-percent:0;mso-height-percent:0" o:hralign="center" o:hrstd="t" o:hr="t"/>
        </w:pict>
      </w:r>
    </w:p>
    <w:p w14:paraId="6A440DA3" w14:textId="77777777" w:rsidR="00911569" w:rsidRPr="003E2A47" w:rsidRDefault="00000000" w:rsidP="003E2A47">
      <w:pPr>
        <w:pStyle w:val="Heading2"/>
        <w:jc w:val="both"/>
        <w:rPr>
          <w:rFonts w:ascii="Times New Roman" w:hAnsi="Times New Roman" w:cs="Times New Roman"/>
          <w:color w:val="000000" w:themeColor="text1"/>
        </w:rPr>
      </w:pPr>
      <w:bookmarkStart w:id="46" w:name="conclusion"/>
      <w:bookmarkEnd w:id="45"/>
      <w:r w:rsidRPr="003E2A47">
        <w:rPr>
          <w:rFonts w:ascii="Times New Roman" w:hAnsi="Times New Roman" w:cs="Times New Roman"/>
          <w:color w:val="000000" w:themeColor="text1"/>
        </w:rPr>
        <w:lastRenderedPageBreak/>
        <w:t>13. CONCLUSION</w:t>
      </w:r>
    </w:p>
    <w:p w14:paraId="4FCC194E" w14:textId="77777777" w:rsidR="00911569" w:rsidRPr="003E2A47" w:rsidRDefault="00000000" w:rsidP="003E2A47">
      <w:pPr>
        <w:pStyle w:val="Heading3"/>
        <w:jc w:val="both"/>
        <w:rPr>
          <w:rFonts w:ascii="Times New Roman" w:hAnsi="Times New Roman" w:cs="Times New Roman"/>
          <w:color w:val="000000" w:themeColor="text1"/>
        </w:rPr>
      </w:pPr>
      <w:bookmarkStart w:id="47" w:name="summary-of-findings"/>
      <w:r w:rsidRPr="003E2A47">
        <w:rPr>
          <w:rFonts w:ascii="Times New Roman" w:hAnsi="Times New Roman" w:cs="Times New Roman"/>
          <w:color w:val="000000" w:themeColor="text1"/>
        </w:rPr>
        <w:t>13.1 Summary of Findings</w:t>
      </w:r>
    </w:p>
    <w:p w14:paraId="63F39F2C"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This research establishes that enterprise agentic AI has crossed the inflection point from emerging technology to production deployment, with 31% of organizations operating agents in live workflows and 80% of enterprise applications embedding agent capabilities. However, a 49-percentage-point execution gap persists between embedded availability and successful operationalization, driven by five systematic failure modes: data quality (52% blocker), unclear ROI, cost overruns (7× YoY growth), governance gaps (79% immature), and workforce resistance (44% lack named owners).</w:t>
      </w:r>
    </w:p>
    <w:p w14:paraId="142E530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Through analysis of documented deployments across eight business functions, we quantify value realization: 30-90% cycle time reduction, 30-50% cost-to-serve improvement, 3-10% productivity gains, and &lt;6-month payback periods. These gains require adherence to a five-layer reference architecture (experience, orchestration, agent, capability, foundation) with six cross-cutting trust mechanisms (identity, approval policies, audit, PII controls, evaluation, FinOps).</w:t>
      </w:r>
    </w:p>
    <w:p w14:paraId="5033C035"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The maturity model identifies five stages from assistive copilots to autonomous operations, with each transition introducing new technical and organizational challenges. Organizations that successfully navigate these transitions share common characteristics: clean accessible data, composable APIs, agent identity management, evaluation harnesses, and crucially, role evolution from executing work to supervising autonomous systems.</w:t>
      </w:r>
    </w:p>
    <w:p w14:paraId="6C617F7A" w14:textId="77777777" w:rsidR="00911569" w:rsidRPr="003E2A47" w:rsidRDefault="00000000" w:rsidP="003E2A47">
      <w:pPr>
        <w:pStyle w:val="Heading3"/>
        <w:jc w:val="both"/>
        <w:rPr>
          <w:rFonts w:ascii="Times New Roman" w:hAnsi="Times New Roman" w:cs="Times New Roman"/>
          <w:color w:val="000000" w:themeColor="text1"/>
        </w:rPr>
      </w:pPr>
      <w:bookmarkStart w:id="48" w:name="implications-for-practice"/>
      <w:bookmarkEnd w:id="47"/>
      <w:r w:rsidRPr="003E2A47">
        <w:rPr>
          <w:rFonts w:ascii="Times New Roman" w:hAnsi="Times New Roman" w:cs="Times New Roman"/>
          <w:color w:val="000000" w:themeColor="text1"/>
        </w:rPr>
        <w:t>13.2 Implications for Practice</w:t>
      </w:r>
    </w:p>
    <w:p w14:paraId="73645D6F"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Five decisions determine agentic AI success or failure:</w:t>
      </w:r>
    </w:p>
    <w:p w14:paraId="6C615DBD"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1. Treat agents as a workforce, not a feature</w:t>
      </w:r>
      <w:r w:rsidRPr="003E2A47">
        <w:rPr>
          <w:rFonts w:ascii="Times New Roman" w:hAnsi="Times New Roman" w:cs="Times New Roman"/>
          <w:color w:val="000000" w:themeColor="text1"/>
        </w:rPr>
        <w:t xml:space="preserve"> Manage agents like teams—with owners, KPIs, budgets, performance reviews, and career paths (capability evolution). Organizations that treat agents as IT projects fail to achieve adoption.</w:t>
      </w:r>
    </w:p>
    <w:p w14:paraId="6E560395"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2. Pick workflows, not technologies</w:t>
      </w:r>
      <w:r w:rsidRPr="003E2A47">
        <w:rPr>
          <w:rFonts w:ascii="Times New Roman" w:hAnsi="Times New Roman" w:cs="Times New Roman"/>
          <w:color w:val="000000" w:themeColor="text1"/>
        </w:rPr>
        <w:t xml:space="preserve"> Frameworks rotate every 18 months; workflow ROI compounds over years. Select use cases based on business value (volume × repetitiveness × ROI), not technical novelty.</w:t>
      </w:r>
    </w:p>
    <w:p w14:paraId="74D468EE"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3. Invest in evals before scale</w:t>
      </w:r>
      <w:r w:rsidRPr="003E2A47">
        <w:rPr>
          <w:rFonts w:ascii="Times New Roman" w:hAnsi="Times New Roman" w:cs="Times New Roman"/>
          <w:color w:val="000000" w:themeColor="text1"/>
        </w:rPr>
        <w:t xml:space="preserve"> You cannot improve—or govern—what you cannot measure. Build evaluation harnesses during pilot, not after production deployment. Continuous evaluation is the foundation for both performance improvement and risk management.</w:t>
      </w:r>
    </w:p>
    <w:p w14:paraId="13CA71C4"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4. Govern by autonomy tier</w:t>
      </w:r>
      <w:r w:rsidRPr="003E2A47">
        <w:rPr>
          <w:rFonts w:ascii="Times New Roman" w:hAnsi="Times New Roman" w:cs="Times New Roman"/>
          <w:color w:val="000000" w:themeColor="text1"/>
        </w:rPr>
        <w:t xml:space="preserve"> Match human approval requirements to blast radius. Not every action needs review; Tier-1 (informational) actions can auto-execute while Tier-3 (high-impact) actions require approval. Risk-based governance scales where blanket approval does not.</w:t>
      </w:r>
    </w:p>
    <w:p w14:paraId="587B370E"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5. Build the operating model alongside the tech</w:t>
      </w:r>
      <w:r w:rsidRPr="003E2A47">
        <w:rPr>
          <w:rFonts w:ascii="Times New Roman" w:hAnsi="Times New Roman" w:cs="Times New Roman"/>
          <w:color w:val="000000" w:themeColor="text1"/>
        </w:rPr>
        <w:t xml:space="preserve"> Roles, skills, and incentives are the rate-limiting step, not model capability. Define evolved roles (agent supervisor, agent designer, policy author) before deployment. Measure business outcomes (cycle time, cost, quality), not technical metrics (tokens, latency).</w:t>
      </w:r>
    </w:p>
    <w:p w14:paraId="09FBFF89" w14:textId="77777777" w:rsidR="00911569" w:rsidRPr="003E2A47" w:rsidRDefault="00000000" w:rsidP="003E2A47">
      <w:pPr>
        <w:pStyle w:val="Heading3"/>
        <w:jc w:val="both"/>
        <w:rPr>
          <w:rFonts w:ascii="Times New Roman" w:hAnsi="Times New Roman" w:cs="Times New Roman"/>
          <w:color w:val="000000" w:themeColor="text1"/>
        </w:rPr>
      </w:pPr>
      <w:bookmarkStart w:id="49" w:name="future-research-directions"/>
      <w:bookmarkEnd w:id="48"/>
      <w:r w:rsidRPr="003E2A47">
        <w:rPr>
          <w:rFonts w:ascii="Times New Roman" w:hAnsi="Times New Roman" w:cs="Times New Roman"/>
          <w:color w:val="000000" w:themeColor="text1"/>
        </w:rPr>
        <w:lastRenderedPageBreak/>
        <w:t>13.3 Future Research Directions</w:t>
      </w:r>
    </w:p>
    <w:p w14:paraId="2386F061"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This study identifies several areas requiring further investigation:</w:t>
      </w:r>
    </w:p>
    <w:p w14:paraId="0AC08944" w14:textId="77777777" w:rsidR="00911569" w:rsidRPr="003E2A47" w:rsidRDefault="00000000" w:rsidP="003E2A47">
      <w:pPr>
        <w:numPr>
          <w:ilvl w:val="0"/>
          <w:numId w:val="12"/>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Longitudinal studies of agent evolution</w:t>
      </w:r>
      <w:r w:rsidRPr="003E2A47">
        <w:rPr>
          <w:rFonts w:ascii="Times New Roman" w:hAnsi="Times New Roman" w:cs="Times New Roman"/>
          <w:color w:val="000000" w:themeColor="text1"/>
        </w:rPr>
        <w:t>: How do agent capabilities, costs, and organizational roles evolve over 2-3 year deployments? Current case studies capture snapshot performance, not evolutionary trajectories.</w:t>
      </w:r>
    </w:p>
    <w:p w14:paraId="175EA8E2" w14:textId="77777777" w:rsidR="00911569" w:rsidRPr="003E2A47" w:rsidRDefault="00000000" w:rsidP="003E2A47">
      <w:pPr>
        <w:numPr>
          <w:ilvl w:val="0"/>
          <w:numId w:val="12"/>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Multi-agent failure mode taxonomy</w:t>
      </w:r>
      <w:r w:rsidRPr="003E2A47">
        <w:rPr>
          <w:rFonts w:ascii="Times New Roman" w:hAnsi="Times New Roman" w:cs="Times New Roman"/>
          <w:color w:val="000000" w:themeColor="text1"/>
        </w:rPr>
        <w:t>: While single-agent failures are well-documented, multi-agent coordination failures (deadlock, conflict, recursive spawning) lack systematic classification and mitigation strategies.</w:t>
      </w:r>
    </w:p>
    <w:p w14:paraId="25819BE7" w14:textId="77777777" w:rsidR="00911569" w:rsidRPr="003E2A47" w:rsidRDefault="00000000" w:rsidP="003E2A47">
      <w:pPr>
        <w:numPr>
          <w:ilvl w:val="0"/>
          <w:numId w:val="12"/>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Industry-specific adaptation frameworks</w:t>
      </w:r>
      <w:r w:rsidRPr="003E2A47">
        <w:rPr>
          <w:rFonts w:ascii="Times New Roman" w:hAnsi="Times New Roman" w:cs="Times New Roman"/>
          <w:color w:val="000000" w:themeColor="text1"/>
        </w:rPr>
        <w:t>: Healthcare, legal, and physical supply chain industries exhibit low agent penetration. Research is needed on domain-specific barriers and adaptation patterns.</w:t>
      </w:r>
    </w:p>
    <w:p w14:paraId="7846B06D" w14:textId="77777777" w:rsidR="00911569" w:rsidRPr="003E2A47" w:rsidRDefault="00000000" w:rsidP="003E2A47">
      <w:pPr>
        <w:numPr>
          <w:ilvl w:val="0"/>
          <w:numId w:val="12"/>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Workforce impact quantification</w:t>
      </w:r>
      <w:r w:rsidRPr="003E2A47">
        <w:rPr>
          <w:rFonts w:ascii="Times New Roman" w:hAnsi="Times New Roman" w:cs="Times New Roman"/>
          <w:color w:val="000000" w:themeColor="text1"/>
        </w:rPr>
        <w:t>: Beyond productivity metrics, how do agent deployments affect employee satisfaction, skill development, and retention? Current research focuses on efficiency, not human factors.</w:t>
      </w:r>
    </w:p>
    <w:p w14:paraId="4AEB38B0" w14:textId="77777777" w:rsidR="00911569" w:rsidRPr="003E2A47" w:rsidRDefault="00000000" w:rsidP="003E2A47">
      <w:pPr>
        <w:numPr>
          <w:ilvl w:val="0"/>
          <w:numId w:val="12"/>
        </w:numPr>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Governance at scale</w:t>
      </w:r>
      <w:r w:rsidRPr="003E2A47">
        <w:rPr>
          <w:rFonts w:ascii="Times New Roman" w:hAnsi="Times New Roman" w:cs="Times New Roman"/>
          <w:color w:val="000000" w:themeColor="text1"/>
        </w:rPr>
        <w:t>: How do organizations manage portfolios of 50+ agents with overlapping tool access and shared memory? Current governance models address individual agents, not agent ecosystems.</w:t>
      </w:r>
    </w:p>
    <w:p w14:paraId="3CEA91C7" w14:textId="77777777" w:rsidR="00911569" w:rsidRPr="003E2A47" w:rsidRDefault="00000000" w:rsidP="003E2A47">
      <w:pPr>
        <w:pStyle w:val="Heading3"/>
        <w:jc w:val="both"/>
        <w:rPr>
          <w:rFonts w:ascii="Times New Roman" w:hAnsi="Times New Roman" w:cs="Times New Roman"/>
          <w:color w:val="000000" w:themeColor="text1"/>
        </w:rPr>
      </w:pPr>
      <w:bookmarkStart w:id="50" w:name="final-perspective"/>
      <w:bookmarkEnd w:id="49"/>
      <w:r w:rsidRPr="003E2A47">
        <w:rPr>
          <w:rFonts w:ascii="Times New Roman" w:hAnsi="Times New Roman" w:cs="Times New Roman"/>
          <w:color w:val="000000" w:themeColor="text1"/>
        </w:rPr>
        <w:t>13.4 Final Perspective</w:t>
      </w:r>
    </w:p>
    <w:p w14:paraId="0DE750F8"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The question for 2026 is not </w:t>
      </w:r>
      <w:r w:rsidRPr="003E2A47">
        <w:rPr>
          <w:rFonts w:ascii="Times New Roman" w:hAnsi="Times New Roman" w:cs="Times New Roman"/>
          <w:i/>
          <w:iCs/>
          <w:color w:val="000000" w:themeColor="text1"/>
        </w:rPr>
        <w:t>whether</w:t>
      </w:r>
      <w:r w:rsidRPr="003E2A47">
        <w:rPr>
          <w:rFonts w:ascii="Times New Roman" w:hAnsi="Times New Roman" w:cs="Times New Roman"/>
          <w:color w:val="000000" w:themeColor="text1"/>
        </w:rPr>
        <w:t xml:space="preserve"> to deploy agents, but </w:t>
      </w:r>
      <w:r w:rsidRPr="003E2A47">
        <w:rPr>
          <w:rFonts w:ascii="Times New Roman" w:hAnsi="Times New Roman" w:cs="Times New Roman"/>
          <w:i/>
          <w:iCs/>
          <w:color w:val="000000" w:themeColor="text1"/>
        </w:rPr>
        <w:t>which workflows justify the operating overhead</w:t>
      </w:r>
      <w:r w:rsidRPr="003E2A47">
        <w:rPr>
          <w:rFonts w:ascii="Times New Roman" w:hAnsi="Times New Roman" w:cs="Times New Roman"/>
          <w:color w:val="000000" w:themeColor="text1"/>
        </w:rPr>
        <w:t>. The leaders of the next decade will be organizations that turn agents into accountable members of their workforce—measured, governed, and improving every quarter. The technology is ready. The question is: are organizations ready to transform how work gets done?</w:t>
      </w:r>
    </w:p>
    <w:p w14:paraId="7E19ED1E"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76B60C85">
          <v:rect id="_x0000_i1026" alt="" style="width:468pt;height:.05pt;mso-width-percent:0;mso-height-percent:0;mso-width-percent:0;mso-height-percent:0" o:hralign="center" o:hrstd="t" o:hr="t"/>
        </w:pict>
      </w:r>
    </w:p>
    <w:p w14:paraId="43AA8C7D" w14:textId="77777777" w:rsidR="00911569" w:rsidRPr="003E2A47" w:rsidRDefault="00000000" w:rsidP="003E2A47">
      <w:pPr>
        <w:pStyle w:val="Heading2"/>
        <w:jc w:val="both"/>
        <w:rPr>
          <w:rFonts w:ascii="Times New Roman" w:hAnsi="Times New Roman" w:cs="Times New Roman"/>
          <w:color w:val="000000" w:themeColor="text1"/>
        </w:rPr>
      </w:pPr>
      <w:bookmarkStart w:id="51" w:name="references"/>
      <w:bookmarkEnd w:id="46"/>
      <w:bookmarkEnd w:id="50"/>
      <w:r w:rsidRPr="003E2A47">
        <w:rPr>
          <w:rFonts w:ascii="Times New Roman" w:hAnsi="Times New Roman" w:cs="Times New Roman"/>
          <w:color w:val="000000" w:themeColor="text1"/>
        </w:rPr>
        <w:t>14. REFERENCES</w:t>
      </w:r>
    </w:p>
    <w:p w14:paraId="00DC632B"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Blockchain Council. (2026). </w:t>
      </w:r>
      <w:r w:rsidRPr="003E2A47">
        <w:rPr>
          <w:rFonts w:ascii="Times New Roman" w:hAnsi="Times New Roman" w:cs="Times New Roman"/>
          <w:i/>
          <w:iCs/>
          <w:color w:val="000000" w:themeColor="text1"/>
        </w:rPr>
        <w:t>Agentic AI in 2026: The Comprehensive Guide</w:t>
      </w:r>
      <w:r w:rsidRPr="003E2A47">
        <w:rPr>
          <w:rFonts w:ascii="Times New Roman" w:hAnsi="Times New Roman" w:cs="Times New Roman"/>
          <w:color w:val="000000" w:themeColor="text1"/>
        </w:rPr>
        <w:t>. Retrieved from https://www.blockchain-council.org</w:t>
      </w:r>
    </w:p>
    <w:p w14:paraId="21D50E3D"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Digital Applied. (2026). </w:t>
      </w:r>
      <w:r w:rsidRPr="003E2A47">
        <w:rPr>
          <w:rFonts w:ascii="Times New Roman" w:hAnsi="Times New Roman" w:cs="Times New Roman"/>
          <w:i/>
          <w:iCs/>
          <w:color w:val="000000" w:themeColor="text1"/>
        </w:rPr>
        <w:t>The State of Agentic AI: Industry Benchmarks and Adoption Patterns</w:t>
      </w:r>
      <w:r w:rsidRPr="003E2A47">
        <w:rPr>
          <w:rFonts w:ascii="Times New Roman" w:hAnsi="Times New Roman" w:cs="Times New Roman"/>
          <w:color w:val="000000" w:themeColor="text1"/>
        </w:rPr>
        <w:t>. Digital Applied Research.</w:t>
      </w:r>
    </w:p>
    <w:p w14:paraId="058FF4AF"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Gartner. (2026). </w:t>
      </w:r>
      <w:r w:rsidRPr="003E2A47">
        <w:rPr>
          <w:rFonts w:ascii="Times New Roman" w:hAnsi="Times New Roman" w:cs="Times New Roman"/>
          <w:i/>
          <w:iCs/>
          <w:color w:val="000000" w:themeColor="text1"/>
        </w:rPr>
        <w:t>CIO Survey 2026: Enterprise AI Adoption Trends</w:t>
      </w:r>
      <w:r w:rsidRPr="003E2A47">
        <w:rPr>
          <w:rFonts w:ascii="Times New Roman" w:hAnsi="Times New Roman" w:cs="Times New Roman"/>
          <w:color w:val="000000" w:themeColor="text1"/>
        </w:rPr>
        <w:t>. Gartner, Inc.</w:t>
      </w:r>
    </w:p>
    <w:p w14:paraId="7EAA973A"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Gartner. (2026). </w:t>
      </w:r>
      <w:r w:rsidRPr="003E2A47">
        <w:rPr>
          <w:rFonts w:ascii="Times New Roman" w:hAnsi="Times New Roman" w:cs="Times New Roman"/>
          <w:i/>
          <w:iCs/>
          <w:color w:val="000000" w:themeColor="text1"/>
        </w:rPr>
        <w:t>Hype Cycle for Agentic AI, 2026</w:t>
      </w:r>
      <w:r w:rsidRPr="003E2A47">
        <w:rPr>
          <w:rFonts w:ascii="Times New Roman" w:hAnsi="Times New Roman" w:cs="Times New Roman"/>
          <w:color w:val="000000" w:themeColor="text1"/>
        </w:rPr>
        <w:t>. Gartner, Inc.</w:t>
      </w:r>
    </w:p>
    <w:p w14:paraId="717896B9"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McKinsey &amp; Company. (2026). </w:t>
      </w:r>
      <w:r w:rsidRPr="003E2A47">
        <w:rPr>
          <w:rFonts w:ascii="Times New Roman" w:hAnsi="Times New Roman" w:cs="Times New Roman"/>
          <w:i/>
          <w:iCs/>
          <w:color w:val="000000" w:themeColor="text1"/>
        </w:rPr>
        <w:t>The State of AI in 2026</w:t>
      </w:r>
      <w:r w:rsidRPr="003E2A47">
        <w:rPr>
          <w:rFonts w:ascii="Times New Roman" w:hAnsi="Times New Roman" w:cs="Times New Roman"/>
          <w:color w:val="000000" w:themeColor="text1"/>
        </w:rPr>
        <w:t>. McKinsey Global Institute.</w:t>
      </w:r>
    </w:p>
    <w:p w14:paraId="3A3B2906"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MIT Sloan Management Review / Aral, S. (2026). </w:t>
      </w:r>
      <w:r w:rsidRPr="003E2A47">
        <w:rPr>
          <w:rFonts w:ascii="Times New Roman" w:hAnsi="Times New Roman" w:cs="Times New Roman"/>
          <w:i/>
          <w:iCs/>
          <w:color w:val="000000" w:themeColor="text1"/>
        </w:rPr>
        <w:t>From Assistive to Agentic: The Next Phase of Enterprise AI</w:t>
      </w:r>
      <w:r w:rsidRPr="003E2A47">
        <w:rPr>
          <w:rFonts w:ascii="Times New Roman" w:hAnsi="Times New Roman" w:cs="Times New Roman"/>
          <w:color w:val="000000" w:themeColor="text1"/>
        </w:rPr>
        <w:t>. MIT Sloan Management Review.</w:t>
      </w:r>
    </w:p>
    <w:p w14:paraId="0AA1A1BA"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lastRenderedPageBreak/>
        <w:t xml:space="preserve">S&amp;P Global Market Intelligence. (2026). </w:t>
      </w:r>
      <w:r w:rsidRPr="003E2A47">
        <w:rPr>
          <w:rFonts w:ascii="Times New Roman" w:hAnsi="Times New Roman" w:cs="Times New Roman"/>
          <w:i/>
          <w:iCs/>
          <w:color w:val="000000" w:themeColor="text1"/>
        </w:rPr>
        <w:t>Enterprise Software Trends: AI Agent Embedding Analysis</w:t>
      </w:r>
      <w:r w:rsidRPr="003E2A47">
        <w:rPr>
          <w:rFonts w:ascii="Times New Roman" w:hAnsi="Times New Roman" w:cs="Times New Roman"/>
          <w:color w:val="000000" w:themeColor="text1"/>
        </w:rPr>
        <w:t>. S&amp;P Global.</w:t>
      </w:r>
    </w:p>
    <w:p w14:paraId="75C6082D"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arXiv. (2026). </w:t>
      </w:r>
      <w:r w:rsidRPr="003E2A47">
        <w:rPr>
          <w:rFonts w:ascii="Times New Roman" w:hAnsi="Times New Roman" w:cs="Times New Roman"/>
          <w:i/>
          <w:iCs/>
          <w:color w:val="000000" w:themeColor="text1"/>
        </w:rPr>
        <w:t>A Systematic Review of Agentic AI Frameworks</w:t>
      </w:r>
      <w:r w:rsidRPr="003E2A47">
        <w:rPr>
          <w:rFonts w:ascii="Times New Roman" w:hAnsi="Times New Roman" w:cs="Times New Roman"/>
          <w:color w:val="000000" w:themeColor="text1"/>
        </w:rPr>
        <w:t xml:space="preserve"> (arXiv:2508.10146). Cornell University.</w:t>
      </w:r>
    </w:p>
    <w:p w14:paraId="49349B9C"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AgentCrew. (2026). </w:t>
      </w:r>
      <w:r w:rsidRPr="003E2A47">
        <w:rPr>
          <w:rFonts w:ascii="Times New Roman" w:hAnsi="Times New Roman" w:cs="Times New Roman"/>
          <w:i/>
          <w:iCs/>
          <w:color w:val="000000" w:themeColor="text1"/>
        </w:rPr>
        <w:t>Top 11 AI Agent Use Cases Transforming Industries</w:t>
      </w:r>
      <w:r w:rsidRPr="003E2A47">
        <w:rPr>
          <w:rFonts w:ascii="Times New Roman" w:hAnsi="Times New Roman" w:cs="Times New Roman"/>
          <w:color w:val="000000" w:themeColor="text1"/>
        </w:rPr>
        <w:t>. AgentCrew Research.</w:t>
      </w:r>
    </w:p>
    <w:p w14:paraId="024293DB"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MagicSuite. (2026). </w:t>
      </w:r>
      <w:r w:rsidRPr="003E2A47">
        <w:rPr>
          <w:rFonts w:ascii="Times New Roman" w:hAnsi="Times New Roman" w:cs="Times New Roman"/>
          <w:i/>
          <w:iCs/>
          <w:color w:val="000000" w:themeColor="text1"/>
        </w:rPr>
        <w:t>Enterprise AI Agent Use Cases 2026: A Comprehensive Analysis</w:t>
      </w:r>
      <w:r w:rsidRPr="003E2A47">
        <w:rPr>
          <w:rFonts w:ascii="Times New Roman" w:hAnsi="Times New Roman" w:cs="Times New Roman"/>
          <w:color w:val="000000" w:themeColor="text1"/>
        </w:rPr>
        <w:t>. MagicSuite Labs.</w:t>
      </w:r>
    </w:p>
    <w:p w14:paraId="4F2EE66A"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Forrester Research. (2026). </w:t>
      </w:r>
      <w:r w:rsidRPr="003E2A47">
        <w:rPr>
          <w:rFonts w:ascii="Times New Roman" w:hAnsi="Times New Roman" w:cs="Times New Roman"/>
          <w:i/>
          <w:iCs/>
          <w:color w:val="000000" w:themeColor="text1"/>
        </w:rPr>
        <w:t>The Total Economic Impact of Agentic AI Deployments</w:t>
      </w:r>
      <w:r w:rsidRPr="003E2A47">
        <w:rPr>
          <w:rFonts w:ascii="Times New Roman" w:hAnsi="Times New Roman" w:cs="Times New Roman"/>
          <w:color w:val="000000" w:themeColor="text1"/>
        </w:rPr>
        <w:t>. Forrester TEI Study.</w:t>
      </w:r>
    </w:p>
    <w:p w14:paraId="554A50A4"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DataCamp. (2026). </w:t>
      </w:r>
      <w:r w:rsidRPr="003E2A47">
        <w:rPr>
          <w:rFonts w:ascii="Times New Roman" w:hAnsi="Times New Roman" w:cs="Times New Roman"/>
          <w:i/>
          <w:iCs/>
          <w:color w:val="000000" w:themeColor="text1"/>
        </w:rPr>
        <w:t>AI Agent Frameworks Compared: LangGraph, CrewAI, AutoGen, and ADK</w:t>
      </w:r>
      <w:r w:rsidRPr="003E2A47">
        <w:rPr>
          <w:rFonts w:ascii="Times New Roman" w:hAnsi="Times New Roman" w:cs="Times New Roman"/>
          <w:color w:val="000000" w:themeColor="text1"/>
        </w:rPr>
        <w:t>. DataCamp Technical Analysis.</w:t>
      </w:r>
    </w:p>
    <w:p w14:paraId="1F049625"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TechAhead. (2026). </w:t>
      </w:r>
      <w:r w:rsidRPr="003E2A47">
        <w:rPr>
          <w:rFonts w:ascii="Times New Roman" w:hAnsi="Times New Roman" w:cs="Times New Roman"/>
          <w:i/>
          <w:iCs/>
          <w:color w:val="000000" w:themeColor="text1"/>
        </w:rPr>
        <w:t>Industry-Specific AI Agent Use Cases and Implementation Patterns</w:t>
      </w:r>
      <w:r w:rsidRPr="003E2A47">
        <w:rPr>
          <w:rFonts w:ascii="Times New Roman" w:hAnsi="Times New Roman" w:cs="Times New Roman"/>
          <w:color w:val="000000" w:themeColor="text1"/>
        </w:rPr>
        <w:t>. TechAhead Research.</w:t>
      </w:r>
    </w:p>
    <w:p w14:paraId="0E00D8DE"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ServiceNow. (2026). </w:t>
      </w:r>
      <w:r w:rsidRPr="003E2A47">
        <w:rPr>
          <w:rFonts w:ascii="Times New Roman" w:hAnsi="Times New Roman" w:cs="Times New Roman"/>
          <w:i/>
          <w:iCs/>
          <w:color w:val="000000" w:themeColor="text1"/>
        </w:rPr>
        <w:t>Customer Success: Autonomous Service Operations at Scale</w:t>
      </w:r>
      <w:r w:rsidRPr="003E2A47">
        <w:rPr>
          <w:rFonts w:ascii="Times New Roman" w:hAnsi="Times New Roman" w:cs="Times New Roman"/>
          <w:color w:val="000000" w:themeColor="text1"/>
        </w:rPr>
        <w:t>. ServiceNow Case Study Library.</w:t>
      </w:r>
    </w:p>
    <w:p w14:paraId="518C84CE"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Klarna. (2026). </w:t>
      </w:r>
      <w:r w:rsidRPr="003E2A47">
        <w:rPr>
          <w:rFonts w:ascii="Times New Roman" w:hAnsi="Times New Roman" w:cs="Times New Roman"/>
          <w:i/>
          <w:iCs/>
          <w:color w:val="000000" w:themeColor="text1"/>
        </w:rPr>
        <w:t>Engineering Blog: 80% Autonomous Customer Service with AI Agents</w:t>
      </w:r>
      <w:r w:rsidRPr="003E2A47">
        <w:rPr>
          <w:rFonts w:ascii="Times New Roman" w:hAnsi="Times New Roman" w:cs="Times New Roman"/>
          <w:color w:val="000000" w:themeColor="text1"/>
        </w:rPr>
        <w:t>. Klarna Engineering.</w:t>
      </w:r>
    </w:p>
    <w:p w14:paraId="16CFA99B"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TELUS. (2026). </w:t>
      </w:r>
      <w:r w:rsidRPr="003E2A47">
        <w:rPr>
          <w:rFonts w:ascii="Times New Roman" w:hAnsi="Times New Roman" w:cs="Times New Roman"/>
          <w:i/>
          <w:iCs/>
          <w:color w:val="000000" w:themeColor="text1"/>
        </w:rPr>
        <w:t>Developer Portal: AI-Assisted Software Development Outcomes</w:t>
      </w:r>
      <w:r w:rsidRPr="003E2A47">
        <w:rPr>
          <w:rFonts w:ascii="Times New Roman" w:hAnsi="Times New Roman" w:cs="Times New Roman"/>
          <w:color w:val="000000" w:themeColor="text1"/>
        </w:rPr>
        <w:t>. TELUS Digital.</w:t>
      </w:r>
    </w:p>
    <w:p w14:paraId="37AA5FD3"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color w:val="000000" w:themeColor="text1"/>
        </w:rPr>
        <w:t xml:space="preserve">Fountain. (2026). </w:t>
      </w:r>
      <w:r w:rsidRPr="003E2A47">
        <w:rPr>
          <w:rFonts w:ascii="Times New Roman" w:hAnsi="Times New Roman" w:cs="Times New Roman"/>
          <w:i/>
          <w:iCs/>
          <w:color w:val="000000" w:themeColor="text1"/>
        </w:rPr>
        <w:t>HR Technology Case Study: AI Agents in Talent Acquisition</w:t>
      </w:r>
      <w:r w:rsidRPr="003E2A47">
        <w:rPr>
          <w:rFonts w:ascii="Times New Roman" w:hAnsi="Times New Roman" w:cs="Times New Roman"/>
          <w:color w:val="000000" w:themeColor="text1"/>
        </w:rPr>
        <w:t>. Fountain Customer Success.</w:t>
      </w:r>
    </w:p>
    <w:p w14:paraId="1E2AE431" w14:textId="77777777" w:rsidR="00911569" w:rsidRPr="003E2A47" w:rsidRDefault="00962D75" w:rsidP="003E2A47">
      <w:pPr>
        <w:jc w:val="both"/>
        <w:rPr>
          <w:rFonts w:ascii="Times New Roman" w:hAnsi="Times New Roman" w:cs="Times New Roman"/>
          <w:color w:val="000000" w:themeColor="text1"/>
        </w:rPr>
      </w:pPr>
      <w:r w:rsidRPr="00962D75">
        <w:rPr>
          <w:rFonts w:ascii="Times New Roman" w:hAnsi="Times New Roman" w:cs="Times New Roman"/>
          <w:noProof/>
          <w:color w:val="000000" w:themeColor="text1"/>
        </w:rPr>
        <w:pict w14:anchorId="2F52AA82">
          <v:rect id="_x0000_i1025" alt="" style="width:468pt;height:.05pt;mso-width-percent:0;mso-height-percent:0;mso-width-percent:0;mso-height-percent:0" o:hralign="center" o:hrstd="t" o:hr="t"/>
        </w:pict>
      </w:r>
    </w:p>
    <w:p w14:paraId="6E80EAAA" w14:textId="77777777" w:rsidR="00911569" w:rsidRPr="003E2A47" w:rsidRDefault="00000000" w:rsidP="003E2A47">
      <w:pPr>
        <w:pStyle w:val="FirstParagraph"/>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END OF ARTICLE</w:t>
      </w:r>
    </w:p>
    <w:p w14:paraId="62B764CE" w14:textId="77777777" w:rsidR="00911569" w:rsidRPr="003E2A47" w:rsidRDefault="00000000" w:rsidP="003E2A47">
      <w:pPr>
        <w:pStyle w:val="BodyText"/>
        <w:jc w:val="both"/>
        <w:rPr>
          <w:rFonts w:ascii="Times New Roman" w:hAnsi="Times New Roman" w:cs="Times New Roman"/>
          <w:color w:val="000000" w:themeColor="text1"/>
        </w:rPr>
      </w:pPr>
      <w:r w:rsidRPr="003E2A47">
        <w:rPr>
          <w:rFonts w:ascii="Times New Roman" w:hAnsi="Times New Roman" w:cs="Times New Roman"/>
          <w:b/>
          <w:bCs/>
          <w:color w:val="000000" w:themeColor="text1"/>
        </w:rPr>
        <w:t>Word Count</w:t>
      </w:r>
      <w:r w:rsidRPr="003E2A47">
        <w:rPr>
          <w:rFonts w:ascii="Times New Roman" w:hAnsi="Times New Roman" w:cs="Times New Roman"/>
          <w:color w:val="000000" w:themeColor="text1"/>
        </w:rPr>
        <w:t xml:space="preserve">: ~6,800 words </w:t>
      </w:r>
      <w:r w:rsidRPr="003E2A47">
        <w:rPr>
          <w:rFonts w:ascii="Times New Roman" w:hAnsi="Times New Roman" w:cs="Times New Roman"/>
          <w:b/>
          <w:bCs/>
          <w:color w:val="000000" w:themeColor="text1"/>
        </w:rPr>
        <w:t>Target Audience</w:t>
      </w:r>
      <w:r w:rsidRPr="003E2A47">
        <w:rPr>
          <w:rFonts w:ascii="Times New Roman" w:hAnsi="Times New Roman" w:cs="Times New Roman"/>
          <w:color w:val="000000" w:themeColor="text1"/>
        </w:rPr>
        <w:t xml:space="preserve">: Enterprise technology leaders, AI practitioners, business transformation executives </w:t>
      </w:r>
      <w:r w:rsidRPr="003E2A47">
        <w:rPr>
          <w:rFonts w:ascii="Times New Roman" w:hAnsi="Times New Roman" w:cs="Times New Roman"/>
          <w:b/>
          <w:bCs/>
          <w:color w:val="000000" w:themeColor="text1"/>
        </w:rPr>
        <w:t>Suggested Journal</w:t>
      </w:r>
      <w:r w:rsidRPr="003E2A47">
        <w:rPr>
          <w:rFonts w:ascii="Times New Roman" w:hAnsi="Times New Roman" w:cs="Times New Roman"/>
          <w:color w:val="000000" w:themeColor="text1"/>
        </w:rPr>
        <w:t xml:space="preserve">: </w:t>
      </w:r>
      <w:r w:rsidRPr="003E2A47">
        <w:rPr>
          <w:rFonts w:ascii="Times New Roman" w:hAnsi="Times New Roman" w:cs="Times New Roman"/>
          <w:i/>
          <w:iCs/>
          <w:color w:val="000000" w:themeColor="text1"/>
        </w:rPr>
        <w:t>MIS Quarterly</w:t>
      </w:r>
      <w:r w:rsidRPr="003E2A47">
        <w:rPr>
          <w:rFonts w:ascii="Times New Roman" w:hAnsi="Times New Roman" w:cs="Times New Roman"/>
          <w:color w:val="000000" w:themeColor="text1"/>
        </w:rPr>
        <w:t xml:space="preserve">, </w:t>
      </w:r>
      <w:r w:rsidRPr="003E2A47">
        <w:rPr>
          <w:rFonts w:ascii="Times New Roman" w:hAnsi="Times New Roman" w:cs="Times New Roman"/>
          <w:i/>
          <w:iCs/>
          <w:color w:val="000000" w:themeColor="text1"/>
        </w:rPr>
        <w:t>Information Systems Research</w:t>
      </w:r>
      <w:r w:rsidRPr="003E2A47">
        <w:rPr>
          <w:rFonts w:ascii="Times New Roman" w:hAnsi="Times New Roman" w:cs="Times New Roman"/>
          <w:color w:val="000000" w:themeColor="text1"/>
        </w:rPr>
        <w:t xml:space="preserve">, </w:t>
      </w:r>
      <w:r w:rsidRPr="003E2A47">
        <w:rPr>
          <w:rFonts w:ascii="Times New Roman" w:hAnsi="Times New Roman" w:cs="Times New Roman"/>
          <w:i/>
          <w:iCs/>
          <w:color w:val="000000" w:themeColor="text1"/>
        </w:rPr>
        <w:t>Harvard Business Review</w:t>
      </w:r>
      <w:r w:rsidRPr="003E2A47">
        <w:rPr>
          <w:rFonts w:ascii="Times New Roman" w:hAnsi="Times New Roman" w:cs="Times New Roman"/>
          <w:color w:val="000000" w:themeColor="text1"/>
        </w:rPr>
        <w:t xml:space="preserve">, </w:t>
      </w:r>
      <w:r w:rsidRPr="003E2A47">
        <w:rPr>
          <w:rFonts w:ascii="Times New Roman" w:hAnsi="Times New Roman" w:cs="Times New Roman"/>
          <w:i/>
          <w:iCs/>
          <w:color w:val="000000" w:themeColor="text1"/>
        </w:rPr>
        <w:t>MIT Sloan Management Review</w:t>
      </w:r>
      <w:bookmarkEnd w:id="0"/>
      <w:bookmarkEnd w:id="51"/>
    </w:p>
    <w:sectPr w:rsidR="00911569" w:rsidRPr="003E2A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24B4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BE48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64ABE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45041737">
    <w:abstractNumId w:val="0"/>
  </w:num>
  <w:num w:numId="2" w16cid:durableId="1123427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2573589">
    <w:abstractNumId w:val="1"/>
  </w:num>
  <w:num w:numId="4" w16cid:durableId="712072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4182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777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7016959">
    <w:abstractNumId w:val="1"/>
  </w:num>
  <w:num w:numId="8" w16cid:durableId="2126608422">
    <w:abstractNumId w:val="1"/>
  </w:num>
  <w:num w:numId="9" w16cid:durableId="1416131703">
    <w:abstractNumId w:val="1"/>
  </w:num>
  <w:num w:numId="10" w16cid:durableId="1380278690">
    <w:abstractNumId w:val="1"/>
  </w:num>
  <w:num w:numId="11" w16cid:durableId="2104178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5139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11569"/>
    <w:rsid w:val="003E2A47"/>
    <w:rsid w:val="00911569"/>
    <w:rsid w:val="00962D75"/>
    <w:rsid w:val="00FD0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50B7"/>
  <w15:docId w15:val="{FC520406-F99F-5A42-8288-2B51EB3A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6035</Words>
  <Characters>39592</Characters>
  <Application>Microsoft Office Word</Application>
  <DocSecurity>0</DocSecurity>
  <Lines>879</Lines>
  <Paragraphs>430</Paragraphs>
  <ScaleCrop>false</ScaleCrop>
  <Company/>
  <LinksUpToDate>false</LinksUpToDate>
  <CharactersWithSpaces>45197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Raja Mohd Tariqi Raja Lope Ahmad</cp:lastModifiedBy>
  <cp:revision>2</cp:revision>
  <dcterms:created xsi:type="dcterms:W3CDTF">2026-06-18T05:06:00Z</dcterms:created>
  <dcterms:modified xsi:type="dcterms:W3CDTF">2026-06-18T05:10:00Z</dcterms:modified>
</cp:coreProperties>
</file>