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Naratif Berbahasa Cina — PRN 2026</w:t>
        <w:br/>
        <w:t>Melaka (Melaka)</w:t>
      </w:r>
    </w:p>
    <w:p>
      <w:pPr>
        <w:jc w:val="center"/>
      </w:pPr>
      <w:r>
        <w:t>Dijana: 14 June 2026, 23:02</w:t>
      </w:r>
    </w:p>
    <w:p>
      <w:r>
        <w:t>Fokus analisis: Kerajaan PH · Bandar heritage · Bandar Hilir · Klebang</w:t>
      </w:r>
    </w:p>
    <w:p>
      <w:r>
        <w:t>Melaka: kerajaan PH negeri, bandar kompak (Bandar Hilir, heritage); naratif perkhidmatan &amp; pembangunan bandar.</w:t>
      </w:r>
    </w:p>
    <w:p>
      <w:pPr>
        <w:pStyle w:val="Heading1"/>
      </w:pPr>
      <w:r>
        <w:t>EXECUTIVE SNAPSHOT — Baca 60 Saat</w:t>
      </w:r>
    </w:p>
    <w:p>
      <w:r>
        <w:rPr>
          <w:b/>
        </w:rPr>
        <w:t xml:space="preserve">Status: MERAH — PRIORITI TINGGI  |  </w:t>
      </w:r>
      <w:r>
        <w:t xml:space="preserve">Narrative Health: 11.0/100  |  </w:t>
      </w:r>
      <w:r>
        <w:t>79 post  |  14 June 2026, 23:02</w:t>
      </w:r>
    </w:p>
    <w:p>
      <w:r>
        <w:t>War room hari ini — semakan Legal/Management sebelum sebarang kenyataan awam.</w:t>
      </w:r>
    </w:p>
    <w:p>
      <w:pPr>
        <w:pStyle w:val="Heading2"/>
      </w:pPr>
      <w:r>
        <w:t>3 Perkara Hari Ini</w:t>
      </w:r>
    </w:p>
    <w:p>
      <w:pPr>
        <w:pStyle w:val="ListBullet"/>
      </w:pPr>
      <w:r>
        <w:t>1. Isu panas: Other — isu paling kerap dalam 79 post negeri ini.</w:t>
      </w:r>
    </w:p>
    <w:p>
      <w:pPr>
        <w:pStyle w:val="ListBullet"/>
      </w:pPr>
      <w:r>
        <w:t>2. Wajib laksana: Semakan fakta: Risiko kritikal — wajib semakan undang-undang/komunikasi, lampiran bukti dan kelulusan pengurus sebelum sebarang tindakan. (Pasukan: Communications, sebelum 2026-06-17)</w:t>
      </w:r>
    </w:p>
    <w:p>
      <w:pPr>
        <w:pStyle w:val="ListBullet"/>
      </w:pPr>
      <w:r>
        <w:t>3. Elak: Jangan balas tanpa bukti; jangan campur 3 negeri; jangan ramal undi mengikut etnik.</w:t>
      </w:r>
    </w:p>
    <w:p>
      <w:r>
        <w:t>KPI pantas — Engagement: 193,740 · Positif 19.0% · Negatif 27.8% · Risiko tinggi: 15 · Misinfo: 2</w:t>
      </w:r>
    </w:p>
    <w:p>
      <w:r>
        <w:br w:type="page"/>
      </w:r>
    </w:p>
    <w:p>
      <w:pPr>
        <w:pStyle w:val="Heading1"/>
      </w:pPr>
      <w:r>
        <w:t>Ringkasan Eksekutif</w:t>
      </w:r>
    </w:p>
    <w:p>
      <w:r>
        <w:t>Dalam tempoh yang dipilih, sebanyak 79 hantaran berkaitan naratif berbahasa Cina telah dikesan dengan jumlah engagement 193,740. Isu Other, Cost of Living, Local Government Services merupakan isu paling dominan. Peratus sentimen: positif 19.0%, neutral 29.1%, negatif 27.8%. Terdapat 15 naratif berisiko tinggi/kritikal dan 2 hantaran ditanda maklumat salah. Sentimen negatif menurun sebanyak 25.3% dalam tujuh hari terakhir.</w:t>
      </w:r>
    </w:p>
    <w:p>
      <w:pPr>
        <w:pStyle w:val="Heading1"/>
      </w:pPr>
      <w:r>
        <w:t>Analitik Visual</w:t>
      </w:r>
    </w:p>
    <w:p>
      <w:r>
        <w:t>Narrative Health Index</w:t>
      </w:r>
    </w:p>
    <w:p>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health.png"/>
                    <pic:cNvPicPr/>
                  </pic:nvPicPr>
                  <pic:blipFill>
                    <a:blip r:embed="rId9"/>
                    <a:stretch>
                      <a:fillRect/>
                    </a:stretch>
                  </pic:blipFill>
                  <pic:spPr>
                    <a:xfrm>
                      <a:off x="0" y="0"/>
                      <a:ext cx="3200400" cy="3200400"/>
                    </a:xfrm>
                    <a:prstGeom prst="rect"/>
                  </pic:spPr>
                </pic:pic>
              </a:graphicData>
            </a:graphic>
          </wp:inline>
        </w:drawing>
      </w:r>
    </w:p>
    <w:p/>
    <w:p>
      <w:r>
        <w:drawing>
          <wp:inline xmlns:a="http://schemas.openxmlformats.org/drawingml/2006/main" xmlns:pic="http://schemas.openxmlformats.org/drawingml/2006/picture">
            <wp:extent cx="5029200" cy="4870873"/>
            <wp:docPr id="2" name="Picture 2"/>
            <wp:cNvGraphicFramePr>
              <a:graphicFrameLocks noChangeAspect="1"/>
            </wp:cNvGraphicFramePr>
            <a:graphic>
              <a:graphicData uri="http://schemas.openxmlformats.org/drawingml/2006/picture">
                <pic:pic>
                  <pic:nvPicPr>
                    <pic:cNvPr id="0" name="sentiment.png"/>
                    <pic:cNvPicPr/>
                  </pic:nvPicPr>
                  <pic:blipFill>
                    <a:blip r:embed="rId10"/>
                    <a:stretch>
                      <a:fillRect/>
                    </a:stretch>
                  </pic:blipFill>
                  <pic:spPr>
                    <a:xfrm>
                      <a:off x="0" y="0"/>
                      <a:ext cx="5029200" cy="4870873"/>
                    </a:xfrm>
                    <a:prstGeom prst="rect"/>
                  </pic:spPr>
                </pic:pic>
              </a:graphicData>
            </a:graphic>
          </wp:inline>
        </w:drawing>
      </w:r>
    </w:p>
    <w:p>
      <w:r>
        <w:drawing>
          <wp:inline xmlns:a="http://schemas.openxmlformats.org/drawingml/2006/main" xmlns:pic="http://schemas.openxmlformats.org/drawingml/2006/picture">
            <wp:extent cx="5029200" cy="2463776"/>
            <wp:docPr id="3" name="Picture 3"/>
            <wp:cNvGraphicFramePr>
              <a:graphicFrameLocks noChangeAspect="1"/>
            </wp:cNvGraphicFramePr>
            <a:graphic>
              <a:graphicData uri="http://schemas.openxmlformats.org/drawingml/2006/picture">
                <pic:pic>
                  <pic:nvPicPr>
                    <pic:cNvPr id="0" name="platforms.png"/>
                    <pic:cNvPicPr/>
                  </pic:nvPicPr>
                  <pic:blipFill>
                    <a:blip r:embed="rId11"/>
                    <a:stretch>
                      <a:fillRect/>
                    </a:stretch>
                  </pic:blipFill>
                  <pic:spPr>
                    <a:xfrm>
                      <a:off x="0" y="0"/>
                      <a:ext cx="5029200" cy="2463776"/>
                    </a:xfrm>
                    <a:prstGeom prst="rect"/>
                  </pic:spPr>
                </pic:pic>
              </a:graphicData>
            </a:graphic>
          </wp:inline>
        </w:drawing>
      </w:r>
    </w:p>
    <w:p/>
    <w:p>
      <w:r>
        <w:drawing>
          <wp:inline xmlns:a="http://schemas.openxmlformats.org/drawingml/2006/main" xmlns:pic="http://schemas.openxmlformats.org/drawingml/2006/picture">
            <wp:extent cx="5029200" cy="2485417"/>
            <wp:docPr id="4" name="Picture 4"/>
            <wp:cNvGraphicFramePr>
              <a:graphicFrameLocks noChangeAspect="1"/>
            </wp:cNvGraphicFramePr>
            <a:graphic>
              <a:graphicData uri="http://schemas.openxmlformats.org/drawingml/2006/picture">
                <pic:pic>
                  <pic:nvPicPr>
                    <pic:cNvPr id="0" name="volume.png"/>
                    <pic:cNvPicPr/>
                  </pic:nvPicPr>
                  <pic:blipFill>
                    <a:blip r:embed="rId12"/>
                    <a:stretch>
                      <a:fillRect/>
                    </a:stretch>
                  </pic:blipFill>
                  <pic:spPr>
                    <a:xfrm>
                      <a:off x="0" y="0"/>
                      <a:ext cx="5029200" cy="2485417"/>
                    </a:xfrm>
                    <a:prstGeom prst="rect"/>
                  </pic:spPr>
                </pic:pic>
              </a:graphicData>
            </a:graphic>
          </wp:inline>
        </w:drawing>
      </w:r>
    </w:p>
    <w:p>
      <w:r>
        <w:drawing>
          <wp:inline xmlns:a="http://schemas.openxmlformats.org/drawingml/2006/main" xmlns:pic="http://schemas.openxmlformats.org/drawingml/2006/picture">
            <wp:extent cx="5029200" cy="2117044"/>
            <wp:docPr id="5" name="Picture 5"/>
            <wp:cNvGraphicFramePr>
              <a:graphicFrameLocks noChangeAspect="1"/>
            </wp:cNvGraphicFramePr>
            <a:graphic>
              <a:graphicData uri="http://schemas.openxmlformats.org/drawingml/2006/picture">
                <pic:pic>
                  <pic:nvPicPr>
                    <pic:cNvPr id="0" name="issues.png"/>
                    <pic:cNvPicPr/>
                  </pic:nvPicPr>
                  <pic:blipFill>
                    <a:blip r:embed="rId13"/>
                    <a:stretch>
                      <a:fillRect/>
                    </a:stretch>
                  </pic:blipFill>
                  <pic:spPr>
                    <a:xfrm>
                      <a:off x="0" y="0"/>
                      <a:ext cx="5029200" cy="2117044"/>
                    </a:xfrm>
                    <a:prstGeom prst="rect"/>
                  </pic:spPr>
                </pic:pic>
              </a:graphicData>
            </a:graphic>
          </wp:inline>
        </w:drawing>
      </w:r>
    </w:p>
    <w:p>
      <w:r>
        <w:t>Heatmap Isu × Kawasan</w:t>
      </w:r>
    </w:p>
    <w:p>
      <w:r>
        <w:drawing>
          <wp:inline xmlns:a="http://schemas.openxmlformats.org/drawingml/2006/main" xmlns:pic="http://schemas.openxmlformats.org/drawingml/2006/picture">
            <wp:extent cx="5486400" cy="2380714"/>
            <wp:docPr id="6" name="Picture 6"/>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5486400" cy="2380714"/>
                    </a:xfrm>
                    <a:prstGeom prst="rect"/>
                  </pic:spPr>
                </pic:pic>
              </a:graphicData>
            </a:graphic>
          </wp:inline>
        </w:drawing>
      </w:r>
    </w:p>
    <w:p>
      <w:pPr>
        <w:pStyle w:val="Heading1"/>
      </w:pPr>
      <w:r>
        <w:t>Checklist Tindakan 24 Jam</w:t>
      </w:r>
    </w:p>
    <w:p>
      <w:pPr>
        <w:pStyle w:val="ListBullet"/>
      </w:pPr>
      <w:r>
        <w:t>[ ] P1 — Other (Klebang): Semakan fakta → Risiko kritikal — wajib semakan undang-undang/komunikasi, lampiran bukti dan kelulusan pengurus sebe… | Communications | 2026-06-17</w:t>
      </w:r>
    </w:p>
    <w:p>
      <w:pPr>
        <w:pStyle w:val="ListBullet"/>
      </w:pPr>
      <w:r>
        <w:t>[ ] P1 — Other (Hang Tuah Jaya): Semakan fakta → Risiko kritikal — wajib semakan undang-undang/komunikasi, lampiran bukti dan kelulusan pengurus sebe… | Communications | 2026-06-17</w:t>
      </w:r>
    </w:p>
    <w:p>
      <w:pPr>
        <w:pStyle w:val="ListBullet"/>
      </w:pPr>
      <w:r>
        <w:t>[ ] P2 — Local Government Services (Hang Tuah Jaya): Semakan fakta → Risiko kritikal — wajib semakan undang-undang/komunikasi, lampiran bukti dan kelulusan pengurus sebe… | Communications | 2026-06-17</w:t>
      </w:r>
    </w:p>
    <w:p>
      <w:pPr>
        <w:pStyle w:val="ListBullet"/>
      </w:pPr>
      <w:r>
        <w:t>[ ] P2 — Other (Klebang): Semakan fakta → Risiko kritikal — wajib semakan undang-undang/komunikasi, lampiran bukti dan kelulusan pengurus sebe… | Communications | 2026-06-17</w:t>
      </w:r>
    </w:p>
    <w:p>
      <w:pPr>
        <w:pStyle w:val="ListBullet"/>
      </w:pPr>
      <w:r>
        <w:t>[ ] P2 — Local Government Services (Bandar Hilir): Pemantauan lanjut → Pantau naratif berkembang; sediakan penjelasan berdasarkan isu perkhidmatan awam jika disahkan.… | Communications | 2026-06-21</w:t>
      </w:r>
    </w:p>
    <w:p>
      <w:pPr>
        <w:pStyle w:val="Heading1"/>
      </w:pPr>
      <w:r>
        <w:t>Insight Eksekutif</w:t>
      </w:r>
    </w:p>
    <w:p>
      <w:pPr>
        <w:pStyle w:val="ListBullet"/>
      </w:pPr>
      <w:r>
        <w:t>Status: MERAH (PRIORITI TINGGI) — Narrative Health 11.0/100.</w:t>
      </w:r>
    </w:p>
    <w:p>
      <w:pPr>
        <w:pStyle w:val="ListBullet"/>
      </w:pPr>
      <w:r>
        <w:t>War room hari ini — semakan Legal/Management sebelum sebarang kenyataan awam.</w:t>
      </w:r>
    </w:p>
    <w:p>
      <w:pPr>
        <w:pStyle w:val="ListBullet"/>
      </w:pPr>
      <w:r>
        <w:t>Sentimen: 19.0% positif · 29.1% neutral · 27.8% negatif.</w:t>
      </w:r>
    </w:p>
    <w:p>
      <w:pPr>
        <w:pStyle w:val="ListBullet"/>
      </w:pPr>
      <w:r>
        <w:t>Trend: sentimen negatif MENURUN 13.3%.</w:t>
      </w:r>
    </w:p>
    <w:p>
      <w:pPr>
        <w:pStyle w:val="ListBullet"/>
      </w:pPr>
      <w:r>
        <w:t>2 hantaran ditanda maklumat salah — Fact Checking wajib.</w:t>
      </w:r>
    </w:p>
    <w:p>
      <w:pPr>
        <w:pStyle w:val="ListBullet"/>
      </w:pPr>
      <w:r>
        <w:t>Bandar heritage kompak — isu trafik, pelancongan, perkhidmatan tempatan mudah menjadi viral.</w:t>
      </w:r>
    </w:p>
    <w:p>
      <w:pPr>
        <w:pStyle w:val="ListBullet"/>
      </w:pPr>
      <w:r>
        <w:t>Kerajaan PH negeri: tekankan rekod perkhidmatan disahkan, bukan janji tanpa bukti.</w:t>
      </w:r>
    </w:p>
    <w:p>
      <w:pPr>
        <w:pStyle w:val="ListBullet"/>
      </w:pPr>
      <w:r>
        <w:t>Saluran dominan: Chinese online media (16), Facebook (12) — fokus respons di saluran ini.</w:t>
      </w:r>
    </w:p>
    <w:p>
      <w:pPr>
        <w:pStyle w:val="Heading1"/>
      </w:pPr>
      <w:r>
        <w:t>Analitik Mengikut Isu</w:t>
      </w:r>
    </w:p>
    <w:p>
      <w:pPr>
        <w:pStyle w:val="ListBullet"/>
      </w:pPr>
      <w:r>
        <w:t>Candidate Performance (2 post, 0% negatif): Isu tidak memenuhi ambang tindakan segera. → Teruskan pemantauan; tiada tindakan operasi segera diperlukan setelah semakan awal.</w:t>
      </w:r>
    </w:p>
    <w:p>
      <w:pPr>
        <w:pStyle w:val="ListBullet"/>
      </w:pPr>
      <w:r>
        <w:t>Chinese Education (10 post, 40% negatif): Isu pendidikan Cina — penjelasan dasar dan dialog terbuka. → Sediakan penerangan dasar pendidikan yang tepat, rekod peruntukan yang boleh disahkan dan sesi dialog terbuka bersama pihak sekolah serta komuniti.</w:t>
      </w:r>
    </w:p>
    <w:p>
      <w:pPr>
        <w:pStyle w:val="ListBullet"/>
      </w:pPr>
      <w:r>
        <w:t>Cost of Living (17 post, 24% negatif): Isu kos sara hidup — fokus maklumat dasar dan bantuan disahkan. → Sediakan penerangan dasar, bantuan yang tersedia, saluran permohonan dan data kos sara hidup yang disahkan.</w:t>
      </w:r>
    </w:p>
    <w:p>
      <w:pPr>
        <w:pStyle w:val="ListBullet"/>
      </w:pPr>
      <w:r>
        <w:t>Gerakan and PN (1 post, 0% negatif): Naratif politik — penjelasan dasar berasaskan fakta, bukan serangan perkauman. → Kenal pasti kebimbangan sebenar di sebalik naratif, semak fakta dan sediakan penjelasan dasar serta kedudukan rasmi tanpa menyerang kaum, agama atau individu.</w:t>
      </w:r>
    </w:p>
    <w:p>
      <w:pPr>
        <w:pStyle w:val="ListBullet"/>
      </w:pPr>
      <w:r>
        <w:t>Local Government Services (12 post, 50% negatif): Isu tidak memenuhi ambang tindakan segera. → Teruskan pemantauan; tiada tindakan operasi segera diperlukan setelah semakan awal.</w:t>
      </w:r>
    </w:p>
    <w:p>
      <w:pPr>
        <w:pStyle w:val="Heading1"/>
      </w:pPr>
      <w:r>
        <w:t>Matriks Keutamaan (P1 / P2 / P3)</w:t>
      </w:r>
    </w:p>
    <w:p>
      <w:r>
        <w:t>Setiap kad di bawah = satu tindakan keutamaan. Tier P1 (merah) wajib hari ini; P2 (oren) 24–48 jam; P3 (biru) susulan.</w:t>
      </w:r>
    </w:p>
    <w:p>
      <w:r>
        <w:rPr>
          <w:b/>
          <w:color w:val="DC2626"/>
          <w:sz w:val="22"/>
        </w:rPr>
        <w:t xml:space="preserve">P1  </w:t>
      </w:r>
      <w:r>
        <w:rPr>
          <w:b/>
          <w:sz w:val="22"/>
        </w:rPr>
        <w:t>#1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X</w:t>
            </w:r>
          </w:p>
        </w:tc>
      </w:tr>
      <w:tr>
        <w:tc>
          <w:tcPr>
            <w:tcW w:type="dxa" w:w="4320"/>
          </w:tcPr>
          <w:p>
            <w:r>
              <w:rPr>
                <w:sz w:val="18"/>
              </w:rPr>
              <w:t>Skor: 0.51</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DC2626"/>
          <w:sz w:val="22"/>
        </w:rPr>
        <w:t xml:space="preserve">P1  </w:t>
      </w:r>
      <w:r>
        <w:rPr>
          <w:b/>
          <w:sz w:val="22"/>
        </w:rPr>
        <w:t>#2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Facebook</w:t>
            </w:r>
          </w:p>
        </w:tc>
      </w:tr>
      <w:tr>
        <w:tc>
          <w:tcPr>
            <w:tcW w:type="dxa" w:w="4320"/>
          </w:tcPr>
          <w:p>
            <w:r>
              <w:rPr>
                <w:sz w:val="18"/>
              </w:rPr>
              <w:t>Skor: 0.50</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#3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Hang Tuah Jaya</w:t>
            </w:r>
          </w:p>
        </w:tc>
        <w:tc>
          <w:tcPr>
            <w:tcW w:type="dxa" w:w="4320"/>
          </w:tcPr>
          <w:p>
            <w:r>
              <w:rPr>
                <w:sz w:val="18"/>
              </w:rPr>
              <w:t>Platform: YouTube</w:t>
            </w:r>
          </w:p>
        </w:tc>
      </w:tr>
      <w:tr>
        <w:tc>
          <w:tcPr>
            <w:tcW w:type="dxa" w:w="4320"/>
          </w:tcPr>
          <w:p>
            <w:r>
              <w:rPr>
                <w:sz w:val="18"/>
              </w:rPr>
              <w:t>Skor: 0.49</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#4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Klebang</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Risiko kritikal — wajib semakan undang-undang/komunikasi, lampiran bukti dan kelulusan pengurus sebelum sebarang tindakan.</w:t>
      </w:r>
    </w:p>
    <w:p/>
    <w:p>
      <w:r>
        <w:rPr>
          <w:b/>
          <w:color w:val="F59E0B"/>
          <w:sz w:val="22"/>
        </w:rPr>
        <w:t xml:space="preserve">P2  </w:t>
      </w:r>
      <w:r>
        <w:rPr>
          <w:b/>
          <w:sz w:val="22"/>
        </w:rPr>
        <w:t>#5  Local Government Services</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Bandar Hilir</w:t>
            </w:r>
          </w:p>
        </w:tc>
        <w:tc>
          <w:tcPr>
            <w:tcW w:type="dxa" w:w="4320"/>
          </w:tcPr>
          <w:p>
            <w:r>
              <w:rPr>
                <w:sz w:val="18"/>
              </w:rPr>
              <w:t>Platform: Facebook</w:t>
            </w:r>
          </w:p>
        </w:tc>
      </w:tr>
      <w:tr>
        <w:tc>
          <w:tcPr>
            <w:tcW w:type="dxa" w:w="4320"/>
          </w:tcPr>
          <w:p>
            <w:r>
              <w:rPr>
                <w:sz w:val="18"/>
              </w:rPr>
              <w:t>Skor: 0.48</w:t>
            </w:r>
          </w:p>
        </w:tc>
        <w:tc>
          <w:tcPr>
            <w:tcW w:type="dxa" w:w="4320"/>
          </w:tcPr>
          <w:p>
            <w:r>
              <w:rPr>
                <w:sz w:val="18"/>
              </w:rPr>
              <w:t>Tarikh: 2026-06-21</w:t>
            </w:r>
          </w:p>
        </w:tc>
      </w:tr>
      <w:tr>
        <w:tc>
          <w:tcPr>
            <w:tcW w:type="dxa" w:w="4320"/>
          </w:tcPr>
          <w:p>
            <w:r>
              <w:rPr>
                <w:sz w:val="18"/>
              </w:rPr>
              <w:t>Pasukan: Communications</w:t>
            </w:r>
          </w:p>
        </w:tc>
        <w:tc>
          <w:tcPr>
            <w:tcW w:type="dxa" w:w="4320"/>
          </w:tcPr>
          <w:p>
            <w:r>
              <w:rPr>
                <w:sz w:val="18"/>
              </w:rPr>
              <w:t>Bukti: Sebahagian</w:t>
            </w:r>
          </w:p>
        </w:tc>
      </w:tr>
    </w:tbl>
    <w:p>
      <w:r>
        <w:rPr>
          <w:sz w:val="18"/>
        </w:rPr>
        <w:t>Tindakan: Pantau naratif berkembang; sediakan penjelasan berdasarkan isu perkhidmatan awam jika disahkan.</w:t>
      </w:r>
    </w:p>
    <w:p/>
    <w:p>
      <w:r>
        <w:rPr>
          <w:b/>
          <w:color w:val="2563EB"/>
          <w:sz w:val="22"/>
        </w:rPr>
        <w:t xml:space="preserve">P3  </w:t>
      </w:r>
      <w:r>
        <w:rPr>
          <w:b/>
          <w:sz w:val="22"/>
        </w:rPr>
        <w:t>#6  Cost of Living</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Instagram</w:t>
            </w:r>
          </w:p>
        </w:tc>
      </w:tr>
      <w:tr>
        <w:tc>
          <w:tcPr>
            <w:tcW w:type="dxa" w:w="4320"/>
          </w:tcPr>
          <w:p>
            <w:r>
              <w:rPr>
                <w:sz w:val="18"/>
              </w:rPr>
              <w:t>Skor: 0.46</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bantuan yang tersedia, saluran permohonan dan data kos sara hidup yang disahkan.</w:t>
      </w:r>
    </w:p>
    <w:p/>
    <w:p>
      <w:r>
        <w:rPr>
          <w:b/>
          <w:color w:val="2563EB"/>
          <w:sz w:val="22"/>
        </w:rPr>
        <w:t xml:space="preserve">P3  </w:t>
      </w:r>
      <w:r>
        <w:rPr>
          <w:b/>
          <w:sz w:val="22"/>
        </w:rPr>
        <w:t>#7  Chinese Education</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Bukit Katil</w:t>
            </w:r>
          </w:p>
        </w:tc>
        <w:tc>
          <w:tcPr>
            <w:tcW w:type="dxa" w:w="4320"/>
          </w:tcPr>
          <w:p>
            <w:r>
              <w:rPr>
                <w:sz w:val="18"/>
              </w:rPr>
              <w:t>Platform: X</w:t>
            </w:r>
          </w:p>
        </w:tc>
      </w:tr>
      <w:tr>
        <w:tc>
          <w:tcPr>
            <w:tcW w:type="dxa" w:w="4320"/>
          </w:tcPr>
          <w:p>
            <w:r>
              <w:rPr>
                <w:sz w:val="18"/>
              </w:rPr>
              <w:t>Skor: 0.45</w:t>
            </w:r>
          </w:p>
        </w:tc>
        <w:tc>
          <w:tcPr>
            <w:tcW w:type="dxa" w:w="4320"/>
          </w:tcPr>
          <w:p>
            <w:r>
              <w:rPr>
                <w:sz w:val="18"/>
              </w:rPr>
              <w:t>Tarikh: 2026-06-17</w:t>
            </w:r>
          </w:p>
        </w:tc>
      </w:tr>
      <w:tr>
        <w:tc>
          <w:tcPr>
            <w:tcW w:type="dxa" w:w="4320"/>
          </w:tcPr>
          <w:p>
            <w:r>
              <w:rPr>
                <w:sz w:val="18"/>
              </w:rPr>
              <w:t>Pasukan: Communications</w:t>
            </w:r>
          </w:p>
        </w:tc>
        <w:tc>
          <w:tcPr>
            <w:tcW w:type="dxa" w:w="4320"/>
          </w:tcPr>
          <w:p>
            <w:r>
              <w:rPr>
                <w:sz w:val="18"/>
              </w:rPr>
              <w:t>Bukti: Perlu bukti</w:t>
            </w:r>
          </w:p>
        </w:tc>
      </w:tr>
    </w:tbl>
    <w:p>
      <w:r>
        <w:rPr>
          <w:sz w:val="18"/>
        </w:rPr>
        <w:t>Tindakan: Sediakan penerangan dasar pendidikan yang tepat, rekod peruntukan yang boleh disahkan dan sesi dialog terbuka bersama pihak sekolah serta komuniti.</w:t>
      </w:r>
    </w:p>
    <w:p/>
    <w:p>
      <w:r>
        <w:rPr>
          <w:b/>
          <w:color w:val="2563EB"/>
          <w:sz w:val="22"/>
        </w:rPr>
        <w:t xml:space="preserve">P3  </w:t>
      </w:r>
      <w:r>
        <w:rPr>
          <w:b/>
          <w:sz w:val="22"/>
        </w:rPr>
        <w:t>#8  Other</w:t>
      </w:r>
    </w:p>
    <w:tbl>
      <w:tblPr>
        <w:tblStyle w:val="TableGrid"/>
        <w:tblW w:type="auto" w:w="0"/>
        <w:tblLook w:firstColumn="1" w:firstRow="1" w:lastColumn="0" w:lastRow="0" w:noHBand="0" w:noVBand="1" w:val="04A0"/>
      </w:tblPr>
      <w:tblGrid>
        <w:gridCol w:w="4320"/>
        <w:gridCol w:w="4320"/>
      </w:tblGrid>
      <w:tr>
        <w:tc>
          <w:tcPr>
            <w:tcW w:type="dxa" w:w="4320"/>
          </w:tcPr>
          <w:p>
            <w:r>
              <w:rPr>
                <w:sz w:val="18"/>
              </w:rPr>
              <w:t>Lokasi: Jasin</w:t>
            </w:r>
          </w:p>
        </w:tc>
        <w:tc>
          <w:tcPr>
            <w:tcW w:type="dxa" w:w="4320"/>
          </w:tcPr>
          <w:p>
            <w:r>
              <w:rPr>
                <w:sz w:val="18"/>
              </w:rPr>
              <w:t>Platform: YouTube</w:t>
            </w:r>
          </w:p>
        </w:tc>
      </w:tr>
      <w:tr>
        <w:tc>
          <w:tcPr>
            <w:tcW w:type="dxa" w:w="4320"/>
          </w:tcPr>
          <w:p>
            <w:r>
              <w:rPr>
                <w:sz w:val="18"/>
              </w:rPr>
              <w:t>Skor: 0.44</w:t>
            </w:r>
          </w:p>
        </w:tc>
        <w:tc>
          <w:tcPr>
            <w:tcW w:type="dxa" w:w="4320"/>
          </w:tcPr>
          <w:p>
            <w:r>
              <w:rPr>
                <w:sz w:val="18"/>
              </w:rPr>
              <w:t>Tarikh: 2026-06-17</w:t>
            </w:r>
          </w:p>
        </w:tc>
      </w:tr>
      <w:tr>
        <w:tc>
          <w:tcPr>
            <w:tcW w:type="dxa" w:w="4320"/>
          </w:tcPr>
          <w:p>
            <w:r>
              <w:rPr>
                <w:sz w:val="18"/>
              </w:rPr>
              <w:t>Pasukan: Fact Checking</w:t>
            </w:r>
          </w:p>
        </w:tc>
        <w:tc>
          <w:tcPr>
            <w:tcW w:type="dxa" w:w="4320"/>
          </w:tcPr>
          <w:p>
            <w:r>
              <w:rPr>
                <w:sz w:val="18"/>
              </w:rPr>
              <w:t>Bukti: Perlu bukti</w:t>
            </w:r>
          </w:p>
        </w:tc>
      </w:tr>
    </w:tbl>
    <w:p>
      <w:r>
        <w:rPr>
          <w:sz w:val="18"/>
        </w:rPr>
        <w:t>Tindakan: Jangan respons serta-merta. Sahkan dakwaan melalui sekurang-kurangnya dua sumber yang boleh dipercayai dan rekodkan bukti sebelum menyediakan pembetulan.</w:t>
      </w:r>
    </w:p>
    <w:p/>
    <w:p>
      <w:pPr>
        <w:pStyle w:val="Heading1"/>
      </w:pPr>
      <w:r>
        <w:t>Apa JANGAN Buat</w:t>
      </w:r>
    </w:p>
    <w:p>
      <w:pPr>
        <w:pStyle w:val="ListBullet"/>
      </w:pPr>
      <w:r>
        <w:t>Jangan ramal undi atau sokongan mengikut etnik — bukan polling.</w:t>
      </w:r>
    </w:p>
    <w:p>
      <w:pPr>
        <w:pStyle w:val="ListBullet"/>
      </w:pPr>
      <w:r>
        <w:t>JANGAN balas maklumat salah tanpa semakan fakta (min. 2 sumber bebas).</w:t>
      </w:r>
    </w:p>
    <w:p>
      <w:pPr>
        <w:pStyle w:val="ListBullet"/>
      </w:pPr>
      <w:r>
        <w:t>JANGAN serang kaum, agama, atau individu.</w:t>
      </w:r>
    </w:p>
    <w:p>
      <w:pPr>
        <w:pStyle w:val="ListBullet"/>
      </w:pPr>
      <w:r>
        <w:t>JANGAN campur naratif negeri lain — respons untuk Melaka sahaja.</w:t>
      </w:r>
    </w:p>
    <w:p>
      <w:pPr>
        <w:pStyle w:val="ListBullet"/>
      </w:pPr>
      <w:r>
        <w:t>JANGAN keluarkan media statement tanpa Legal/Management jika risiko High/Critical.</w:t>
      </w:r>
    </w:p>
    <w:p>
      <w:pPr>
        <w:pStyle w:val="ListBullet"/>
      </w:pPr>
      <w:r>
        <w:t>Local Government Services: Blaming local communities</w:t>
      </w:r>
    </w:p>
    <w:p>
      <w:pPr>
        <w:pStyle w:val="Heading1"/>
      </w:pPr>
      <w:r>
        <w:t>Checklist 72 Jam</w:t>
      </w:r>
    </w:p>
    <w:p>
      <w:pPr>
        <w:pStyle w:val="ListBullet"/>
      </w:pPr>
      <w:r>
        <w:t>[ ] Banding sentimen isu P1 vs hari crawl lepas</w:t>
      </w:r>
    </w:p>
    <w:p>
      <w:pPr>
        <w:pStyle w:val="ListBullet"/>
      </w:pPr>
      <w:r>
        <w:t>[ ] Kemas kini Excel keyword jika isu tempatan baharu</w:t>
      </w:r>
    </w:p>
    <w:p>
      <w:pPr>
        <w:pStyle w:val="ListBullet"/>
      </w:pPr>
      <w:r>
        <w:t>[ ] Jana semula laporan PDF/DOCX + edar EXCO</w:t>
      </w:r>
    </w:p>
    <w:p>
      <w:pPr>
        <w:pStyle w:val="ListBullet"/>
      </w:pPr>
      <w:r>
        <w:t>[ ] Archive semua bukti tindakan ke dashboard evidence</w:t>
      </w:r>
    </w:p>
    <w:p>
      <w:pPr>
        <w:pStyle w:val="Heading1"/>
      </w:pPr>
      <w:r>
        <w:t>Pelan Pelaksanaan 72 Jam</w:t>
      </w:r>
    </w:p>
    <w:p>
      <w:pPr>
        <w:pStyle w:val="ListBullet"/>
      </w:pPr>
      <w:r>
        <w:t>1. Terima &amp; assign (0–4 jam): Assign Communications — isu: Other</w:t>
      </w:r>
    </w:p>
    <w:p>
      <w:pPr>
        <w:pStyle w:val="ListBullet"/>
      </w:pPr>
      <w:r>
        <w:t>2. Sahkan fakta (4–12 jam): Kumpul bukti min. 2 sumber; archive URL/screenshot ke evidence register.</w:t>
      </w:r>
    </w:p>
    <w:p>
      <w:pPr>
        <w:pStyle w:val="ListBullet"/>
      </w:pPr>
      <w:r>
        <w:t>3. Sediakan respons (12–18 jam): Rancang mesej dengan Communications — kelulusan Legal/Management wajib.</w:t>
      </w:r>
    </w:p>
    <w:p>
      <w:pPr>
        <w:pStyle w:val="ListBullet"/>
      </w:pPr>
      <w:r>
        <w:t>4. Terbit &amp; monitor (18–24 jam): Terbit di X; pantau volume 24j selepas.</w:t>
      </w:r>
    </w:p>
    <w:p>
      <w:pPr>
        <w:pStyle w:val="ListBullet"/>
      </w:pPr>
      <w:r>
        <w:t>5. Susulan (48–72 jam): Semak KPI: adakah sentimen negatif isu ini turun? Jika tidak, escalate ke Management.</w:t>
      </w:r>
    </w:p>
    <w:p>
      <w:pPr>
        <w:pStyle w:val="Heading1"/>
      </w:pPr>
      <w:r>
        <w:t>Suara Komuniti — Petikan Utama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296"/>
            <w:shd w:fill="1e3a5f"/>
          </w:tcPr>
          <w:p>
            <w:r>
              <w:rPr>
                <w:b/>
                <w:color w:val="FFFFFF"/>
                <w:sz w:val="18"/>
              </w:rPr>
              <w:t>Platform</w:t>
            </w:r>
          </w:p>
        </w:tc>
        <w:tc>
          <w:tcPr>
            <w:tcW w:type="dxa" w:w="1728"/>
            <w:shd w:fill="1e3a5f"/>
          </w:tcPr>
          <w:p>
            <w:r>
              <w:rPr>
                <w:b/>
                <w:color w:val="FFFFFF"/>
                <w:sz w:val="18"/>
              </w:rPr>
              <w:t>Isu</w:t>
            </w:r>
          </w:p>
        </w:tc>
        <w:tc>
          <w:tcPr>
            <w:tcW w:type="dxa" w:w="1152"/>
            <w:shd w:fill="1e3a5f"/>
          </w:tcPr>
          <w:p>
            <w:r>
              <w:rPr>
                <w:b/>
                <w:color w:val="FFFFFF"/>
                <w:sz w:val="18"/>
              </w:rPr>
              <w:t>Sentimen</w:t>
            </w:r>
          </w:p>
        </w:tc>
        <w:tc>
          <w:tcPr>
            <w:tcW w:type="dxa" w:w="3600"/>
            <w:shd w:fill="1e3a5f"/>
          </w:tcPr>
          <w:p>
            <w:r>
              <w:rPr>
                <w:b/>
                <w:color w:val="FFFFFF"/>
                <w:sz w:val="18"/>
              </w:rPr>
              <w:t>Teks Asal</w:t>
            </w:r>
          </w:p>
        </w:tc>
        <w:tc>
          <w:tcPr>
            <w:tcW w:type="dxa" w:w="3600"/>
            <w:shd w:fill="1e3a5f"/>
          </w:tcPr>
          <w:p>
            <w:r>
              <w:rPr>
                <w:b/>
                <w:color w:val="FFFFFF"/>
                <w:sz w:val="18"/>
              </w:rPr>
              <w:t>Terjemahan BM</w:t>
            </w:r>
          </w:p>
        </w:tc>
      </w:tr>
      <w:tr>
        <w:tc>
          <w:tcPr>
            <w:tcW w:type="dxa" w:w="1728"/>
          </w:tcPr>
          <w:p>
            <w:r>
              <w:rPr>
                <w:sz w:val="16"/>
              </w:rPr>
              <w:t>X</w:t>
            </w:r>
          </w:p>
        </w:tc>
        <w:tc>
          <w:tcPr>
            <w:tcW w:type="dxa" w:w="1728"/>
          </w:tcPr>
          <w:p>
            <w:r>
              <w:rPr>
                <w:sz w:val="16"/>
              </w:rPr>
              <w:t>Other</w:t>
            </w:r>
          </w:p>
        </w:tc>
        <w:tc>
          <w:tcPr>
            <w:tcW w:type="dxa" w:w="1728"/>
          </w:tcPr>
          <w:p>
            <w:r>
              <w:rPr>
                <w:sz w:val="16"/>
              </w:rPr>
              <w:t>negative</w:t>
            </w:r>
          </w:p>
        </w:tc>
        <w:tc>
          <w:tcPr>
            <w:tcW w:type="dxa" w:w="1728"/>
          </w:tcPr>
          <w:p>
            <w:r>
              <w:rPr>
                <w:sz w:val="16"/>
              </w:rPr>
              <w:t>Chinese community in Melaka discusses heritage tourism and local services. — Klebang</w:t>
            </w:r>
          </w:p>
        </w:tc>
        <w:tc>
          <w:tcPr>
            <w:tcW w:type="dxa" w:w="1728"/>
          </w:tcPr>
          <w:p>
            <w:r>
              <w:rPr>
                <w:sz w:val="16"/>
              </w:rPr>
              <w:t>Chinese community in Melaka discusses heritage tourism and local services. — Klebang</w:t>
            </w:r>
          </w:p>
        </w:tc>
      </w:tr>
      <w:tr>
        <w:tc>
          <w:tcPr>
            <w:tcW w:type="dxa" w:w="1728"/>
          </w:tcPr>
          <w:p>
            <w:r>
              <w:rPr>
                <w:sz w:val="16"/>
              </w:rPr>
              <w:t>YouTube</w:t>
            </w:r>
          </w:p>
        </w:tc>
        <w:tc>
          <w:tcPr>
            <w:tcW w:type="dxa" w:w="1728"/>
          </w:tcPr>
          <w:p>
            <w:r>
              <w:rPr>
                <w:sz w:val="16"/>
              </w:rPr>
              <w:t>Cost of Living</w:t>
            </w:r>
          </w:p>
        </w:tc>
        <w:tc>
          <w:tcPr>
            <w:tcW w:type="dxa" w:w="1728"/>
          </w:tcPr>
          <w:p>
            <w:r>
              <w:rPr>
                <w:sz w:val="16"/>
              </w:rPr>
              <w:t>neutral</w:t>
            </w:r>
          </w:p>
        </w:tc>
        <w:tc>
          <w:tcPr>
            <w:tcW w:type="dxa" w:w="1728"/>
          </w:tcPr>
          <w:p>
            <w:r>
              <w:rPr>
                <w:sz w:val="16"/>
              </w:rPr>
              <w:t>Bandar Hilir 停车位不足，居民投诉。 PRN Melaka: pengundi Cina bincang isu pelancongan dan kos sara hidup.</w:t>
            </w:r>
          </w:p>
        </w:tc>
        <w:tc>
          <w:tcPr>
            <w:tcW w:type="dxa" w:w="1728"/>
          </w:tcPr>
          <w:p>
            <w:r>
              <w:rPr>
                <w:sz w:val="16"/>
              </w:rPr>
              <w:t>(Terjemahan BM — rujuk dashboard atau jalankan auto-translate)</w:t>
            </w:r>
          </w:p>
        </w:tc>
      </w:tr>
      <w:tr>
        <w:tc>
          <w:tcPr>
            <w:tcW w:type="dxa" w:w="1728"/>
          </w:tcPr>
          <w:p>
            <w:r>
              <w:rPr>
                <w:sz w:val="16"/>
              </w:rPr>
              <w:t>TikTok</w:t>
            </w:r>
          </w:p>
        </w:tc>
        <w:tc>
          <w:tcPr>
            <w:tcW w:type="dxa" w:w="1728"/>
          </w:tcPr>
          <w:p>
            <w:r>
              <w:rPr>
                <w:sz w:val="16"/>
              </w:rPr>
              <w:t>Other</w:t>
            </w:r>
          </w:p>
        </w:tc>
        <w:tc>
          <w:tcPr>
            <w:tcW w:type="dxa" w:w="1728"/>
          </w:tcPr>
          <w:p>
            <w:r>
              <w:rPr>
                <w:sz w:val="16"/>
              </w:rPr>
              <w:t>neutral</w:t>
            </w:r>
          </w:p>
        </w:tc>
        <w:tc>
          <w:tcPr>
            <w:tcW w:type="dxa" w:w="1728"/>
          </w:tcPr>
          <w:p>
            <w:r>
              <w:rPr>
                <w:sz w:val="16"/>
              </w:rPr>
              <w:t>Kerajaan Melaka perlu fokus perkhidmatan Bandar Hilir. (Bandar Hilir)</w:t>
            </w:r>
          </w:p>
        </w:tc>
        <w:tc>
          <w:tcPr>
            <w:tcW w:type="dxa" w:w="1728"/>
          </w:tcPr>
          <w:p>
            <w:r>
              <w:rPr>
                <w:sz w:val="16"/>
              </w:rPr>
              <w:t>Kerajaan Melaka perlu fokus perkhidmatan Bandar Hilir. (Bandar Hilir)</w:t>
            </w:r>
          </w:p>
        </w:tc>
      </w:tr>
      <w:tr>
        <w:tc>
          <w:tcPr>
            <w:tcW w:type="dxa" w:w="1728"/>
          </w:tcPr>
          <w:p>
            <w:r>
              <w:rPr>
                <w:sz w:val="16"/>
              </w:rPr>
              <w:t>Facebook</w:t>
            </w:r>
          </w:p>
        </w:tc>
        <w:tc>
          <w:tcPr>
            <w:tcW w:type="dxa" w:w="1728"/>
          </w:tcPr>
          <w:p>
            <w:r>
              <w:rPr>
                <w:sz w:val="16"/>
              </w:rPr>
              <w:t>Cost of Living</w:t>
            </w:r>
          </w:p>
        </w:tc>
        <w:tc>
          <w:tcPr>
            <w:tcW w:type="dxa" w:w="1728"/>
          </w:tcPr>
          <w:p>
            <w:r>
              <w:rPr>
                <w:sz w:val="16"/>
              </w:rPr>
              <w:t>positive</w:t>
            </w:r>
          </w:p>
        </w:tc>
        <w:tc>
          <w:tcPr>
            <w:tcW w:type="dxa" w:w="1728"/>
          </w:tcPr>
          <w:p>
            <w:r>
              <w:rPr>
                <w:sz w:val="16"/>
              </w:rPr>
              <w:t>PRN Melaka: pengundi Cina bincang isu pelancongan dan kos sara hidup. (Hang Tuah Jaya)</w:t>
            </w:r>
          </w:p>
        </w:tc>
        <w:tc>
          <w:tcPr>
            <w:tcW w:type="dxa" w:w="1728"/>
          </w:tcPr>
          <w:p>
            <w:r>
              <w:rPr>
                <w:sz w:val="16"/>
              </w:rPr>
              <w:t>PRN Melaka: pengundi Cina bincang isu pelancongan dan kos sara hidup. (Hang Tuah Jaya)</w:t>
            </w:r>
          </w:p>
        </w:tc>
      </w:tr>
      <w:tr>
        <w:tc>
          <w:tcPr>
            <w:tcW w:type="dxa" w:w="1728"/>
          </w:tcPr>
          <w:p>
            <w:r>
              <w:rPr>
                <w:sz w:val="16"/>
              </w:rPr>
              <w:t>Instagram</w:t>
            </w:r>
          </w:p>
        </w:tc>
        <w:tc>
          <w:tcPr>
            <w:tcW w:type="dxa" w:w="1728"/>
          </w:tcPr>
          <w:p>
            <w:r>
              <w:rPr>
                <w:sz w:val="16"/>
              </w:rPr>
              <w:t>SME and Business</w:t>
            </w:r>
          </w:p>
        </w:tc>
        <w:tc>
          <w:tcPr>
            <w:tcW w:type="dxa" w:w="1728"/>
          </w:tcPr>
          <w:p>
            <w:r>
              <w:rPr>
                <w:sz w:val="16"/>
              </w:rPr>
              <w:t>positive</w:t>
            </w:r>
          </w:p>
        </w:tc>
        <w:tc>
          <w:tcPr>
            <w:tcW w:type="dxa" w:w="1728"/>
          </w:tcPr>
          <w:p>
            <w:r>
              <w:rPr>
                <w:sz w:val="16"/>
              </w:rPr>
              <w:t>马六甲州选，古城旅游区商家希望州政府多宣传。 #Hang</w:t>
            </w:r>
          </w:p>
        </w:tc>
        <w:tc>
          <w:tcPr>
            <w:tcW w:type="dxa" w:w="1728"/>
          </w:tcPr>
          <w:p>
            <w:r>
              <w:rPr>
                <w:sz w:val="16"/>
              </w:rPr>
              <w:t>(Terjemahan BM — rujuk dashboard atau jalankan auto-translate)</w:t>
            </w:r>
          </w:p>
        </w:tc>
      </w:tr>
    </w:tbl>
    <w:p>
      <w:pPr>
        <w:pStyle w:val="Heading1"/>
      </w:pPr>
      <w:r>
        <w:t>Perbandingan 3 Negeri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92"/>
            <w:shd w:fill="1e3a5f"/>
          </w:tcPr>
          <w:p>
            <w:r>
              <w:rPr>
                <w:b/>
                <w:color w:val="FFFFFF"/>
                <w:sz w:val="18"/>
              </w:rPr>
              <w:t>Negeri</w:t>
            </w:r>
          </w:p>
        </w:tc>
        <w:tc>
          <w:tcPr>
            <w:tcW w:type="dxa" w:w="1008"/>
            <w:shd w:fill="1e3a5f"/>
          </w:tcPr>
          <w:p>
            <w:r>
              <w:rPr>
                <w:b/>
                <w:color w:val="FFFFFF"/>
                <w:sz w:val="18"/>
              </w:rPr>
              <w:t>Post</w:t>
            </w:r>
          </w:p>
        </w:tc>
        <w:tc>
          <w:tcPr>
            <w:tcW w:type="dxa" w:w="1296"/>
            <w:shd w:fill="1e3a5f"/>
          </w:tcPr>
          <w:p>
            <w:r>
              <w:rPr>
                <w:b/>
                <w:color w:val="FFFFFF"/>
                <w:sz w:val="18"/>
              </w:rPr>
              <w:t>% Negatif</w:t>
            </w:r>
          </w:p>
        </w:tc>
        <w:tc>
          <w:tcPr>
            <w:tcW w:type="dxa" w:w="1296"/>
            <w:shd w:fill="1e3a5f"/>
          </w:tcPr>
          <w:p>
            <w:r>
              <w:rPr>
                <w:b/>
                <w:color w:val="FFFFFF"/>
                <w:sz w:val="18"/>
              </w:rPr>
              <w:t>Risiko Tinggi</w:t>
            </w:r>
          </w:p>
        </w:tc>
        <w:tc>
          <w:tcPr>
            <w:tcW w:type="dxa" w:w="1008"/>
            <w:shd w:fill="1e3a5f"/>
          </w:tcPr>
          <w:p>
            <w:r>
              <w:rPr>
                <w:b/>
                <w:color w:val="FFFFFF"/>
                <w:sz w:val="18"/>
              </w:rPr>
              <w:t>Misinfo</w:t>
            </w:r>
          </w:p>
        </w:tc>
        <w:tc>
          <w:tcPr>
            <w:tcW w:type="dxa" w:w="2880"/>
            <w:shd w:fill="1e3a5f"/>
          </w:tcPr>
          <w:p>
            <w:r>
              <w:rPr>
                <w:b/>
                <w:color w:val="FFFFFF"/>
                <w:sz w:val="18"/>
              </w:rPr>
              <w:t>Isu #1</w:t>
            </w:r>
          </w:p>
        </w:tc>
      </w:tr>
      <w:tr>
        <w:tc>
          <w:tcPr>
            <w:tcW w:type="dxa" w:w="2592"/>
          </w:tcPr>
          <w:p>
            <w:r>
              <w:rPr>
                <w:sz w:val="18"/>
              </w:rPr>
              <w:t>Negeri Sembilan</w:t>
            </w:r>
          </w:p>
        </w:tc>
        <w:tc>
          <w:tcPr>
            <w:tcW w:type="dxa" w:w="1008"/>
          </w:tcPr>
          <w:p>
            <w:r>
              <w:rPr>
                <w:sz w:val="18"/>
              </w:rPr>
              <w:t>308</w:t>
            </w:r>
          </w:p>
        </w:tc>
        <w:tc>
          <w:tcPr>
            <w:tcW w:type="dxa" w:w="1296"/>
          </w:tcPr>
          <w:p>
            <w:r>
              <w:rPr>
                <w:sz w:val="18"/>
              </w:rPr>
              <w:t>22.7%</w:t>
            </w:r>
          </w:p>
        </w:tc>
        <w:tc>
          <w:tcPr>
            <w:tcW w:type="dxa" w:w="1296"/>
          </w:tcPr>
          <w:p>
            <w:r>
              <w:rPr>
                <w:sz w:val="18"/>
              </w:rPr>
              <w:t>37</w:t>
            </w:r>
          </w:p>
        </w:tc>
        <w:tc>
          <w:tcPr>
            <w:tcW w:type="dxa" w:w="1008"/>
          </w:tcPr>
          <w:p>
            <w:r>
              <w:rPr>
                <w:sz w:val="18"/>
              </w:rPr>
              <w:t>10</w:t>
            </w:r>
          </w:p>
        </w:tc>
        <w:tc>
          <w:tcPr>
            <w:tcW w:type="dxa" w:w="2880"/>
          </w:tcPr>
          <w:p>
            <w:r>
              <w:rPr>
                <w:sz w:val="18"/>
              </w:rPr>
              <w:t>Other</w:t>
            </w:r>
          </w:p>
        </w:tc>
      </w:tr>
      <w:tr>
        <w:tc>
          <w:tcPr>
            <w:tcW w:type="dxa" w:w="2592"/>
          </w:tcPr>
          <w:p>
            <w:r>
              <w:rPr>
                <w:sz w:val="18"/>
              </w:rPr>
              <w:t>Johor</w:t>
            </w:r>
          </w:p>
        </w:tc>
        <w:tc>
          <w:tcPr>
            <w:tcW w:type="dxa" w:w="1008"/>
          </w:tcPr>
          <w:p>
            <w:r>
              <w:rPr>
                <w:sz w:val="18"/>
              </w:rPr>
              <w:t>151</w:t>
            </w:r>
          </w:p>
        </w:tc>
        <w:tc>
          <w:tcPr>
            <w:tcW w:type="dxa" w:w="1296"/>
          </w:tcPr>
          <w:p>
            <w:r>
              <w:rPr>
                <w:sz w:val="18"/>
              </w:rPr>
              <w:t>23.2%</w:t>
            </w:r>
          </w:p>
        </w:tc>
        <w:tc>
          <w:tcPr>
            <w:tcW w:type="dxa" w:w="1296"/>
          </w:tcPr>
          <w:p>
            <w:r>
              <w:rPr>
                <w:sz w:val="18"/>
              </w:rPr>
              <w:t>19</w:t>
            </w:r>
          </w:p>
        </w:tc>
        <w:tc>
          <w:tcPr>
            <w:tcW w:type="dxa" w:w="1008"/>
          </w:tcPr>
          <w:p>
            <w:r>
              <w:rPr>
                <w:sz w:val="18"/>
              </w:rPr>
              <w:t>2</w:t>
            </w:r>
          </w:p>
        </w:tc>
        <w:tc>
          <w:tcPr>
            <w:tcW w:type="dxa" w:w="2880"/>
          </w:tcPr>
          <w:p>
            <w:r>
              <w:rPr>
                <w:sz w:val="18"/>
              </w:rPr>
              <w:t>Other</w:t>
            </w:r>
          </w:p>
        </w:tc>
      </w:tr>
      <w:tr>
        <w:tc>
          <w:tcPr>
            <w:tcW w:type="dxa" w:w="2592"/>
          </w:tcPr>
          <w:p>
            <w:r>
              <w:rPr>
                <w:sz w:val="18"/>
              </w:rPr>
              <w:t>Melaka ◀</w:t>
            </w:r>
          </w:p>
        </w:tc>
        <w:tc>
          <w:tcPr>
            <w:tcW w:type="dxa" w:w="1008"/>
          </w:tcPr>
          <w:p>
            <w:r>
              <w:rPr>
                <w:sz w:val="18"/>
              </w:rPr>
              <w:t>79</w:t>
            </w:r>
          </w:p>
        </w:tc>
        <w:tc>
          <w:tcPr>
            <w:tcW w:type="dxa" w:w="1296"/>
          </w:tcPr>
          <w:p>
            <w:r>
              <w:rPr>
                <w:sz w:val="18"/>
              </w:rPr>
              <w:t>27.8%</w:t>
            </w:r>
          </w:p>
        </w:tc>
        <w:tc>
          <w:tcPr>
            <w:tcW w:type="dxa" w:w="1296"/>
          </w:tcPr>
          <w:p>
            <w:r>
              <w:rPr>
                <w:sz w:val="18"/>
              </w:rPr>
              <w:t>15</w:t>
            </w:r>
          </w:p>
        </w:tc>
        <w:tc>
          <w:tcPr>
            <w:tcW w:type="dxa" w:w="1008"/>
          </w:tcPr>
          <w:p>
            <w:r>
              <w:rPr>
                <w:sz w:val="18"/>
              </w:rPr>
              <w:t>2</w:t>
            </w:r>
          </w:p>
        </w:tc>
        <w:tc>
          <w:tcPr>
            <w:tcW w:type="dxa" w:w="2880"/>
          </w:tcPr>
          <w:p>
            <w:r>
              <w:rPr>
                <w:sz w:val="18"/>
              </w:rPr>
              <w:t>Other</w:t>
            </w:r>
          </w:p>
        </w:tc>
      </w:tr>
    </w:tbl>
    <w:p>
      <w:r>
        <w:br w:type="page"/>
      </w:r>
    </w:p>
    <w:p>
      <w:pPr>
        <w:pStyle w:val="Heading1"/>
      </w:pPr>
      <w:r>
        <w:t>Nota Etika &amp; Metodologi</w:t>
      </w:r>
    </w:p>
    <w:p>
      <w:pPr>
        <w:pStyle w:val="ListBullet"/>
      </w:pPr>
      <w:r>
        <w:t>Analisis naratif berbahasa Cina — bukan polling atau ramalan undi mengikut etnik.</w:t>
      </w:r>
    </w:p>
    <w:p>
      <w:pPr>
        <w:pStyle w:val="ListBullet"/>
      </w:pPr>
      <w:r>
        <w:t>Tiada inferens etnik dari nama/foto; hanya kandungan teks awam.</w:t>
      </w:r>
    </w:p>
    <w:p>
      <w:pPr>
        <w:pStyle w:val="ListBullet"/>
      </w:pPr>
      <w:r>
        <w:t>Label sentimen/risiko = pemerhatian analitik; semakan manusia digalakkan.</w:t>
      </w:r>
    </w:p>
    <w:p>
      <w:pPr>
        <w:pStyle w:val="ListBullet"/>
      </w:pPr>
      <w:r>
        <w:t>Rekod dalam laporan ini: 79 hantaran (Melaka sahaja).</w:t>
      </w:r>
    </w:p>
    <w:p>
      <w:pPr>
        <w:pStyle w:val="Heading1"/>
      </w:pPr>
      <w:r>
        <w:t>1. Petunjuk Utama (KPI)</w:t>
      </w:r>
    </w:p>
    <w:tbl>
      <w:tblPr>
        <w:tblStyle w:val="TableGrid"/>
        <w:tblW w:type="auto" w:w="0"/>
        <w:tblLook w:firstColumn="1" w:firstRow="1" w:lastColumn="0" w:lastRow="0" w:noHBand="0" w:noVBand="1" w:val="04A0"/>
      </w:tblPr>
      <w:tblGrid>
        <w:gridCol w:w="4320"/>
        <w:gridCol w:w="4320"/>
      </w:tblGrid>
      <w:tr>
        <w:tc>
          <w:tcPr>
            <w:tcW w:type="dxa" w:w="4320"/>
            <w:shd w:fill="1e3a5f"/>
          </w:tcPr>
          <w:p>
            <w:r>
              <w:rPr>
                <w:b/>
                <w:color w:val="FFFFFF"/>
                <w:sz w:val="18"/>
              </w:rPr>
              <w:t>Petunjuk</w:t>
            </w:r>
          </w:p>
        </w:tc>
        <w:tc>
          <w:tcPr>
            <w:tcW w:type="dxa" w:w="3600"/>
            <w:shd w:fill="1e3a5f"/>
          </w:tcPr>
          <w:p>
            <w:r>
              <w:rPr>
                <w:b/>
                <w:color w:val="FFFFFF"/>
                <w:sz w:val="18"/>
              </w:rPr>
              <w:t>Nilai</w:t>
            </w:r>
          </w:p>
        </w:tc>
      </w:tr>
      <w:tr>
        <w:tc>
          <w:tcPr>
            <w:tcW w:type="dxa" w:w="4320"/>
          </w:tcPr>
          <w:p>
            <w:r>
              <w:t>Jumlah hantaran</w:t>
            </w:r>
          </w:p>
        </w:tc>
        <w:tc>
          <w:tcPr>
            <w:tcW w:type="dxa" w:w="4320"/>
          </w:tcPr>
          <w:p>
            <w:r>
              <w:t>79</w:t>
            </w:r>
          </w:p>
        </w:tc>
      </w:tr>
      <w:tr>
        <w:tc>
          <w:tcPr>
            <w:tcW w:type="dxa" w:w="4320"/>
          </w:tcPr>
          <w:p>
            <w:r>
              <w:t>Jumlah engagement</w:t>
            </w:r>
          </w:p>
        </w:tc>
        <w:tc>
          <w:tcPr>
            <w:tcW w:type="dxa" w:w="4320"/>
          </w:tcPr>
          <w:p>
            <w:r>
              <w:t>193,740</w:t>
            </w:r>
          </w:p>
        </w:tc>
      </w:tr>
      <w:tr>
        <w:tc>
          <w:tcPr>
            <w:tcW w:type="dxa" w:w="4320"/>
          </w:tcPr>
          <w:p>
            <w:r>
              <w:t>Sentimen positif (%)</w:t>
            </w:r>
          </w:p>
        </w:tc>
        <w:tc>
          <w:tcPr>
            <w:tcW w:type="dxa" w:w="4320"/>
          </w:tcPr>
          <w:p>
            <w:r>
              <w:t>19.0</w:t>
            </w:r>
          </w:p>
        </w:tc>
      </w:tr>
      <w:tr>
        <w:tc>
          <w:tcPr>
            <w:tcW w:type="dxa" w:w="4320"/>
          </w:tcPr>
          <w:p>
            <w:r>
              <w:t>Sentimen neutral (%)</w:t>
            </w:r>
          </w:p>
        </w:tc>
        <w:tc>
          <w:tcPr>
            <w:tcW w:type="dxa" w:w="4320"/>
          </w:tcPr>
          <w:p>
            <w:r>
              <w:t>29.1</w:t>
            </w:r>
          </w:p>
        </w:tc>
      </w:tr>
      <w:tr>
        <w:tc>
          <w:tcPr>
            <w:tcW w:type="dxa" w:w="4320"/>
          </w:tcPr>
          <w:p>
            <w:r>
              <w:t>Sentimen negatif (%)</w:t>
            </w:r>
          </w:p>
        </w:tc>
        <w:tc>
          <w:tcPr>
            <w:tcW w:type="dxa" w:w="4320"/>
          </w:tcPr>
          <w:p>
            <w:r>
              <w:t>27.8</w:t>
            </w:r>
          </w:p>
        </w:tc>
      </w:tr>
      <w:tr>
        <w:tc>
          <w:tcPr>
            <w:tcW w:type="dxa" w:w="4320"/>
          </w:tcPr>
          <w:p>
            <w:r>
              <w:t>Naratif risiko tinggi/kritikal</w:t>
            </w:r>
          </w:p>
        </w:tc>
        <w:tc>
          <w:tcPr>
            <w:tcW w:type="dxa" w:w="4320"/>
          </w:tcPr>
          <w:p>
            <w:r>
              <w:t>15</w:t>
            </w:r>
          </w:p>
        </w:tc>
      </w:tr>
      <w:tr>
        <w:tc>
          <w:tcPr>
            <w:tcW w:type="dxa" w:w="4320"/>
          </w:tcPr>
          <w:p>
            <w:r>
              <w:t>Ditanda maklumat salah</w:t>
            </w:r>
          </w:p>
        </w:tc>
        <w:tc>
          <w:tcPr>
            <w:tcW w:type="dxa" w:w="4320"/>
          </w:tcPr>
          <w:p>
            <w:r>
              <w:t>2</w:t>
            </w:r>
          </w:p>
        </w:tc>
      </w:tr>
      <w:tr>
        <w:tc>
          <w:tcPr>
            <w:tcW w:type="dxa" w:w="4320"/>
          </w:tcPr>
          <w:p>
            <w:r>
              <w:t>Sumber/akaun aktif</w:t>
            </w:r>
          </w:p>
        </w:tc>
        <w:tc>
          <w:tcPr>
            <w:tcW w:type="dxa" w:w="4320"/>
          </w:tcPr>
          <w:p>
            <w:r>
              <w:t>5</w:t>
            </w:r>
          </w:p>
        </w:tc>
      </w:tr>
    </w:tbl>
    <w:p>
      <w:pPr>
        <w:pStyle w:val="Heading2"/>
      </w:pPr>
      <w:r>
        <w:t>3. Taburan Sentimen</w:t>
      </w:r>
    </w:p>
    <w:tbl>
      <w:tblPr>
        <w:tblStyle w:val="TableGrid"/>
        <w:tblW w:type="auto" w:w="0"/>
        <w:tblLook w:firstColumn="1" w:firstRow="1" w:lastColumn="0" w:lastRow="0" w:noHBand="0" w:noVBand="1" w:val="04A0"/>
      </w:tblPr>
      <w:tblGrid>
        <w:gridCol w:w="4320"/>
        <w:gridCol w:w="4320"/>
      </w:tblGrid>
      <w:tr>
        <w:tc>
          <w:tcPr>
            <w:tcW w:type="dxa" w:w="4320"/>
          </w:tcPr>
          <w:p>
            <w:r>
              <w:t>Sentimen</w:t>
            </w:r>
          </w:p>
        </w:tc>
        <w:tc>
          <w:tcPr>
            <w:tcW w:type="dxa" w:w="4320"/>
          </w:tcPr>
          <w:p>
            <w:r>
              <w:t>Bilangan</w:t>
            </w:r>
          </w:p>
        </w:tc>
      </w:tr>
      <w:tr>
        <w:tc>
          <w:tcPr>
            <w:tcW w:type="dxa" w:w="4320"/>
          </w:tcPr>
          <w:p>
            <w:r>
              <w:t>neutral</w:t>
            </w:r>
          </w:p>
        </w:tc>
        <w:tc>
          <w:tcPr>
            <w:tcW w:type="dxa" w:w="4320"/>
          </w:tcPr>
          <w:p>
            <w:r>
              <w:t>23</w:t>
            </w:r>
          </w:p>
        </w:tc>
      </w:tr>
      <w:tr>
        <w:tc>
          <w:tcPr>
            <w:tcW w:type="dxa" w:w="4320"/>
          </w:tcPr>
          <w:p>
            <w:r>
              <w:t>negative</w:t>
            </w:r>
          </w:p>
        </w:tc>
        <w:tc>
          <w:tcPr>
            <w:tcW w:type="dxa" w:w="4320"/>
          </w:tcPr>
          <w:p>
            <w:r>
              <w:t>22</w:t>
            </w:r>
          </w:p>
        </w:tc>
      </w:tr>
      <w:tr>
        <w:tc>
          <w:tcPr>
            <w:tcW w:type="dxa" w:w="4320"/>
          </w:tcPr>
          <w:p>
            <w:r>
              <w:t>positive</w:t>
            </w:r>
          </w:p>
        </w:tc>
        <w:tc>
          <w:tcPr>
            <w:tcW w:type="dxa" w:w="4320"/>
          </w:tcPr>
          <w:p>
            <w:r>
              <w:t>15</w:t>
            </w:r>
          </w:p>
        </w:tc>
      </w:tr>
    </w:tbl>
    <w:p>
      <w:pPr>
        <w:pStyle w:val="Heading2"/>
      </w:pPr>
      <w:r>
        <w:t>4. Taburan Platform</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Bilangan</w:t>
            </w:r>
          </w:p>
        </w:tc>
      </w:tr>
      <w:tr>
        <w:tc>
          <w:tcPr>
            <w:tcW w:type="dxa" w:w="4320"/>
          </w:tcPr>
          <w:p>
            <w:r>
              <w:t>Chinese online media</w:t>
            </w:r>
          </w:p>
        </w:tc>
        <w:tc>
          <w:tcPr>
            <w:tcW w:type="dxa" w:w="4320"/>
          </w:tcPr>
          <w:p>
            <w:r>
              <w:t>16</w:t>
            </w:r>
          </w:p>
        </w:tc>
      </w:tr>
      <w:tr>
        <w:tc>
          <w:tcPr>
            <w:tcW w:type="dxa" w:w="4320"/>
          </w:tcPr>
          <w:p>
            <w:r>
              <w:t>Facebook</w:t>
            </w:r>
          </w:p>
        </w:tc>
        <w:tc>
          <w:tcPr>
            <w:tcW w:type="dxa" w:w="4320"/>
          </w:tcPr>
          <w:p>
            <w:r>
              <w:t>12</w:t>
            </w:r>
          </w:p>
        </w:tc>
      </w:tr>
      <w:tr>
        <w:tc>
          <w:tcPr>
            <w:tcW w:type="dxa" w:w="4320"/>
          </w:tcPr>
          <w:p>
            <w:r>
              <w:t>news</w:t>
            </w:r>
          </w:p>
        </w:tc>
        <w:tc>
          <w:tcPr>
            <w:tcW w:type="dxa" w:w="4320"/>
          </w:tcPr>
          <w:p>
            <w:r>
              <w:t>11</w:t>
            </w:r>
          </w:p>
        </w:tc>
      </w:tr>
      <w:tr>
        <w:tc>
          <w:tcPr>
            <w:tcW w:type="dxa" w:w="4320"/>
          </w:tcPr>
          <w:p>
            <w:r>
              <w:t>YouTube</w:t>
            </w:r>
          </w:p>
        </w:tc>
        <w:tc>
          <w:tcPr>
            <w:tcW w:type="dxa" w:w="4320"/>
          </w:tcPr>
          <w:p>
            <w:r>
              <w:t>10</w:t>
            </w:r>
          </w:p>
        </w:tc>
      </w:tr>
      <w:tr>
        <w:tc>
          <w:tcPr>
            <w:tcW w:type="dxa" w:w="4320"/>
          </w:tcPr>
          <w:p>
            <w:r>
              <w:t>X</w:t>
            </w:r>
          </w:p>
        </w:tc>
        <w:tc>
          <w:tcPr>
            <w:tcW w:type="dxa" w:w="4320"/>
          </w:tcPr>
          <w:p>
            <w:r>
              <w:t>10</w:t>
            </w:r>
          </w:p>
        </w:tc>
      </w:tr>
      <w:tr>
        <w:tc>
          <w:tcPr>
            <w:tcW w:type="dxa" w:w="4320"/>
          </w:tcPr>
          <w:p>
            <w:r>
              <w:t>Instagram</w:t>
            </w:r>
          </w:p>
        </w:tc>
        <w:tc>
          <w:tcPr>
            <w:tcW w:type="dxa" w:w="4320"/>
          </w:tcPr>
          <w:p>
            <w:r>
              <w:t>9</w:t>
            </w:r>
          </w:p>
        </w:tc>
      </w:tr>
      <w:tr>
        <w:tc>
          <w:tcPr>
            <w:tcW w:type="dxa" w:w="4320"/>
          </w:tcPr>
          <w:p>
            <w:r>
              <w:t>TikTok</w:t>
            </w:r>
          </w:p>
        </w:tc>
        <w:tc>
          <w:tcPr>
            <w:tcW w:type="dxa" w:w="4320"/>
          </w:tcPr>
          <w:p>
            <w:r>
              <w:t>7</w:t>
            </w:r>
          </w:p>
        </w:tc>
      </w:tr>
      <w:tr>
        <w:tc>
          <w:tcPr>
            <w:tcW w:type="dxa" w:w="4320"/>
          </w:tcPr>
          <w:p>
            <w:r>
              <w:t>Community pages</w:t>
            </w:r>
          </w:p>
        </w:tc>
        <w:tc>
          <w:tcPr>
            <w:tcW w:type="dxa" w:w="4320"/>
          </w:tcPr>
          <w:p>
            <w:r>
              <w:t>4</w:t>
            </w:r>
          </w:p>
        </w:tc>
      </w:tr>
    </w:tbl>
    <w:p>
      <w:pPr>
        <w:pStyle w:val="Heading2"/>
      </w:pPr>
      <w:r>
        <w:t>5. Isu Utama (Kluster)</w:t>
      </w:r>
    </w:p>
    <w:tbl>
      <w:tblPr>
        <w:tblStyle w:val="TableGrid"/>
        <w:tblW w:type="auto" w:w="0"/>
        <w:tblLook w:firstColumn="1" w:firstRow="1" w:lastColumn="0" w:lastRow="0" w:noHBand="0" w:noVBand="1" w:val="04A0"/>
      </w:tblPr>
      <w:tblGrid>
        <w:gridCol w:w="4320"/>
        <w:gridCol w:w="4320"/>
      </w:tblGrid>
      <w:tr>
        <w:tc>
          <w:tcPr>
            <w:tcW w:type="dxa" w:w="4320"/>
          </w:tcPr>
          <w:p>
            <w:r>
              <w:t>Kluster Isu</w:t>
            </w:r>
          </w:p>
        </w:tc>
        <w:tc>
          <w:tcPr>
            <w:tcW w:type="dxa" w:w="4320"/>
          </w:tcPr>
          <w:p>
            <w:r>
              <w:t>Bilangan</w:t>
            </w:r>
          </w:p>
        </w:tc>
      </w:tr>
      <w:tr>
        <w:tc>
          <w:tcPr>
            <w:tcW w:type="dxa" w:w="4320"/>
          </w:tcPr>
          <w:p>
            <w:r>
              <w:t>Other</w:t>
            </w:r>
          </w:p>
        </w:tc>
        <w:tc>
          <w:tcPr>
            <w:tcW w:type="dxa" w:w="4320"/>
          </w:tcPr>
          <w:p>
            <w:r>
              <w:t>27</w:t>
            </w:r>
          </w:p>
        </w:tc>
      </w:tr>
      <w:tr>
        <w:tc>
          <w:tcPr>
            <w:tcW w:type="dxa" w:w="4320"/>
          </w:tcPr>
          <w:p>
            <w:r>
              <w:t>Cost of Living</w:t>
            </w:r>
          </w:p>
        </w:tc>
        <w:tc>
          <w:tcPr>
            <w:tcW w:type="dxa" w:w="4320"/>
          </w:tcPr>
          <w:p>
            <w:r>
              <w:t>17</w:t>
            </w:r>
          </w:p>
        </w:tc>
      </w:tr>
      <w:tr>
        <w:tc>
          <w:tcPr>
            <w:tcW w:type="dxa" w:w="4320"/>
          </w:tcPr>
          <w:p>
            <w:r>
              <w:t>Local Government Services</w:t>
            </w:r>
          </w:p>
        </w:tc>
        <w:tc>
          <w:tcPr>
            <w:tcW w:type="dxa" w:w="4320"/>
          </w:tcPr>
          <w:p>
            <w:r>
              <w:t>12</w:t>
            </w:r>
          </w:p>
        </w:tc>
      </w:tr>
      <w:tr>
        <w:tc>
          <w:tcPr>
            <w:tcW w:type="dxa" w:w="4320"/>
          </w:tcPr>
          <w:p>
            <w:r>
              <w:t>Chinese Education</w:t>
            </w:r>
          </w:p>
        </w:tc>
        <w:tc>
          <w:tcPr>
            <w:tcW w:type="dxa" w:w="4320"/>
          </w:tcPr>
          <w:p>
            <w:r>
              <w:t>10</w:t>
            </w:r>
          </w:p>
        </w:tc>
      </w:tr>
      <w:tr>
        <w:tc>
          <w:tcPr>
            <w:tcW w:type="dxa" w:w="4320"/>
          </w:tcPr>
          <w:p>
            <w:r>
              <w:t>SME and Business</w:t>
            </w:r>
          </w:p>
        </w:tc>
        <w:tc>
          <w:tcPr>
            <w:tcW w:type="dxa" w:w="4320"/>
          </w:tcPr>
          <w:p>
            <w:r>
              <w:t>6</w:t>
            </w:r>
          </w:p>
        </w:tc>
      </w:tr>
      <w:tr>
        <w:tc>
          <w:tcPr>
            <w:tcW w:type="dxa" w:w="4320"/>
          </w:tcPr>
          <w:p>
            <w:r>
              <w:t>PAS Factor</w:t>
            </w:r>
          </w:p>
        </w:tc>
        <w:tc>
          <w:tcPr>
            <w:tcW w:type="dxa" w:w="4320"/>
          </w:tcPr>
          <w:p>
            <w:r>
              <w:t>4</w:t>
            </w:r>
          </w:p>
        </w:tc>
      </w:tr>
      <w:tr>
        <w:tc>
          <w:tcPr>
            <w:tcW w:type="dxa" w:w="4320"/>
          </w:tcPr>
          <w:p>
            <w:r>
              <w:t>Candidate Performance</w:t>
            </w:r>
          </w:p>
        </w:tc>
        <w:tc>
          <w:tcPr>
            <w:tcW w:type="dxa" w:w="4320"/>
          </w:tcPr>
          <w:p>
            <w:r>
              <w:t>2</w:t>
            </w:r>
          </w:p>
        </w:tc>
      </w:tr>
      <w:tr>
        <w:tc>
          <w:tcPr>
            <w:tcW w:type="dxa" w:w="4320"/>
          </w:tcPr>
          <w:p>
            <w:r>
              <w:t>Gerakan and PN</w:t>
            </w:r>
          </w:p>
        </w:tc>
        <w:tc>
          <w:tcPr>
            <w:tcW w:type="dxa" w:w="4320"/>
          </w:tcPr>
          <w:p>
            <w:r>
              <w:t>1</w:t>
            </w:r>
          </w:p>
        </w:tc>
      </w:tr>
    </w:tbl>
    <w:p>
      <w:pPr>
        <w:pStyle w:val="Heading2"/>
      </w:pPr>
      <w:r>
        <w:t>6. Taburan Bahasa</w:t>
      </w:r>
    </w:p>
    <w:tbl>
      <w:tblPr>
        <w:tblStyle w:val="TableGrid"/>
        <w:tblW w:type="auto" w:w="0"/>
        <w:tblLook w:firstColumn="1" w:firstRow="1" w:lastColumn="0" w:lastRow="0" w:noHBand="0" w:noVBand="1" w:val="04A0"/>
      </w:tblPr>
      <w:tblGrid>
        <w:gridCol w:w="4320"/>
        <w:gridCol w:w="4320"/>
      </w:tblGrid>
      <w:tr>
        <w:tc>
          <w:tcPr>
            <w:tcW w:type="dxa" w:w="4320"/>
          </w:tcPr>
          <w:p>
            <w:r>
              <w:t>Bahasa</w:t>
            </w:r>
          </w:p>
        </w:tc>
        <w:tc>
          <w:tcPr>
            <w:tcW w:type="dxa" w:w="4320"/>
          </w:tcPr>
          <w:p>
            <w:r>
              <w:t>Bilangan</w:t>
            </w:r>
          </w:p>
        </w:tc>
      </w:tr>
      <w:tr>
        <w:tc>
          <w:tcPr>
            <w:tcW w:type="dxa" w:w="4320"/>
          </w:tcPr>
          <w:p>
            <w:r>
              <w:t>en</w:t>
            </w:r>
          </w:p>
        </w:tc>
        <w:tc>
          <w:tcPr>
            <w:tcW w:type="dxa" w:w="4320"/>
          </w:tcPr>
          <w:p>
            <w:r>
              <w:t>21</w:t>
            </w:r>
          </w:p>
        </w:tc>
      </w:tr>
      <w:tr>
        <w:tc>
          <w:tcPr>
            <w:tcW w:type="dxa" w:w="4320"/>
          </w:tcPr>
          <w:p>
            <w:r>
              <w:t>ms</w:t>
            </w:r>
          </w:p>
        </w:tc>
        <w:tc>
          <w:tcPr>
            <w:tcW w:type="dxa" w:w="4320"/>
          </w:tcPr>
          <w:p>
            <w:r>
              <w:t>19</w:t>
            </w:r>
          </w:p>
        </w:tc>
      </w:tr>
      <w:tr>
        <w:tc>
          <w:tcPr>
            <w:tcW w:type="dxa" w:w="4320"/>
          </w:tcPr>
          <w:p>
            <w:r>
              <w:t>zh-TW</w:t>
            </w:r>
          </w:p>
        </w:tc>
        <w:tc>
          <w:tcPr>
            <w:tcW w:type="dxa" w:w="4320"/>
          </w:tcPr>
          <w:p>
            <w:r>
              <w:t>18</w:t>
            </w:r>
          </w:p>
        </w:tc>
      </w:tr>
      <w:tr>
        <w:tc>
          <w:tcPr>
            <w:tcW w:type="dxa" w:w="4320"/>
          </w:tcPr>
          <w:p>
            <w:r>
              <w:t>mixed</w:t>
            </w:r>
          </w:p>
        </w:tc>
        <w:tc>
          <w:tcPr>
            <w:tcW w:type="dxa" w:w="4320"/>
          </w:tcPr>
          <w:p>
            <w:r>
              <w:t>12</w:t>
            </w:r>
          </w:p>
        </w:tc>
      </w:tr>
      <w:tr>
        <w:tc>
          <w:tcPr>
            <w:tcW w:type="dxa" w:w="4320"/>
          </w:tcPr>
          <w:p>
            <w:r>
              <w:t>zh-CN</w:t>
            </w:r>
          </w:p>
        </w:tc>
        <w:tc>
          <w:tcPr>
            <w:tcW w:type="dxa" w:w="4320"/>
          </w:tcPr>
          <w:p>
            <w:r>
              <w:t>9</w:t>
            </w:r>
          </w:p>
        </w:tc>
      </w:tr>
    </w:tbl>
    <w:p>
      <w:pPr>
        <w:pStyle w:val="Heading1"/>
      </w:pPr>
      <w:r>
        <w:t>7. Hantaran Berengagement Tinggi</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e3a5f"/>
          </w:tcPr>
          <w:p>
            <w:r>
              <w:rPr>
                <w:b/>
                <w:color w:val="FFFFFF"/>
                <w:sz w:val="18"/>
              </w:rPr>
              <w:t>Platform</w:t>
            </w:r>
          </w:p>
        </w:tc>
        <w:tc>
          <w:tcPr>
            <w:tcW w:type="dxa" w:w="2016"/>
            <w:shd w:fill="1e3a5f"/>
          </w:tcPr>
          <w:p>
            <w:r>
              <w:rPr>
                <w:b/>
                <w:color w:val="FFFFFF"/>
                <w:sz w:val="18"/>
              </w:rPr>
              <w:t>Isu</w:t>
            </w:r>
          </w:p>
        </w:tc>
        <w:tc>
          <w:tcPr>
            <w:tcW w:type="dxa" w:w="1152"/>
            <w:shd w:fill="1e3a5f"/>
          </w:tcPr>
          <w:p>
            <w:r>
              <w:rPr>
                <w:b/>
                <w:color w:val="FFFFFF"/>
                <w:sz w:val="18"/>
              </w:rPr>
              <w:t>Sentimen</w:t>
            </w:r>
          </w:p>
        </w:tc>
        <w:tc>
          <w:tcPr>
            <w:tcW w:type="dxa" w:w="5472"/>
            <w:shd w:fill="1e3a5f"/>
          </w:tcPr>
          <w:p>
            <w:r>
              <w:rPr>
                <w:b/>
                <w:color w:val="FFFFFF"/>
                <w:sz w:val="18"/>
              </w:rPr>
              <w:t>Petikan Teks</w:t>
            </w:r>
          </w:p>
        </w:tc>
      </w:tr>
      <w:tr>
        <w:tc>
          <w:tcPr>
            <w:tcW w:type="dxa" w:w="2160"/>
          </w:tcPr>
          <w:p>
            <w:r>
              <w:rPr>
                <w:sz w:val="16"/>
              </w:rPr>
              <w:t>X</w:t>
            </w:r>
          </w:p>
        </w:tc>
        <w:tc>
          <w:tcPr>
            <w:tcW w:type="dxa" w:w="2160"/>
          </w:tcPr>
          <w:p>
            <w:r>
              <w:rPr>
                <w:sz w:val="16"/>
              </w:rPr>
              <w:t>Other</w:t>
            </w:r>
          </w:p>
        </w:tc>
        <w:tc>
          <w:tcPr>
            <w:tcW w:type="dxa" w:w="2160"/>
          </w:tcPr>
          <w:p>
            <w:r>
              <w:rPr>
                <w:sz w:val="16"/>
              </w:rPr>
              <w:t>negative</w:t>
            </w:r>
          </w:p>
        </w:tc>
        <w:tc>
          <w:tcPr>
            <w:tcW w:type="dxa" w:w="2160"/>
          </w:tcPr>
          <w:p>
            <w:r>
              <w:rPr>
                <w:sz w:val="16"/>
              </w:rPr>
              <w:t>Chinese community in Melaka discusses heritage tourism and local services. — Klebang</w:t>
            </w:r>
          </w:p>
        </w:tc>
      </w:tr>
      <w:tr>
        <w:tc>
          <w:tcPr>
            <w:tcW w:type="dxa" w:w="2160"/>
          </w:tcPr>
          <w:p>
            <w:r>
              <w:rPr>
                <w:sz w:val="16"/>
              </w:rPr>
              <w:t>YouTube</w:t>
            </w:r>
          </w:p>
        </w:tc>
        <w:tc>
          <w:tcPr>
            <w:tcW w:type="dxa" w:w="2160"/>
          </w:tcPr>
          <w:p>
            <w:r>
              <w:rPr>
                <w:sz w:val="16"/>
              </w:rPr>
              <w:t>Cost of Living</w:t>
            </w:r>
          </w:p>
        </w:tc>
        <w:tc>
          <w:tcPr>
            <w:tcW w:type="dxa" w:w="2160"/>
          </w:tcPr>
          <w:p>
            <w:r>
              <w:rPr>
                <w:sz w:val="16"/>
              </w:rPr>
              <w:t>neutral</w:t>
            </w:r>
          </w:p>
        </w:tc>
        <w:tc>
          <w:tcPr>
            <w:tcW w:type="dxa" w:w="2160"/>
          </w:tcPr>
          <w:p>
            <w:r>
              <w:rPr>
                <w:sz w:val="16"/>
              </w:rPr>
              <w:t>Bandar Hilir 停车位不足，居民投诉。 PRN Melaka: pengundi Cina bincang isu pelancongan dan kos sara hidup.</w:t>
            </w:r>
          </w:p>
        </w:tc>
      </w:tr>
      <w:tr>
        <w:tc>
          <w:tcPr>
            <w:tcW w:type="dxa" w:w="2160"/>
          </w:tcPr>
          <w:p>
            <w:r>
              <w:rPr>
                <w:sz w:val="16"/>
              </w:rPr>
              <w:t>TikTok</w:t>
            </w:r>
          </w:p>
        </w:tc>
        <w:tc>
          <w:tcPr>
            <w:tcW w:type="dxa" w:w="2160"/>
          </w:tcPr>
          <w:p>
            <w:r>
              <w:rPr>
                <w:sz w:val="16"/>
              </w:rPr>
              <w:t>Other</w:t>
            </w:r>
          </w:p>
        </w:tc>
        <w:tc>
          <w:tcPr>
            <w:tcW w:type="dxa" w:w="2160"/>
          </w:tcPr>
          <w:p>
            <w:r>
              <w:rPr>
                <w:sz w:val="16"/>
              </w:rPr>
              <w:t>neutral</w:t>
            </w:r>
          </w:p>
        </w:tc>
        <w:tc>
          <w:tcPr>
            <w:tcW w:type="dxa" w:w="2160"/>
          </w:tcPr>
          <w:p>
            <w:r>
              <w:rPr>
                <w:sz w:val="16"/>
              </w:rPr>
              <w:t>Kerajaan Melaka perlu fokus perkhidmatan Bandar Hilir. (Bandar Hilir)</w:t>
            </w:r>
          </w:p>
        </w:tc>
      </w:tr>
      <w:tr>
        <w:tc>
          <w:tcPr>
            <w:tcW w:type="dxa" w:w="2160"/>
          </w:tcPr>
          <w:p>
            <w:r>
              <w:rPr>
                <w:sz w:val="16"/>
              </w:rPr>
              <w:t>Facebook</w:t>
            </w:r>
          </w:p>
        </w:tc>
        <w:tc>
          <w:tcPr>
            <w:tcW w:type="dxa" w:w="2160"/>
          </w:tcPr>
          <w:p>
            <w:r>
              <w:rPr>
                <w:sz w:val="16"/>
              </w:rPr>
              <w:t>Cost of Living</w:t>
            </w:r>
          </w:p>
        </w:tc>
        <w:tc>
          <w:tcPr>
            <w:tcW w:type="dxa" w:w="2160"/>
          </w:tcPr>
          <w:p>
            <w:r>
              <w:rPr>
                <w:sz w:val="16"/>
              </w:rPr>
              <w:t>positive</w:t>
            </w:r>
          </w:p>
        </w:tc>
        <w:tc>
          <w:tcPr>
            <w:tcW w:type="dxa" w:w="2160"/>
          </w:tcPr>
          <w:p>
            <w:r>
              <w:rPr>
                <w:sz w:val="16"/>
              </w:rPr>
              <w:t>PRN Melaka: pengundi Cina bincang isu pelancongan dan kos sara hidup. (Hang Tuah Jaya)</w:t>
            </w:r>
          </w:p>
        </w:tc>
      </w:tr>
      <w:tr>
        <w:tc>
          <w:tcPr>
            <w:tcW w:type="dxa" w:w="2160"/>
          </w:tcPr>
          <w:p>
            <w:r>
              <w:rPr>
                <w:sz w:val="16"/>
              </w:rPr>
              <w:t>Instagram</w:t>
            </w:r>
          </w:p>
        </w:tc>
        <w:tc>
          <w:tcPr>
            <w:tcW w:type="dxa" w:w="2160"/>
          </w:tcPr>
          <w:p>
            <w:r>
              <w:rPr>
                <w:sz w:val="16"/>
              </w:rPr>
              <w:t>SME and Business</w:t>
            </w:r>
          </w:p>
        </w:tc>
        <w:tc>
          <w:tcPr>
            <w:tcW w:type="dxa" w:w="2160"/>
          </w:tcPr>
          <w:p>
            <w:r>
              <w:rPr>
                <w:sz w:val="16"/>
              </w:rPr>
              <w:t>positive</w:t>
            </w:r>
          </w:p>
        </w:tc>
        <w:tc>
          <w:tcPr>
            <w:tcW w:type="dxa" w:w="2160"/>
          </w:tcPr>
          <w:p>
            <w:r>
              <w:rPr>
                <w:sz w:val="16"/>
              </w:rPr>
              <w:t>马六甲州选，古城旅游区商家希望州政府多宣传。 #Hang</w:t>
            </w:r>
          </w:p>
        </w:tc>
      </w:tr>
      <w:tr>
        <w:tc>
          <w:tcPr>
            <w:tcW w:type="dxa" w:w="2160"/>
          </w:tcPr>
          <w:p>
            <w:r>
              <w:rPr>
                <w:sz w:val="16"/>
              </w:rPr>
              <w:t>Facebook</w:t>
            </w:r>
          </w:p>
        </w:tc>
        <w:tc>
          <w:tcPr>
            <w:tcW w:type="dxa" w:w="2160"/>
          </w:tcPr>
          <w:p>
            <w:r>
              <w:rPr>
                <w:sz w:val="16"/>
              </w:rPr>
              <w:t>Other</w:t>
            </w:r>
          </w:p>
        </w:tc>
        <w:tc>
          <w:tcPr>
            <w:tcW w:type="dxa" w:w="2160"/>
          </w:tcPr>
          <w:p>
            <w:r>
              <w:rPr>
                <w:sz w:val="16"/>
              </w:rPr>
              <w:t>negative</w:t>
            </w:r>
          </w:p>
        </w:tc>
        <w:tc>
          <w:tcPr>
            <w:tcW w:type="dxa" w:w="2160"/>
          </w:tcPr>
          <w:p>
            <w:r>
              <w:rPr>
                <w:sz w:val="16"/>
              </w:rPr>
              <w:t>Kerajaan Melaka perlu fokus perkhidmatan Bandar Hilir. (Hang Tuah Jaya)</w:t>
            </w:r>
          </w:p>
        </w:tc>
      </w:tr>
      <w:tr>
        <w:tc>
          <w:tcPr>
            <w:tcW w:type="dxa" w:w="2160"/>
          </w:tcPr>
          <w:p>
            <w:r>
              <w:rPr>
                <w:sz w:val="16"/>
              </w:rPr>
              <w:t>YouTube</w:t>
            </w:r>
          </w:p>
        </w:tc>
        <w:tc>
          <w:tcPr>
            <w:tcW w:type="dxa" w:w="2160"/>
          </w:tcPr>
          <w:p>
            <w:r>
              <w:rPr>
                <w:sz w:val="16"/>
              </w:rPr>
              <w:t>Local Government Services</w:t>
            </w:r>
          </w:p>
        </w:tc>
        <w:tc>
          <w:tcPr>
            <w:tcW w:type="dxa" w:w="2160"/>
          </w:tcPr>
          <w:p>
            <w:r>
              <w:rPr>
                <w:sz w:val="16"/>
              </w:rPr>
              <w:t>negative</w:t>
            </w:r>
          </w:p>
        </w:tc>
        <w:tc>
          <w:tcPr>
            <w:tcW w:type="dxa" w:w="2160"/>
          </w:tcPr>
          <w:p>
            <w:r>
              <w:rPr>
                <w:sz w:val="16"/>
              </w:rPr>
              <w:t>Bandar Hilir 停车位不足，居民投诉。 #Hang</w:t>
            </w:r>
          </w:p>
        </w:tc>
      </w:tr>
      <w:tr>
        <w:tc>
          <w:tcPr>
            <w:tcW w:type="dxa" w:w="2160"/>
          </w:tcPr>
          <w:p>
            <w:r>
              <w:rPr>
                <w:sz w:val="16"/>
              </w:rPr>
              <w:t>Chinese online media</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Bandar Hilir</w:t>
            </w:r>
          </w:p>
        </w:tc>
      </w:tr>
      <w:tr>
        <w:tc>
          <w:tcPr>
            <w:tcW w:type="dxa" w:w="2160"/>
          </w:tcPr>
          <w:p>
            <w:r>
              <w:rPr>
                <w:sz w:val="16"/>
              </w:rPr>
              <w:t>X</w:t>
            </w:r>
          </w:p>
        </w:tc>
        <w:tc>
          <w:tcPr>
            <w:tcW w:type="dxa" w:w="2160"/>
          </w:tcPr>
          <w:p>
            <w:r>
              <w:rPr>
                <w:sz w:val="16"/>
              </w:rPr>
              <w:t>Chinese Education</w:t>
            </w:r>
          </w:p>
        </w:tc>
        <w:tc>
          <w:tcPr>
            <w:tcW w:type="dxa" w:w="2160"/>
          </w:tcPr>
          <w:p>
            <w:r>
              <w:rPr>
                <w:sz w:val="16"/>
              </w:rPr>
              <w:t>negative</w:t>
            </w:r>
          </w:p>
        </w:tc>
        <w:tc>
          <w:tcPr>
            <w:tcW w:type="dxa" w:w="2160"/>
          </w:tcPr>
          <w:p>
            <w:r>
              <w:rPr>
                <w:sz w:val="16"/>
              </w:rPr>
              <w:t>独中拨款和华文教育仍是热点。 #Bukit</w:t>
            </w:r>
          </w:p>
        </w:tc>
      </w:tr>
      <w:tr>
        <w:tc>
          <w:tcPr>
            <w:tcW w:type="dxa" w:w="2160"/>
          </w:tcPr>
          <w:p>
            <w:r>
              <w:rPr>
                <w:sz w:val="16"/>
              </w:rPr>
              <w:t>YouTube</w:t>
            </w:r>
          </w:p>
        </w:tc>
        <w:tc>
          <w:tcPr>
            <w:tcW w:type="dxa" w:w="2160"/>
          </w:tcPr>
          <w:p>
            <w:r>
              <w:rPr>
                <w:sz w:val="16"/>
              </w:rPr>
              <w:t>Other</w:t>
            </w:r>
          </w:p>
        </w:tc>
        <w:tc>
          <w:tcPr>
            <w:tcW w:type="dxa" w:w="2160"/>
          </w:tcPr>
          <w:p>
            <w:r>
              <w:rPr>
                <w:sz w:val="16"/>
              </w:rPr>
              <w:t>neutral</w:t>
            </w:r>
          </w:p>
        </w:tc>
        <w:tc>
          <w:tcPr>
            <w:tcW w:type="dxa" w:w="2160"/>
          </w:tcPr>
          <w:p>
            <w:r>
              <w:rPr>
                <w:sz w:val="16"/>
              </w:rPr>
              <w:t>Chinese community in Melaka discusses heritage tourism and local services. — Hang Tuah Jaya</w:t>
            </w:r>
          </w:p>
        </w:tc>
      </w:tr>
    </w:tbl>
    <w:p>
      <w:pPr>
        <w:pStyle w:val="Heading1"/>
      </w:pPr>
      <w:r>
        <w:t>8. Naratif Risiko Tinggi / Kritikal</w:t>
      </w:r>
    </w:p>
    <w:tbl>
      <w:tblPr>
        <w:tblStyle w:val="TableGrid"/>
        <w:tblW w:type="auto" w:w="0"/>
        <w:tblLook w:firstColumn="1" w:firstRow="1" w:lastColumn="0" w:lastRow="0" w:noHBand="0" w:noVBand="1" w:val="04A0"/>
      </w:tblPr>
      <w:tblGrid>
        <w:gridCol w:w="2880"/>
        <w:gridCol w:w="2880"/>
        <w:gridCol w:w="2880"/>
      </w:tblGrid>
      <w:tr>
        <w:tc>
          <w:tcPr>
            <w:tcW w:type="dxa" w:w="2880"/>
          </w:tcPr>
          <w:p>
            <w:r>
              <w:t>Risiko</w:t>
            </w:r>
          </w:p>
        </w:tc>
        <w:tc>
          <w:tcPr>
            <w:tcW w:type="dxa" w:w="2880"/>
          </w:tcPr>
          <w:p>
            <w:r>
              <w:t>Isu</w:t>
            </w:r>
          </w:p>
        </w:tc>
        <w:tc>
          <w:tcPr>
            <w:tcW w:type="dxa" w:w="2880"/>
          </w:tcPr>
          <w:p>
            <w:r>
              <w:t>Petikan</w:t>
            </w:r>
          </w:p>
        </w:tc>
      </w:tr>
      <w:tr>
        <w:tc>
          <w:tcPr>
            <w:tcW w:type="dxa" w:w="2880"/>
          </w:tcPr>
          <w:p>
            <w:r>
              <w:t>High</w:t>
            </w:r>
          </w:p>
        </w:tc>
        <w:tc>
          <w:tcPr>
            <w:tcW w:type="dxa" w:w="2880"/>
          </w:tcPr>
          <w:p>
            <w:r>
              <w:t>Other</w:t>
            </w:r>
          </w:p>
        </w:tc>
        <w:tc>
          <w:tcPr>
            <w:tcW w:type="dxa" w:w="2880"/>
          </w:tcPr>
          <w:p>
            <w:r>
              <w:t>Kerajaan Melaka perlu fokus perkhidmatan Bandar Hilir. (Bukit Katil)</w:t>
            </w:r>
          </w:p>
        </w:tc>
      </w:tr>
      <w:tr>
        <w:tc>
          <w:tcPr>
            <w:tcW w:type="dxa" w:w="2880"/>
          </w:tcPr>
          <w:p>
            <w:r>
              <w:t>High</w:t>
            </w:r>
          </w:p>
        </w:tc>
        <w:tc>
          <w:tcPr>
            <w:tcW w:type="dxa" w:w="2880"/>
          </w:tcPr>
          <w:p>
            <w:r>
              <w:t>Cost of Living</w:t>
            </w:r>
          </w:p>
        </w:tc>
        <w:tc>
          <w:tcPr>
            <w:tcW w:type="dxa" w:w="2880"/>
          </w:tcPr>
          <w:p>
            <w:r>
              <w:t>Bandar Hilir 停车位不足，居民投诉。 PRN Melaka: pengundi Cina bincang isu pelancongan dan kos sara hidup.</w:t>
            </w:r>
          </w:p>
        </w:tc>
      </w:tr>
      <w:tr>
        <w:tc>
          <w:tcPr>
            <w:tcW w:type="dxa" w:w="2880"/>
          </w:tcPr>
          <w:p>
            <w:r>
              <w:t>Critical</w:t>
            </w:r>
          </w:p>
        </w:tc>
        <w:tc>
          <w:tcPr>
            <w:tcW w:type="dxa" w:w="2880"/>
          </w:tcPr>
          <w:p>
            <w:r>
              <w:t>Other</w:t>
            </w:r>
          </w:p>
        </w:tc>
        <w:tc>
          <w:tcPr>
            <w:tcW w:type="dxa" w:w="2880"/>
          </w:tcPr>
          <w:p>
            <w:r>
              <w:t>Chinese community in Melaka discusses heritage tourism and local services. — Jasin</w:t>
            </w:r>
          </w:p>
        </w:tc>
      </w:tr>
      <w:tr>
        <w:tc>
          <w:tcPr>
            <w:tcW w:type="dxa" w:w="2880"/>
          </w:tcPr>
          <w:p>
            <w:r>
              <w:t>Critical</w:t>
            </w:r>
          </w:p>
        </w:tc>
        <w:tc>
          <w:tcPr>
            <w:tcW w:type="dxa" w:w="2880"/>
          </w:tcPr>
          <w:p>
            <w:r>
              <w:t>Other</w:t>
            </w:r>
          </w:p>
        </w:tc>
        <w:tc>
          <w:tcPr>
            <w:tcW w:type="dxa" w:w="2880"/>
          </w:tcPr>
          <w:p>
            <w:r>
              <w:t>Kerajaan Melaka perlu fokus perkhidmatan Bandar Hilir. (Alor Gajah)</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High</w:t>
            </w:r>
          </w:p>
        </w:tc>
        <w:tc>
          <w:tcPr>
            <w:tcW w:type="dxa" w:w="2880"/>
          </w:tcPr>
          <w:p>
            <w:r>
              <w:t>Other</w:t>
            </w:r>
          </w:p>
        </w:tc>
        <w:tc>
          <w:tcPr>
            <w:tcW w:type="dxa" w:w="2880"/>
          </w:tcPr>
          <w:p>
            <w:r>
              <w:t>Chinese community in Melaka discusses heritage tourism and local services. — Bandar Hilir</w:t>
            </w:r>
          </w:p>
        </w:tc>
      </w:tr>
      <w:tr>
        <w:tc>
          <w:tcPr>
            <w:tcW w:type="dxa" w:w="2880"/>
          </w:tcPr>
          <w:p>
            <w:r>
              <w:t>Critical</w:t>
            </w:r>
          </w:p>
        </w:tc>
        <w:tc>
          <w:tcPr>
            <w:tcW w:type="dxa" w:w="2880"/>
          </w:tcPr>
          <w:p>
            <w:r>
              <w:t>Other</w:t>
            </w:r>
          </w:p>
        </w:tc>
        <w:tc>
          <w:tcPr>
            <w:tcW w:type="dxa" w:w="2880"/>
          </w:tcPr>
          <w:p>
            <w:r>
              <w:t>Chinese community in Melaka discusses heritage tourism and local services. — Klebang</w:t>
            </w:r>
          </w:p>
        </w:tc>
      </w:tr>
      <w:tr>
        <w:tc>
          <w:tcPr>
            <w:tcW w:type="dxa" w:w="2880"/>
          </w:tcPr>
          <w:p>
            <w:r>
              <w:t>Critical</w:t>
            </w:r>
          </w:p>
        </w:tc>
        <w:tc>
          <w:tcPr>
            <w:tcW w:type="dxa" w:w="2880"/>
          </w:tcPr>
          <w:p>
            <w:r>
              <w:t>Other</w:t>
            </w:r>
          </w:p>
        </w:tc>
        <w:tc>
          <w:tcPr>
            <w:tcW w:type="dxa" w:w="2880"/>
          </w:tcPr>
          <w:p>
            <w:r>
              <w:t>Kerajaan Melaka perlu fokus perkhidmatan Bandar Hilir. (Hang Tuah Jaya)</w:t>
            </w:r>
          </w:p>
        </w:tc>
      </w:tr>
    </w:tbl>
    <w:p>
      <w:pPr>
        <w:pStyle w:val="Heading1"/>
      </w:pPr>
      <w:r>
        <w:t>9. Dakwaan / Maklumat Salah (Belum Disahkan)</w:t>
      </w:r>
    </w:p>
    <w:p>
      <w:pPr>
        <w:pStyle w:val="ListBullet"/>
      </w:pPr>
      <w:r>
        <w:t>• [Belum disahkan] Chinese community in Melaka discusses heritage tourism and local services. — Jasin</w:t>
      </w:r>
    </w:p>
    <w:p>
      <w:pPr>
        <w:pStyle w:val="ListBullet"/>
      </w:pPr>
      <w:r>
        <w:t>• [Belum disahkan] Chinese community in Melaka discusses heritage tourism and local services. — Bandar Hilir</w:t>
      </w:r>
    </w:p>
    <w:p>
      <w:pPr>
        <w:pStyle w:val="Heading1"/>
      </w:pPr>
      <w:r>
        <w:t>10. Ringkasan Harian (Struktur Brief)</w:t>
      </w:r>
    </w:p>
    <w:p>
      <w:pPr>
        <w:pStyle w:val="Heading1"/>
      </w:pPr>
      <w:r>
        <w:t>Ringkasan Eksekutif Harian — Melaka</w:t>
      </w:r>
    </w:p>
    <w:p>
      <w:r>
        <w:t>Tarikh: 14 June 2026</w:t>
      </w:r>
    </w:p>
    <w:p>
      <w:pPr>
        <w:pStyle w:val="Heading2"/>
      </w:pPr>
      <w:r>
        <w:t>1. Ringkasan situasi</w:t>
      </w:r>
    </w:p>
    <w:p>
      <w:r>
        <w:t>[Analitik] 79 catatan naratif berbahasa Cina diperhatikan dalam tempoh penapisan semasa.</w:t>
      </w:r>
    </w:p>
    <w:p>
      <w:pPr>
        <w:pStyle w:val="Heading2"/>
      </w:pPr>
      <w:r>
        <w:t>2. Lima isu utama</w:t>
      </w:r>
    </w:p>
    <w:p>
      <w:r>
        <w:t>1. [Persepsi awam / analitik] Other</w:t>
      </w:r>
    </w:p>
    <w:p>
      <w:r>
        <w:t>2. [Persepsi awam / analitik] Cost of Living</w:t>
      </w:r>
    </w:p>
    <w:p>
      <w:r>
        <w:t>3. [Persepsi awam / analitik] Local Government Services</w:t>
      </w:r>
    </w:p>
    <w:p>
      <w:r>
        <w:t>4. [Persepsi awam / analitik] Chinese Education</w:t>
      </w:r>
    </w:p>
    <w:p>
      <w:r>
        <w:t>5. [Persepsi awam / analitik] SME and Business</w:t>
      </w:r>
    </w:p>
    <w:p>
      <w:pPr>
        <w:pStyle w:val="Heading2"/>
      </w:pPr>
      <w:r>
        <w:t>3. Naratif paling meningkat</w:t>
      </w:r>
    </w:p>
    <w:p>
      <w:r>
        <w:t>[Analitik] Tiada peningkatan ketara diperhatikan.</w:t>
      </w:r>
    </w:p>
    <w:p>
      <w:pPr>
        <w:pStyle w:val="Heading2"/>
      </w:pPr>
      <w:r>
        <w:t>4. Kawasan paling terkesan</w:t>
      </w:r>
    </w:p>
    <w:p>
      <w:r>
        <w:t>Hang Tuah Jaya, Melaka, Bandar Hilir</w:t>
      </w:r>
    </w:p>
    <w:p>
      <w:pPr>
        <w:pStyle w:val="Heading2"/>
      </w:pPr>
      <w:r>
        <w:t>5. Sentimen keseluruhan</w:t>
      </w:r>
    </w:p>
    <w:p>
      <w:r>
        <w:t>[Analitik] Peratus negatif: 27.8%</w:t>
      </w:r>
    </w:p>
    <w:p>
      <w:pPr>
        <w:pStyle w:val="Heading2"/>
      </w:pPr>
      <w:r>
        <w:t>6. Risiko utama</w:t>
      </w:r>
    </w:p>
    <w:p>
      <w:pPr>
        <w:pStyle w:val="ListBullet"/>
      </w:pPr>
      <w:r>
        <w:t>**[Analitik]** Other</w:t>
      </w:r>
    </w:p>
    <w:p>
      <w:pPr>
        <w:pStyle w:val="ListBullet"/>
      </w:pPr>
      <w:r>
        <w:t>**[Analitik]** Cost of Living</w:t>
      </w:r>
    </w:p>
    <w:p>
      <w:pPr>
        <w:pStyle w:val="ListBullet"/>
      </w:pPr>
      <w:r>
        <w:t>**[Analitik]** Local Government Services</w:t>
      </w:r>
    </w:p>
    <w:p>
      <w:pPr>
        <w:pStyle w:val="ListBullet"/>
      </w:pPr>
      <w:r>
        <w:t>**[Analitik]** Chinese Education</w:t>
      </w:r>
    </w:p>
    <w:p>
      <w:pPr>
        <w:pStyle w:val="Heading2"/>
      </w:pPr>
      <w:r>
        <w:t>7. Dakwaan yang memerlukan semakan fakta</w:t>
      </w:r>
    </w:p>
    <w:p>
      <w:pPr>
        <w:pStyle w:val="ListBullet"/>
      </w:pPr>
      <w:r>
        <w:t>**[Belum disahkan]** Chinese community in Melaka discusses heritage tourism and local services. — Jasin…</w:t>
      </w:r>
    </w:p>
    <w:p>
      <w:pPr>
        <w:pStyle w:val="ListBullet"/>
      </w:pPr>
      <w:r>
        <w:t>**[Belum disahkan]** Chinese community in Melaka discusses heritage tourism and local services. — Bandar Hilir…</w:t>
      </w:r>
    </w:p>
    <w:p>
      <w:pPr>
        <w:pStyle w:val="Heading2"/>
      </w:pPr>
      <w:r>
        <w:t>8. Aduan perkhidmatan</w:t>
      </w:r>
    </w:p>
    <w:p>
      <w:r>
        <w:t>[Fakta operasi] 0 aduan direkod / dikesan.</w:t>
      </w:r>
    </w:p>
    <w:p>
      <w:pPr>
        <w:pStyle w:val="Heading2"/>
      </w:pPr>
      <w:r>
        <w:t>9. Cadangan tindakan 24 jam</w:t>
      </w:r>
    </w:p>
    <w:p>
      <w:r>
        <w:t>*Tiada tindakan strategik direkod.*</w:t>
      </w:r>
    </w:p>
    <w:p>
      <w:pPr>
        <w:pStyle w:val="Heading2"/>
      </w:pPr>
      <w:r>
        <w:t>10. Tindakan tertunggak</w:t>
      </w:r>
    </w:p>
    <w:p>
      <w:r>
        <w:t>*Tiada tindakan tertunggak.*</w:t>
      </w:r>
    </w:p>
    <w:p>
      <w:pPr>
        <w:pStyle w:val="Heading2"/>
      </w:pPr>
      <w:r>
        <w:t>11. Pemerhatian selepas tindakan terdahulu</w:t>
      </w:r>
    </w:p>
    <w:p>
      <w:r>
        <w:t>[Analitik] Perubahan selepas tindakan — hubungan masa yang diperhatikan; memerlukan semakan lanjut. Jangan tafsir sebagai hubungan sebab-akibat tanpa reka bentuk data yang menyokong.</w:t>
      </w:r>
    </w:p>
    <w:p>
      <w:r>
        <w:t>*Nota: Laporan membezakan fakta disahkan, persepsi awam, dakwaan belum disahkan, pemerhatian analitik dan cadangan tindakan.*</w:t>
      </w:r>
    </w:p>
    <w:p>
      <w:r>
        <w:rPr>
          <w:i/>
          <w:color w:val="646464"/>
          <w:sz w:val="18"/>
        </w:rPr>
        <w:br/>
        <w:t>— InsightPulse · PRN Chinese Narrative Monitoring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