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00:28</w:t>
      </w:r>
    </w:p>
    <w:p>
      <w:pPr>
        <w:jc w:val="center"/>
      </w:pPr>
      <w:r>
        <w:t>Data dikemas kini: 15 June 2026, 00:28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15 Jun 2026, 12:28</w:t>
      </w:r>
    </w:p>
    <w:p>
      <w:r>
        <w:t>• 年轻首投族更关注就业和房价。 #Port Dickson | URL: https://example.com/post/39 | Pegawai: Fact Checking | 15 Jun 2026, 12:28</w:t>
      </w:r>
    </w:p>
    <w:p>
      <w:r>
        <w:t>• Politik agama jangan jadi isu utama PRN NS. (Seremban) | URL: https://example.com/post/45 | Pegawai: Fact Checking | 15 Jun 2026, 12:28</w:t>
      </w:r>
    </w:p>
    <w:p>
      <w:r>
        <w:t>• Chinese school funding remains a key narrative online. — Mambau | URL: https://example.com/post/64 | Pegawai: Fact Checking | 15 Jun 2026, 12:28</w:t>
      </w:r>
    </w:p>
    <w:p>
      <w:r>
        <w:t>• 年轻首投族更关注就业和房价。 #Bahau | URL: https://example.com/post/95 | Pegawai: Fact Checking | 15 Jun 2026, 12:28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