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("MARA Liner" OR "MARALiner" OR "MaraLiner") AND (review OR "brand" OR "reputation" OR "brand image")</w:t>
      </w:r>
    </w:p>
    <w:p>
      <w:pPr>
        <w:jc w:val="center"/>
      </w:pPr>
      <w:r>
        <w:rPr>
          <w:b/>
        </w:rPr>
        <w:t xml:space="preserve">Analysis Type: </w:t>
      </w:r>
      <w:r>
        <w:t>Brand Monitoring</w:t>
        <w:br/>
      </w:r>
      <w:r>
        <w:rPr>
          <w:b/>
        </w:rPr>
        <w:t xml:space="preserve">Date: </w:t>
      </w:r>
      <w:r>
        <w:t>May 19, 2026</w:t>
        <w:br/>
      </w:r>
      <w:r>
        <w:rPr>
          <w:b/>
        </w:rPr>
        <w:t xml:space="preserve">Total Data Points: </w:t>
      </w:r>
      <w:r>
        <w:t>229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47.2%</w:t>
        <w:br/>
      </w:r>
      <w:r>
        <w:rPr>
          <w:b/>
        </w:rPr>
        <w:t xml:space="preserve">• Neutral: </w:t>
      </w:r>
      <w:r>
        <w:t>42.8%</w:t>
        <w:br/>
      </w:r>
      <w:r>
        <w:rPr>
          <w:b/>
        </w:rPr>
        <w:t xml:space="preserve">• Negative: </w:t>
      </w:r>
      <w:r>
        <w:t>10.0%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124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40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36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17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12 posts (Avg Sentiment: 0.00)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Monitor negative sentiment trends closely</w:t>
      </w:r>
    </w:p>
    <w:p>
      <w:pPr>
        <w:pStyle w:val="ListNumber"/>
      </w:pPr>
      <w:r>
        <w:t>2. Engage with positive brand advocates</w:t>
      </w:r>
    </w:p>
    <w:p>
      <w:pPr>
        <w:pStyle w:val="ListNumber"/>
      </w:pPr>
      <w:r>
        <w:t>3. Address customer concerns promptly</w:t>
      </w:r>
    </w:p>
    <w:p>
      <w:pPr>
        <w:pStyle w:val="ListNumber"/>
      </w:pPr>
      <w:r>
        <w:t>4. Amplify positive testimonials</w:t>
      </w:r>
    </w:p>
    <w:p>
      <w:pPr>
        <w:pStyle w:val="ListNumber"/>
      </w:pPr>
      <w:r>
        <w:t>5. Track competitor mentions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2026-05-19 13:41:54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