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("PAS" OR "Parti Islam Se-Malaysia" OR "Parti Islam Se Malaysia")</w:t>
        <w:br/>
        <w:t>AND</w:t>
        <w:br/>
        <w:t>("Bersatu" OR "PPBM" OR "Perikatan Nasional" OR "PN")</w:t>
        <w:br/>
        <w:t>AND</w:t>
        <w:br/>
        <w:t>("kaji semula hubungan" OR "teliti semula hubungan" OR "putus kerjasama" OR "perpecahan" OR "PAS bergerak solo" OR "PAS boleh bergerak solo")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28, 2026</w:t>
        <w:br/>
      </w:r>
      <w:r>
        <w:rPr>
          <w:b/>
        </w:rPr>
        <w:t xml:space="preserve">Total Data Points: </w:t>
      </w:r>
      <w:r>
        <w:t>0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3,009 data points across 5 platforms</w:t>
      </w:r>
    </w:p>
    <w:p>
      <w:pPr>
        <w:pStyle w:val="ListNumber"/>
      </w:pPr>
      <w:r>
        <w:t>2. Statistical confidence: Standard (65%)</w:t>
      </w:r>
    </w:p>
    <w:p>
      <w:pPr>
        <w:pStyle w:val="ListNumber"/>
      </w:pPr>
      <w:r>
        <w:t>3. Overall sentiment: Neutral (±±8-12%)</w:t>
      </w:r>
    </w:p>
    <w:p>
      <w:pPr>
        <w:pStyle w:val="ListNumber"/>
      </w:pPr>
      <w:r>
        <w:t>4. Total engagement: 12,879,739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Moderate confidence - good for trend monitoring and preliminary insights</w:t>
      </w:r>
    </w:p>
    <w:p>
      <w:pPr>
        <w:pStyle w:val="ListNumber"/>
      </w:pPr>
      <w:r>
        <w:t>2. Increase data collection period for more reliable insights</w:t>
      </w:r>
    </w:p>
    <w:p>
      <w:pPr>
        <w:pStyle w:val="ListNumber"/>
      </w:pPr>
      <w:r>
        <w:t>3. Focus on high-engagement platforms for better signal-to-noise ratio</w:t>
      </w:r>
    </w:p>
    <w:p>
      <w:pPr>
        <w:pStyle w:val="ListNumber"/>
      </w:pPr>
      <w:r>
        <w:t>4. Use as directional guidance rather than definitive conclusions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2026-05-28 13:36:32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