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29, 2026</w:t>
        <w:br/>
      </w:r>
      <w:r>
        <w:rPr>
          <w:b/>
        </w:rPr>
        <w:t xml:space="preserve">Total Data Points: </w:t>
      </w:r>
      <w:r>
        <w:t>176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44.9%</w:t>
        <w:br/>
      </w:r>
      <w:r>
        <w:rPr>
          <w:b/>
        </w:rPr>
        <w:t xml:space="preserve">• Neutral: </w:t>
      </w:r>
      <w:r>
        <w:t>46.0%</w:t>
        <w:br/>
      </w:r>
      <w:r>
        <w:rPr>
          <w:b/>
        </w:rPr>
        <w:t xml:space="preserve">• Negative: </w:t>
      </w:r>
      <w:r>
        <w:t>9.1%</w:t>
      </w:r>
    </w:p>
    <w:p>
      <w:pPr>
        <w:pStyle w:val="Heading2"/>
      </w:pPr>
      <w:r>
        <w:t>Sentiment Verdict</w:t>
      </w:r>
    </w:p>
    <w:p>
      <w:r>
        <w:t>✅ **POSITIVE** - Generally favorable sentiment with room for improvement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176 posts (Avg Sentiment: 0.67)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176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13,926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2026-05-29 13:10:51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