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SME Malaysia loan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June 09, 2026</w:t>
        <w:br/>
      </w:r>
      <w:r>
        <w:rPr>
          <w:b/>
        </w:rPr>
        <w:t xml:space="preserve">Total Data Points: </w:t>
      </w:r>
      <w:r>
        <w:t>699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33.3%</w:t>
        <w:br/>
      </w:r>
      <w:r>
        <w:rPr>
          <w:b/>
        </w:rPr>
        <w:t xml:space="preserve">• Neutral: </w:t>
      </w:r>
      <w:r>
        <w:t>57.2%</w:t>
        <w:br/>
      </w:r>
      <w:r>
        <w:rPr>
          <w:b/>
        </w:rPr>
        <w:t xml:space="preserve">• Negative: </w:t>
      </w:r>
      <w:r>
        <w:t>9.4%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Linkedin: </w:t>
      </w:r>
      <w:r>
        <w:t>699 posts (Avg Sentiment: 0.61)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699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Positive (±±15-25%)</w:t>
      </w:r>
    </w:p>
    <w:p>
      <w:pPr>
        <w:pStyle w:val="ListNumber"/>
      </w:pPr>
      <w:r>
        <w:t>4. Total engagement: 27,706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2026-06-09 00:47:33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