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Echo Buddha Second Article Audit</w:t>
      </w:r>
    </w:p>
    <w:p>
      <w:pPr>
        <w:pStyle w:val="Subtitle"/>
      </w:pPr>
      <w:r>
        <w:t>Reconciliation, layered similarity evidence, editorial planning, source awareness, wellbeing review, and implementation readiness.</w:t>
      </w:r>
    </w:p>
    <w:p>
      <w:r>
        <w:t>Generated from canonical audit data on 2026-07-13. Scope: 36 article pages under /articles/.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Audit-only preservation note</w:t>
            </w:r>
          </w:p>
        </w:tc>
      </w:tr>
      <w:tr>
        <w:tc>
          <w:tcPr>
            <w:tcW w:w="9360" w:type="dxa"/>
            <w:vAlign w:val="center"/>
          </w:tcPr>
          <w:p>
            <w:pPr>
              <w:pStyle w:val="TableText"/>
            </w:pPr>
            <w:r>
              <w:t>This report did not change article prose, URLs, hrefs, heading IDs, categories, themes, templates, layouts, or live content. It packages the second audit evidence and implementation plan only.</w:t>
            </w:r>
          </w:p>
        </w:tc>
      </w:tr>
    </w:tbl>
    <w:p>
      <w:pPr>
        <w:pStyle w:val="Heading1"/>
        <w:keepNext/>
      </w:pPr>
      <w:r>
        <w:t>Executive Verdict</w:t>
      </w:r>
    </w:p>
    <w:p>
      <w:r>
        <w:t>The library has a strong technical SEO foundation, but it is not ready for broad AdSense-readiness or uniqueness claims until high-overlap clusters are differentiated and repeated scaffold prose is revised.</w:t>
      </w:r>
    </w:p>
    <w:p>
      <w:r>
        <w:t>Ready for a controlled implementation pass only after Batch 1 role decisions are approved; not ready for mass rewrite, URL consolidation, or AdSense-readiness claims.</w:t>
      </w:r>
    </w:p>
    <w:p>
      <w:r>
        <w:t>Recommended first implementation batch: Batch 1: Noble Eightfold Path, Four Noble Truths, Beginner Buddhism, and Impermanence.</w:t>
      </w:r>
    </w:p>
    <w:p>
      <w:pPr>
        <w:pStyle w:val="Heading2"/>
        <w:keepNext/>
      </w:pPr>
      <w:r>
        <w:t>Corrected Counts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500"/>
        <w:gridCol w:w="2860"/>
      </w:tblGrid>
      <w:tr>
        <w:tc>
          <w:tcPr>
            <w:tcW w:w="65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Metric</w:t>
            </w:r>
          </w:p>
        </w:tc>
        <w:tc>
          <w:tcPr>
            <w:tcW w:w="28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Final count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Articles audited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Previous audit artifacts inspected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9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Inconsistencies found and resolved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4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Exact duplicate sentence groups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Exact duplicate paragraph groups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0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Near-duplicate article pairs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135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High-overlap article pairs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14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High-overlap clusters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2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Substantial rewrites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16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Targeted rewrites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Light polish or no change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12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Source-aware reviews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Wellbeing reviews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7</w:t>
            </w:r>
          </w:p>
        </w:tc>
      </w:tr>
    </w:tbl>
    <w:p>
      <w:pPr>
        <w:pStyle w:val="Heading1"/>
        <w:keepNext/>
      </w:pPr>
      <w:r>
        <w:t>Methodology</w:t>
      </w:r>
    </w:p>
    <w:p>
      <w:r>
        <w:t>The second audit supersedes the first pass by separating shared renderer/interface text from main article prose and by weighting role-specific evidence instead of treating all semantic relationship as duplication.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Layer</w:t>
            </w:r>
          </w:p>
        </w:tc>
        <w:tc>
          <w:tcPr>
            <w:tcW w:w="69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Evidence captured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Metadata</w:t>
            </w:r>
          </w:p>
        </w:tc>
        <w:tc>
          <w:tcPr>
            <w:tcW w:w="6960" w:type="dxa"/>
            <w:vAlign w:val="center"/>
          </w:tcPr>
          <w:p>
            <w:pPr>
              <w:pStyle w:val="TableText"/>
            </w:pPr>
            <w:r>
              <w:t>Title, SEO title, meta description, canonical, image, structured data, author, dates.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Article prose</w:t>
            </w:r>
          </w:p>
        </w:tc>
        <w:tc>
          <w:tcPr>
            <w:tcW w:w="6960" w:type="dxa"/>
            <w:vAlign w:val="center"/>
          </w:tcPr>
          <w:p>
            <w:pPr>
              <w:pStyle w:val="TableText"/>
            </w:pPr>
            <w:r>
              <w:t>Introduction, main sections, examples, exercises, reflection prompts, conclusion, FAQs.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Structure</w:t>
            </w:r>
          </w:p>
        </w:tc>
        <w:tc>
          <w:tcPr>
            <w:tcW w:w="6960" w:type="dxa"/>
            <w:vAlign w:val="center"/>
          </w:tcPr>
          <w:p>
            <w:pPr>
              <w:pStyle w:val="TableText"/>
            </w:pPr>
            <w:r>
              <w:t>Heading sequence, heading IDs, section rhythm, FAQ count, renderer-owned sidebars and notices.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Similarity</w:t>
            </w:r>
          </w:p>
        </w:tc>
        <w:tc>
          <w:tcPr>
            <w:tcW w:w="6960" w:type="dxa"/>
            <w:vAlign w:val="center"/>
          </w:tcPr>
          <w:p>
            <w:pPr>
              <w:pStyle w:val="TableText"/>
            </w:pPr>
            <w:r>
              <w:t>Cosine, Jaccard, 5-gram overlap, exact sentence groups, near-duplicate paragraphs, FAQ/intro/heading similarity.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Editorial role</w:t>
            </w:r>
          </w:p>
        </w:tc>
        <w:tc>
          <w:tcPr>
            <w:tcW w:w="6960" w:type="dxa"/>
            <w:vAlign w:val="center"/>
          </w:tcPr>
          <w:p>
            <w:pPr>
              <w:pStyle w:val="TableText"/>
            </w:pPr>
            <w:r>
              <w:t>Primary reader, intent, promise, format, outcome, examples, source needs, wellbeing boundary.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Preservation</w:t>
            </w:r>
          </w:p>
        </w:tc>
        <w:tc>
          <w:tcPr>
            <w:tcW w:w="6960" w:type="dxa"/>
            <w:vAlign w:val="center"/>
          </w:tcPr>
          <w:p>
            <w:pPr>
              <w:pStyle w:val="TableText"/>
            </w:pPr>
            <w:r>
              <w:t>URLs, hrefs, heading IDs, category paths, canonicals, structured data baselines, link targets.</w:t>
            </w:r>
          </w:p>
        </w:tc>
      </w:tr>
    </w:tbl>
    <w:p>
      <w:pPr>
        <w:pStyle w:val="Heading1"/>
        <w:keepNext/>
      </w:pPr>
      <w:r>
        <w:t>Reconciliation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00"/>
        <w:gridCol w:w="2400"/>
        <w:gridCol w:w="1350"/>
        <w:gridCol w:w="2310"/>
      </w:tblGrid>
      <w:tr>
        <w:tc>
          <w:tcPr>
            <w:tcW w:w="33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Artifact</w:t>
            </w:r>
          </w:p>
        </w:tc>
        <w:tc>
          <w:tcPr>
            <w:tcW w:w="24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13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Current status</w:t>
            </w:r>
          </w:p>
        </w:tc>
        <w:tc>
          <w:tcPr>
            <w:tcW w:w="231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Recommendation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docs/article-audit-report.md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First-audit human Markdown report</w:t>
            </w:r>
          </w:p>
        </w:tc>
        <w:tc>
          <w:tcPr>
            <w:tcW w:w="1350" w:type="dxa"/>
            <w:vAlign w:val="center"/>
          </w:tcPr>
          <w:p>
            <w:pPr>
              <w:pStyle w:val="TableText"/>
            </w:pPr>
            <w:r>
              <w:t>Historical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Deprecated for editorial implementation.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docs/article-audit-inventory.json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First-audit machine-readable inventory</w:t>
            </w:r>
          </w:p>
        </w:tc>
        <w:tc>
          <w:tcPr>
            <w:tcW w:w="1350" w:type="dxa"/>
            <w:vAlign w:val="center"/>
          </w:tcPr>
          <w:p>
            <w:pPr>
              <w:pStyle w:val="TableText"/>
            </w:pPr>
            <w:r>
              <w:t>Historical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Deprecated for editorial decisions; superseded by canonical second-audit JSON.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docs/Echo-Buddha-Article-Audit.docx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First-audit Word report generated from JSON</w:t>
            </w:r>
          </w:p>
        </w:tc>
        <w:tc>
          <w:tcPr>
            <w:tcW w:w="1350" w:type="dxa"/>
            <w:vAlign w:val="center"/>
          </w:tcPr>
          <w:p>
            <w:pPr>
              <w:pStyle w:val="TableText"/>
            </w:pPr>
            <w:r>
              <w:t>Historical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as historical export; regenerate only from canonical data if needed.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docs/google-search-console-week-1-checklist.md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Search Console checklist</w:t>
            </w:r>
          </w:p>
        </w:tc>
        <w:tc>
          <w:tcPr>
            <w:tcW w:w="1350" w:type="dxa"/>
            <w:vAlign w:val="center"/>
          </w:tcPr>
          <w:p>
            <w:pPr>
              <w:pStyle w:val="TableText"/>
            </w:pPr>
            <w:r>
              <w:t>Historical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as historical context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docs/seo-content-cluster-map.md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Earlier cluster planning map</w:t>
            </w:r>
          </w:p>
        </w:tc>
        <w:tc>
          <w:tcPr>
            <w:tcW w:w="1350" w:type="dxa"/>
            <w:vAlign w:val="center"/>
          </w:tcPr>
          <w:p>
            <w:pPr>
              <w:pStyle w:val="TableText"/>
            </w:pPr>
            <w:r>
              <w:t>Historical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as planning history.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docs/week-2-content-quality-audit.md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Historical Week 2 content audit</w:t>
            </w:r>
          </w:p>
        </w:tc>
        <w:tc>
          <w:tcPr>
            <w:tcW w:w="1350" w:type="dxa"/>
            <w:vAlign w:val="center"/>
          </w:tcPr>
          <w:p>
            <w:pPr>
              <w:pStyle w:val="TableText"/>
            </w:pPr>
            <w:r>
              <w:t>Historical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as historical context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docs/week-3-new-articles-publishing-report.md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Historical Week 3 publishing report</w:t>
            </w:r>
          </w:p>
        </w:tc>
        <w:tc>
          <w:tcPr>
            <w:tcW w:w="1350" w:type="dxa"/>
            <w:vAlign w:val="center"/>
          </w:tcPr>
          <w:p>
            <w:pPr>
              <w:pStyle w:val="TableText"/>
            </w:pPr>
            <w:r>
              <w:t>Historical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as historical context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scripts/audit-articles.mjs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First-audit generation script</w:t>
            </w:r>
          </w:p>
        </w:tc>
        <w:tc>
          <w:tcPr>
            <w:tcW w:w="1350" w:type="dxa"/>
            <w:vAlign w:val="center"/>
          </w:tcPr>
          <w:p>
            <w:pPr>
              <w:pStyle w:val="TableText"/>
            </w:pPr>
            <w:r>
              <w:t>Historical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as historical context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scripts/create-audit-docx.py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DOCX generation script</w:t>
            </w:r>
          </w:p>
        </w:tc>
        <w:tc>
          <w:tcPr>
            <w:tcW w:w="1350" w:type="dxa"/>
            <w:vAlign w:val="center"/>
          </w:tcPr>
          <w:p>
            <w:pPr>
              <w:pStyle w:val="TableText"/>
            </w:pPr>
            <w:r>
              <w:t>Historical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as historical context</w:t>
            </w:r>
          </w:p>
        </w:tc>
      </w:tr>
    </w:tbl>
    <w:p>
      <w:pPr>
        <w:pStyle w:val="Heading2"/>
        <w:keepNext/>
      </w:pPr>
      <w:r>
        <w:t>Resolved Inconsistencies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3860"/>
        <w:gridCol w:w="3000"/>
      </w:tblGrid>
      <w:tr>
        <w:tc>
          <w:tcPr>
            <w:tcW w:w="25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Issue</w:t>
            </w:r>
          </w:p>
        </w:tc>
        <w:tc>
          <w:tcPr>
            <w:tcW w:w="38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Correct value</w:t>
            </w:r>
          </w:p>
        </w:tc>
        <w:tc>
          <w:tcPr>
            <w:tcW w:w="30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Cause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>Top pair ranking changed</w:t>
            </w:r>
          </w:p>
        </w:tc>
        <w:tc>
          <w:tcPr>
            <w:tcW w:w="3860" w:type="dxa"/>
            <w:vAlign w:val="center"/>
          </w:tcPr>
          <w:p>
            <w:pPr>
              <w:pStyle w:val="TableText"/>
            </w:pPr>
            <w:r>
              <w:t>Second audit layered-risk ranking.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First audit used broad cosine over article body and did not weight layer-specific role evidence.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>High-overlap cluster count changed</w:t>
            </w:r>
          </w:p>
        </w:tc>
        <w:tc>
          <w:tcPr>
            <w:tcW w:w="3860" w:type="dxa"/>
            <w:vAlign w:val="center"/>
          </w:tcPr>
          <w:p>
            <w:pPr>
              <w:pStyle w:val="TableText"/>
            </w:pPr>
            <w:r>
              <w:t>2 high-overlap clusters.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First audit forced semantically related pages, wellbeing pages, and single-page clusters into High based on maximum cosine.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>Sensitive Wellbeing cluster severity</w:t>
            </w:r>
          </w:p>
        </w:tc>
        <w:tc>
          <w:tcPr>
            <w:tcW w:w="3860" w:type="dxa"/>
            <w:vAlign w:val="center"/>
          </w:tcPr>
          <w:p>
            <w:pPr>
              <w:pStyle w:val="TableText"/>
            </w:pPr>
            <w:r>
              <w:t>Sensitive wellbeing is a boundary-review dimension; individual search-intent overlap is handled in meditation, impermanence, and applied-pr...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A clinical/sensitivity review set was mixed with search-intent clusters.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>DOCX/Markdown source drift risk</w:t>
            </w:r>
          </w:p>
        </w:tc>
        <w:tc>
          <w:tcPr>
            <w:tcW w:w="3860" w:type="dxa"/>
            <w:vAlign w:val="center"/>
          </w:tcPr>
          <w:p>
            <w:pPr>
              <w:pStyle w:val="TableText"/>
            </w:pPr>
            <w:r>
              <w:t>All second-audit reports are generated from ECHOBUDDHA_CANONICAL_ARTICLE_AUDIT.json.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Two human reports were generated by separate scripts with separate formatting and cluster logic.</w:t>
            </w:r>
          </w:p>
        </w:tc>
      </w:tr>
    </w:tbl>
    <w:p>
      <w:pPr>
        <w:pStyle w:val="Heading1"/>
        <w:keepNext/>
      </w:pPr>
      <w:r>
        <w:t>Highest-Risk Article Pairs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850"/>
        <w:gridCol w:w="1100"/>
        <w:gridCol w:w="880"/>
        <w:gridCol w:w="880"/>
        <w:gridCol w:w="880"/>
        <w:gridCol w:w="880"/>
        <w:gridCol w:w="890"/>
      </w:tblGrid>
      <w:tr>
        <w:tc>
          <w:tcPr>
            <w:tcW w:w="38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Pair</w:t>
            </w:r>
          </w:p>
        </w:tc>
        <w:tc>
          <w:tcPr>
            <w:tcW w:w="11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Overlap</w:t>
            </w:r>
          </w:p>
        </w:tc>
        <w:tc>
          <w:tcPr>
            <w:tcW w:w="88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Overall</w:t>
            </w:r>
          </w:p>
        </w:tc>
        <w:tc>
          <w:tcPr>
            <w:tcW w:w="88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Intro</w:t>
            </w:r>
          </w:p>
        </w:tc>
        <w:tc>
          <w:tcPr>
            <w:tcW w:w="88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Heading</w:t>
            </w:r>
          </w:p>
        </w:tc>
        <w:tc>
          <w:tcPr>
            <w:tcW w:w="88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FAQ</w:t>
            </w:r>
          </w:p>
        </w:tc>
        <w:tc>
          <w:tcPr>
            <w:tcW w:w="89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Exact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how-to-practice-non-attachment / letting-go-without-giving-up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0.341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0.211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0.237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0.29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beginning-a-daily-mindfulness-practice / mindfulness-morning-routine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0.334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0.047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0.269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0.521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how-to-meditate-for-anxiety / walking-meditation-step-by-step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0.314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0.098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0.237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0.317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beginning-a-daily-mindfulness-practice / how-to-meditate-for-anxiety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0.312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0.021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0.264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0.367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how-to-meditate-for-anxiety / mindfulness-for-better-sleep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0.311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0.062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0.27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0.297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beginning-a-daily-mindfulness-practice / mindfulness-for-better-sleep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0.306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0.094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0.256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0.397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buddhist-approach-to-anger / three-ways-to-practice-patience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0.301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0.112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0.246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0.325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beginning-a-daily-mindfulness-practice / walking-meditation-step-by-step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0.295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0.068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0.285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0.187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mindfulness-for-better-sleep / mindfulness-morning-routine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0.285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0.022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0.265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0.234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3850" w:type="dxa"/>
            <w:vAlign w:val="center"/>
          </w:tcPr>
          <w:p>
            <w:pPr>
              <w:pStyle w:val="TableText"/>
            </w:pPr>
            <w:r>
              <w:t>mindful-listening-in-everyday-life / three-ways-to-practice-patience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0.279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0.051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0.374</w:t>
            </w:r>
          </w:p>
        </w:tc>
        <w:tc>
          <w:tcPr>
            <w:tcW w:w="880" w:type="dxa"/>
            <w:vAlign w:val="center"/>
          </w:tcPr>
          <w:p>
            <w:pPr>
              <w:pStyle w:val="TableText"/>
            </w:pPr>
            <w:r>
              <w:t>0.13</w:t>
            </w:r>
          </w:p>
        </w:tc>
        <w:tc>
          <w:tcPr>
            <w:tcW w:w="89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</w:tbl>
    <w:p>
      <w:pPr>
        <w:pStyle w:val="Heading1"/>
        <w:keepNext/>
      </w:pPr>
      <w:r>
        <w:t>Cluster Risk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50"/>
        <w:gridCol w:w="1100"/>
        <w:gridCol w:w="2650"/>
        <w:gridCol w:w="1250"/>
        <w:gridCol w:w="2310"/>
      </w:tblGrid>
      <w:tr>
        <w:tc>
          <w:tcPr>
            <w:tcW w:w="20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Cluster</w:t>
            </w:r>
          </w:p>
        </w:tc>
        <w:tc>
          <w:tcPr>
            <w:tcW w:w="11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Severity</w:t>
            </w:r>
          </w:p>
        </w:tc>
        <w:tc>
          <w:tcPr>
            <w:tcW w:w="26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Pages</w:t>
            </w:r>
          </w:p>
        </w:tc>
        <w:tc>
          <w:tcPr>
            <w:tcW w:w="12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Max similarity</w:t>
            </w:r>
          </w:p>
        </w:tc>
        <w:tc>
          <w:tcPr>
            <w:tcW w:w="231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Recommendation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Beginner Buddhism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Low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/articles/what-is-buddhism-beginner-guide/</w:t>
            </w:r>
          </w:p>
          <w:p>
            <w:pPr>
              <w:pStyle w:val="TableText"/>
            </w:pPr>
            <w:r>
              <w:t>/articles/buddhism-for-beginners-simple-guide/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0.332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separate; light role sharpening only.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Four Noble Truths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Low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/articles/four-noble-truths-explained-simply/</w:t>
            </w:r>
          </w:p>
          <w:p>
            <w:pPr>
              <w:pStyle w:val="TableText"/>
            </w:pPr>
            <w:r>
              <w:t>/articles/four-noble-truths-explained/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0.344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separate; light role sharpening only.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Noble Eightfold Path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/articles/noble-eightfold-path-practical-guide/</w:t>
            </w:r>
          </w:p>
          <w:p>
            <w:pPr>
              <w:pStyle w:val="TableText"/>
            </w:pPr>
            <w:r>
              <w:t>/articles/eightfold-path-explained/</w:t>
            </w:r>
          </w:p>
          <w:p>
            <w:pPr>
              <w:pStyle w:val="TableText"/>
            </w:pPr>
            <w:r>
              <w:t>/articles/eightfold-path-explained-daily-life/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0.381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Differentiate roles during relevant batch; avoid treating all semantically related pages as duplicate search intent.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Impermanence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/articles/impermanence-in-buddhism/</w:t>
            </w:r>
          </w:p>
          <w:p>
            <w:pPr>
              <w:pStyle w:val="TableText"/>
            </w:pPr>
            <w:r>
              <w:t>/articles/impermanence-in-buddhism-letting-go/</w:t>
            </w:r>
          </w:p>
          <w:p>
            <w:pPr>
              <w:pStyle w:val="TableText"/>
            </w:pPr>
            <w:r>
              <w:t>/articles/buddhist-teachings-on-impermanence/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0.354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Differentiate roles during relevant batch; avoid treating all semantically related pages as duplicate search intent.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Beginner Meditation and Mindfulness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/articles/how-to-meditate-for-beginners/</w:t>
            </w:r>
          </w:p>
          <w:p>
            <w:pPr>
              <w:pStyle w:val="TableText"/>
            </w:pPr>
            <w:r>
              <w:t>/articles/mindfulness-of-breathing-guide/</w:t>
            </w:r>
          </w:p>
          <w:p>
            <w:pPr>
              <w:pStyle w:val="TableText"/>
            </w:pPr>
            <w:r>
              <w:t>/articles/mindfulness-vs-meditation/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/articles/beginning-a-daily-mindfulness-practice/</w:t>
            </w:r>
          </w:p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/articles/mindfulness-for-better-sleep/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0.334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Prioritize for Batch 1/2 controlled rewrite. Preserve URLs; rebuild unique introductions, examples, and source notes.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Loving-kindness and Metta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/articles/loving-kindness-meditation-guide/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  <w:p>
            <w:pPr>
              <w:pStyle w:val="TableText"/>
            </w:pPr>
            <w:r>
              <w:t>/articles/metta-meditation-script/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0.332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Differentiate roles during relevant batch; avoid treating all semantically related pages as duplicate search intent.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Attachment, Non-attachment, and Letting Go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/articles/how-to-let-go-of-attachment-in-buddhism/</w:t>
            </w:r>
          </w:p>
          <w:p>
            <w:pPr>
              <w:pStyle w:val="TableText"/>
            </w:pPr>
            <w:r>
              <w:t>/articles/how-to-practice-non-attachment/</w:t>
            </w:r>
          </w:p>
          <w:p>
            <w:pPr>
              <w:pStyle w:val="TableText"/>
            </w:pPr>
            <w:r>
              <w:t>/articles/letting-go-without-giving-up/</w:t>
            </w:r>
          </w:p>
          <w:p>
            <w:pPr>
              <w:pStyle w:val="TableText"/>
            </w:pPr>
            <w:r>
              <w:t>/articles/impermanence-in-buddhism-letting-go/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0.341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Prioritize for Batch 1/2 controlled rewrite. Preserve URLs; rebuild unique introductions, examples, and source notes.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Compassion and Forgiveness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/articles/compassion-in-buddhism-beginner-guide/</w:t>
            </w:r>
          </w:p>
          <w:p>
            <w:pPr>
              <w:pStyle w:val="TableText"/>
            </w:pPr>
            <w:r>
              <w:t>/articles/compassion-as-a-daily-discipline/</w:t>
            </w:r>
          </w:p>
          <w:p>
            <w:pPr>
              <w:pStyle w:val="TableText"/>
            </w:pPr>
            <w:r>
              <w:t>/articles/buddhist-teachings-on-forgiveness/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0.326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Differentiate roles during relevant batch; avoid treating all semantically related pages as duplicate search intent.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Compassion, Forgiveness, Patience, Speech, Anger, and Listening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/articles/right-speech-buddhism/</w:t>
            </w:r>
          </w:p>
          <w:p>
            <w:pPr>
              <w:pStyle w:val="TableText"/>
            </w:pPr>
            <w:r>
              <w:t>/articles/three-ways-to-practice-patience/</w:t>
            </w:r>
          </w:p>
          <w:p>
            <w:pPr>
              <w:pStyle w:val="TableText"/>
            </w:pPr>
            <w:r>
              <w:t>/articles/mindful-listening-in-everyday-life/</w:t>
            </w:r>
          </w:p>
          <w:p>
            <w:pPr>
              <w:pStyle w:val="TableText"/>
            </w:pPr>
            <w:r>
              <w:t>/articles/buddhist-approach-to-anger/</w:t>
            </w:r>
          </w:p>
          <w:p>
            <w:pPr>
              <w:pStyle w:val="TableText"/>
            </w:pPr>
            <w:r>
              <w:t>/articles/buddhist-teachings-on-forgiveness/</w:t>
            </w:r>
          </w:p>
          <w:p>
            <w:pPr>
              <w:pStyle w:val="TableText"/>
            </w:pPr>
            <w:r>
              <w:t>/articles/compassion-as-a-daily-discipline/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0.309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Differentiate roles during relevant batch; avoid treating all semantically related pages as duplicate search intent.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Dhammapada Reflections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Low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/articles/dhammapada-reflection-what-we-think/</w:t>
            </w:r>
          </w:p>
          <w:p>
            <w:pPr>
              <w:pStyle w:val="TableText"/>
            </w:pPr>
            <w:r>
              <w:t>/articles/dhammapada-reflection-trained-mind/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0.227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separate; light role sharpening only.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Karma Standalone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Low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/articles/what-is-karma-in-buddhism/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as standalone and maintain source-aware support.</w:t>
            </w:r>
          </w:p>
        </w:tc>
      </w:tr>
      <w:tr>
        <w:tc>
          <w:tcPr>
            <w:tcW w:w="2050" w:type="dxa"/>
            <w:vAlign w:val="center"/>
          </w:tcPr>
          <w:p>
            <w:pPr>
              <w:pStyle w:val="TableText"/>
            </w:pPr>
            <w:r>
              <w:t>Peaceful Corner Standalone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Low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t>/articles/creating-a-peaceful-corner-at-home/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w="2310" w:type="dxa"/>
            <w:vAlign w:val="center"/>
          </w:tcPr>
          <w:p>
            <w:pPr>
              <w:pStyle w:val="TableText"/>
            </w:pPr>
            <w:r>
              <w:t>Keep as standalone and maintain source-aware support.</w:t>
            </w:r>
          </w:p>
        </w:tc>
      </w:tr>
    </w:tbl>
    <w:p>
      <w:pPr>
        <w:pStyle w:val="Heading1"/>
        <w:keepNext/>
      </w:pPr>
      <w:r>
        <w:t>Duplication Findings</w:t>
      </w:r>
    </w:p>
    <w:p>
      <w:r>
        <w:t>Exact paragraph duplication was not found. The repeated-language issue is concentrated in exact sentence groups, reusable practice/example scaffolding, and near-duplicate pair evidence.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00"/>
        <w:gridCol w:w="4560"/>
      </w:tblGrid>
      <w:tr>
        <w:tc>
          <w:tcPr>
            <w:tcW w:w="48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Duplicate sentence</w:t>
            </w:r>
          </w:p>
        </w:tc>
        <w:tc>
          <w:tcPr>
            <w:tcW w:w="45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Affected articles</w:t>
            </w:r>
          </w:p>
        </w:tc>
      </w:tr>
      <w:tr>
        <w:tc>
          <w:tcPr>
            <w:tcW w:w="4800" w:type="dxa"/>
            <w:vAlign w:val="center"/>
          </w:tcPr>
          <w:p>
            <w:pPr>
              <w:pStyle w:val="TableText"/>
            </w:pPr>
            <w:r>
              <w:t>It is a way to pause, notice conditions, and choose a response that creates less harm than habit would create on its own.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>/articles/buddhism-for-beginners-simple-guide/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  <w:p>
            <w:pPr>
              <w:pStyle w:val="TableText"/>
            </w:pPr>
            <w:r>
              <w:t>/articles/eightfold-path-explained-daily-life/</w:t>
            </w:r>
          </w:p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/articles/buddhist-teachings-on-impermanence/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/articles/buddhist-approach-to-anger/</w:t>
            </w:r>
          </w:p>
          <w:p>
            <w:pPr>
              <w:pStyle w:val="TableText"/>
            </w:pPr>
            <w:r>
              <w:t>...and 8 more</w:t>
            </w:r>
          </w:p>
        </w:tc>
      </w:tr>
      <w:tr>
        <w:tc>
          <w:tcPr>
            <w:tcW w:w="4800" w:type="dxa"/>
            <w:vAlign w:val="center"/>
          </w:tcPr>
          <w:p>
            <w:pPr>
              <w:pStyle w:val="TableText"/>
            </w:pPr>
            <w:r>
              <w:t>The size of the action matters less than the sincerity of the attention.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>/articles/buddhism-for-beginners-simple-guide/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  <w:p>
            <w:pPr>
              <w:pStyle w:val="TableText"/>
            </w:pPr>
            <w:r>
              <w:t>/articles/eightfold-path-explained-daily-life/</w:t>
            </w:r>
          </w:p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/articles/buddhist-teachings-on-impermanence/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/articles/buddhist-approach-to-anger/</w:t>
            </w:r>
          </w:p>
          <w:p>
            <w:pPr>
              <w:pStyle w:val="TableText"/>
            </w:pPr>
            <w:r>
              <w:t>...and 8 more</w:t>
            </w:r>
          </w:p>
        </w:tc>
      </w:tr>
      <w:tr>
        <w:tc>
          <w:tcPr>
            <w:tcW w:w="4800" w:type="dxa"/>
            <w:vAlign w:val="center"/>
          </w:tcPr>
          <w:p>
            <w:pPr>
              <w:pStyle w:val="TableText"/>
            </w:pPr>
            <w:r>
              <w:t>Buddhist-inspired practice often grows through modest repetitions that slowly change the tone of speech, thought, and behavior.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>/articles/buddhism-for-beginners-simple-guide/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  <w:p>
            <w:pPr>
              <w:pStyle w:val="TableText"/>
            </w:pPr>
            <w:r>
              <w:t>/articles/eightfold-path-explained-daily-life/</w:t>
            </w:r>
          </w:p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/articles/buddhist-teachings-on-impermanence/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/articles/buddhist-approach-to-anger/</w:t>
            </w:r>
          </w:p>
          <w:p>
            <w:pPr>
              <w:pStyle w:val="TableText"/>
            </w:pPr>
            <w:r>
              <w:t>...and 8 more</w:t>
            </w:r>
          </w:p>
        </w:tc>
      </w:tr>
      <w:tr>
        <w:tc>
          <w:tcPr>
            <w:tcW w:w="4800" w:type="dxa"/>
            <w:vAlign w:val="center"/>
          </w:tcPr>
          <w:p>
            <w:pPr>
              <w:pStyle w:val="TableText"/>
            </w:pPr>
            <w:r>
              <w:t>When it appears, pause long enough to feel the body and name what is happening in plain language.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>/articles/buddhism-for-beginners-simple-guide/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  <w:p>
            <w:pPr>
              <w:pStyle w:val="TableText"/>
            </w:pPr>
            <w:r>
              <w:t>/articles/eightfold-path-explained-daily-life/</w:t>
            </w:r>
          </w:p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/articles/buddhist-teachings-on-impermanence/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/articles/buddhist-approach-to-anger/</w:t>
            </w:r>
          </w:p>
          <w:p>
            <w:pPr>
              <w:pStyle w:val="TableText"/>
            </w:pPr>
            <w:r>
              <w:t>...and 8 more</w:t>
            </w:r>
          </w:p>
        </w:tc>
      </w:tr>
      <w:tr>
        <w:tc>
          <w:tcPr>
            <w:tcW w:w="4800" w:type="dxa"/>
            <w:vAlign w:val="center"/>
          </w:tcPr>
          <w:p>
            <w:pPr>
              <w:pStyle w:val="TableText"/>
            </w:pPr>
            <w:r>
              <w:t>If that pattern appears, do not turn it into another reason for self-criticism.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>/articles/buddhism-for-beginners-simple-guide/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  <w:p>
            <w:pPr>
              <w:pStyle w:val="TableText"/>
            </w:pPr>
            <w:r>
              <w:t>/articles/eightfold-path-explained-daily-life/</w:t>
            </w:r>
          </w:p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/articles/buddhist-teachings-on-impermanence/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/articles/buddhist-approach-to-anger/</w:t>
            </w:r>
          </w:p>
          <w:p>
            <w:pPr>
              <w:pStyle w:val="TableText"/>
            </w:pPr>
            <w:r>
              <w:t>...and 8 more</w:t>
            </w:r>
          </w:p>
        </w:tc>
      </w:tr>
      <w:tr>
        <w:tc>
          <w:tcPr>
            <w:tcW w:w="4800" w:type="dxa"/>
            <w:vAlign w:val="center"/>
          </w:tcPr>
          <w:p>
            <w:pPr>
              <w:pStyle w:val="TableText"/>
            </w:pPr>
            <w:r>
              <w:t>Notice it, soften the body, and begin again with the next available choice.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>/articles/buddhism-for-beginners-simple-guide/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  <w:p>
            <w:pPr>
              <w:pStyle w:val="TableText"/>
            </w:pPr>
            <w:r>
              <w:t>/articles/eightfold-path-explained-daily-life/</w:t>
            </w:r>
          </w:p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/articles/buddhist-teachings-on-impermanence/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/articles/buddhist-approach-to-anger/</w:t>
            </w:r>
          </w:p>
          <w:p>
            <w:pPr>
              <w:pStyle w:val="TableText"/>
            </w:pPr>
            <w:r>
              <w:t>...and 8 more</w:t>
            </w:r>
          </w:p>
        </w:tc>
      </w:tr>
      <w:tr>
        <w:tc>
          <w:tcPr>
            <w:tcW w:w="4800" w:type="dxa"/>
            <w:vAlign w:val="center"/>
          </w:tcPr>
          <w:p>
            <w:pPr>
              <w:pStyle w:val="TableText"/>
            </w:pPr>
            <w:r>
              <w:t>These related pages give the teaching more context and help connect reflection with meditation, speech, daily conduct, and simple Buddhist-inspired p...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>/articles/buddhism-for-beginners-simple-guide/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  <w:p>
            <w:pPr>
              <w:pStyle w:val="TableText"/>
            </w:pPr>
            <w:r>
              <w:t>/articles/eightfold-path-explained-daily-life/</w:t>
            </w:r>
          </w:p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/articles/buddhist-teachings-on-impermanence/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/articles/buddhist-approach-to-anger/</w:t>
            </w:r>
          </w:p>
          <w:p>
            <w:pPr>
              <w:pStyle w:val="TableText"/>
            </w:pPr>
            <w:r>
              <w:t>...and 8 more</w:t>
            </w:r>
          </w:p>
        </w:tc>
      </w:tr>
      <w:tr>
        <w:tc>
          <w:tcPr>
            <w:tcW w:w="4800" w:type="dxa"/>
            <w:vAlign w:val="center"/>
          </w:tcPr>
          <w:p>
            <w:pPr>
              <w:pStyle w:val="TableText"/>
            </w:pPr>
            <w:r>
              <w:t>Let it point toward one practical step rather than becoming another idea to collect.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>/articles/buddhism-for-beginners-simple-guide/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  <w:p>
            <w:pPr>
              <w:pStyle w:val="TableText"/>
            </w:pPr>
            <w:r>
              <w:t>/articles/eightfold-path-explained-daily-life/</w:t>
            </w:r>
          </w:p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/articles/buddhist-teachings-on-impermanence/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/articles/buddhist-approach-to-anger/</w:t>
            </w:r>
          </w:p>
          <w:p>
            <w:pPr>
              <w:pStyle w:val="TableText"/>
            </w:pPr>
            <w:r>
              <w:t>...and 8 more</w:t>
            </w:r>
          </w:p>
        </w:tc>
      </w:tr>
    </w:tbl>
    <w:p>
      <w:pPr>
        <w:pStyle w:val="Heading1"/>
        <w:keepNext/>
      </w:pPr>
      <w:r>
        <w:t>Human Writing Diagnostic</w:t>
      </w:r>
    </w:p>
    <w:p>
      <w:r>
        <w:t>The corpus reads useful and coherent, but several articles share a portable instructional rhythm: brief reassurance, generic daily-life example, three-step practice, reflection prompt, and similar FAQ patterns. That is the primary human-writing risk.</w:t>
      </w:r>
    </w:p>
    <w:p>
      <w:pPr>
        <w:pStyle w:val="ListParagraph"/>
        <w:numPr>
          <w:ilvl w:val="0"/>
          <w:numId w:val="1"/>
        </w:numPr>
      </w:pPr>
      <w:r>
        <w:t>Replace portable daily-life examples with article-specific scenes.</w:t>
      </w:r>
    </w:p>
    <w:p>
      <w:pPr>
        <w:pStyle w:val="ListParagraph"/>
        <w:numPr>
          <w:ilvl w:val="0"/>
          <w:numId w:val="1"/>
        </w:numPr>
      </w:pPr>
      <w:r>
        <w:t>Give each cluster sibling a visibly different opening problem, promise, and conclusion.</w:t>
      </w:r>
    </w:p>
    <w:p>
      <w:pPr>
        <w:pStyle w:val="ListParagraph"/>
        <w:numPr>
          <w:ilvl w:val="0"/>
          <w:numId w:val="1"/>
        </w:numPr>
      </w:pPr>
      <w:r>
        <w:t>Avoid identical practice scaffolds across meditation, patience, anger, attachment, and mindfulness pages.</w:t>
      </w:r>
    </w:p>
    <w:p>
      <w:pPr>
        <w:pStyle w:val="ListParagraph"/>
        <w:numPr>
          <w:ilvl w:val="0"/>
          <w:numId w:val="1"/>
        </w:numPr>
      </w:pPr>
      <w:r>
        <w:t>Keep shared renderer text out of duplication decisions and focus revisions on article-owned prose.</w:t>
      </w:r>
    </w:p>
    <w:p>
      <w:pPr>
        <w:pStyle w:val="Heading1"/>
        <w:keepNext/>
      </w:pPr>
      <w:r>
        <w:t>Editorial Workload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500"/>
        <w:gridCol w:w="2860"/>
      </w:tblGrid>
      <w:tr>
        <w:tc>
          <w:tcPr>
            <w:tcW w:w="65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Action</w:t>
            </w:r>
          </w:p>
        </w:tc>
        <w:tc>
          <w:tcPr>
            <w:tcW w:w="28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Articles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Cluster repositioning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12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Source review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16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Targeted rewrite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Wellbeing review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7</w:t>
            </w:r>
          </w:p>
        </w:tc>
      </w:tr>
    </w:tbl>
    <w:p>
      <w:pPr>
        <w:pStyle w:val="Heading2"/>
        <w:keepNext/>
      </w:pPr>
      <w:r>
        <w:t>Article Role Map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50"/>
        <w:gridCol w:w="1850"/>
        <w:gridCol w:w="1500"/>
        <w:gridCol w:w="1000"/>
        <w:gridCol w:w="2560"/>
      </w:tblGrid>
      <w:tr>
        <w:tc>
          <w:tcPr>
            <w:tcW w:w="24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Article</w:t>
            </w:r>
          </w:p>
        </w:tc>
        <w:tc>
          <w:tcPr>
            <w:tcW w:w="18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Cluster</w:t>
            </w:r>
          </w:p>
        </w:tc>
        <w:tc>
          <w:tcPr>
            <w:tcW w:w="15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Recommendation</w:t>
            </w:r>
          </w:p>
        </w:tc>
        <w:tc>
          <w:tcPr>
            <w:tcW w:w="10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Risk</w:t>
            </w:r>
          </w:p>
        </w:tc>
        <w:tc>
          <w:tcPr>
            <w:tcW w:w="25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Unique promise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what-is-buddhism-beginner-guide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Buddhism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Targeted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Define Buddhism as a path of understanding suffering, conduct, meditation, and wisdom without collapsing traditions into one slogan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four-noble-truths-explained-simply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Four Noble Truths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Explain the four truths through one everyday human example with minimal terminology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noble-eightfold-path-practical-guide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Noble Eightfold Path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Targeted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Turn the path into a repeatable review of view, intention, speech, action, livelihood, effort, mindfulness, and concentration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impermanence-in-buddhism-letting-go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Impermanence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Targeted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Connect impermanence specifically to softening control and demand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compassion-in-buddhism-beginner-guide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Compassion and Forgiveness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Define compassion in Buddhist terms without reducing it to niceness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how-to-meditate-for-beginners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Meditation and Mindfulness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Give meditation a distinct reader outcome tied to this URL.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mindfulness-of-breathing-guide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Meditation and Mindfulness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Teach breath practice as a specific anchor method rather than generic meditation advice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loving-kindness-meditation-guide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Loving-kindness and Metta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Targeted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Explain the structure and purpose of metta practice before scripting it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dhammapada-reflection-what-we-think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Dhammapada Reflections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Reflect on thought, intention, and consequence without claiming a direct translation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dhammapada-reflection-trained-mind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Dhammapada Reflections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Reflect on training the mind toward peace without duplicating the thought/intention reflection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eightfold-path-explained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Noble Eightfold Path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Targeted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Explain the path as wisdom, ethical conduct, and mental cultivation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how-to-let-go-of-attachment-in-buddhism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Attachment, Non-attachment, and Letting Go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Clarify attachment as clinging and show how release differs from not caring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right-speech-buddhism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Compassion, Forgiveness, Patience, Speech, Anger, and Listening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Turn Right Speech into filters for actual conversations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buddhist-wisdom-for-overthinking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Standalone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Use Buddhist attention and non-identification to respond to repetitive thought loops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impermanence-in-buddhism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Impermanence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Targeted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Define anicca and show why clear seeing can deepen care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what-is-karma-in-buddhism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Karma Standalone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Explain karma as intention, action, habit, and consequence without fate or blame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four-noble-truths-explained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Four Noble Truths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Give a careful explanation of the teaching's logic and common misunderstandings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mindfulness-vs-meditation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Meditation and Mindfulness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Targeted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Separate mindfulness as a quality of awareness from meditation as formal training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buddhist-teachings-on-forgiveness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Compassion and Forgiveness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Light polish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Distinguish forgiveness from excusing harm or abandoning boundaries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metta-meditation-script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Loving-kindness and Metta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Targeted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Provide a reusable metta script with minimal theory and clear pacing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buddhism-for-beginners-simple-guide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Buddhism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Give a first-week route through learning, meditation, and ethical attention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how-to-meditate-for-anxiety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Meditation and Mindfulness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Offer anxiety-aware meditation options with grounding and stopping permission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loving-kindness-meditation-beginners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Loving-kindness and Metta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Help first-time metta practitioners work with awkwardness, resistance, and boundaries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eightfold-path-explained-daily-life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Noble Eightfold Path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Show the path in concrete daily scenarios without repeating the full doctrine article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mindfulness-morning-routine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Meditation and Mindfulness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Design a realistic morning sequence that carries into the day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buddhist-teachings-on-impermanence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Impermanence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Apply impermanence to change and loss with compassion and clear limits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walking-meditation-step-by-step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Meditation and Mindfulness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Teach a body-based walking method with route, pace, and attention choices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buddhist-approach-to-anger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Compassion, Forgiveness, Patience, Speech, Anger, and Listening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Turn anger into a pause-understand-respond sequence without suppressing truth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mindfulness-for-better-sleep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Meditation and Mindfulness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Offer an evening mindfulness wind-down without promising sleep treatment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how-to-practice-non-attachment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Attachment, Non-attachment, and Letting Go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Make non-attachment a habit of caring without gripping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beginning-a-daily-mindfulness-practice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Beginner Meditation and Mindfulness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Focus on habit formation and return, not one-off meditation instructions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compassion-as-a-daily-discipline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Compassion and Forgiveness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Frame compassion as repeated conduct with boundaries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letting-go-without-giving-up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Attachment, Non-attachment, and Letting Go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Separate releasing control from abandoning wise effort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three-ways-to-practice-patience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Compassion, Forgiveness, Patience, Speech, Anger, and Listening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Give three distinct patience drills for irritation, delay, and uncertainty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mindful-listening-in-everyday-life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Compassion, Forgiveness, Patience, Speech, Anger, and Listening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Make listening the practice, not merely a prelude to better speaking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</w:pPr>
            <w:r>
              <w:t>creating-a-peaceful-corner-at-home</w:t>
            </w:r>
          </w:p>
        </w:tc>
        <w:tc>
          <w:tcPr>
            <w:tcW w:w="1850" w:type="dxa"/>
            <w:vAlign w:val="center"/>
          </w:tcPr>
          <w:p>
            <w:pPr>
              <w:pStyle w:val="TableText"/>
            </w:pPr>
            <w:r>
              <w:t>Peaceful Corner Standalone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>Substantial rewrite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>Help readers create a modest practice environment without consumerism or decoration pressure</w:t>
            </w:r>
          </w:p>
        </w:tc>
      </w:tr>
    </w:tbl>
    <w:p>
      <w:pPr>
        <w:pStyle w:val="Heading1"/>
        <w:keepNext/>
      </w:pPr>
      <w:r>
        <w:t>Source Awareness</w:t>
      </w:r>
    </w:p>
    <w:p>
      <w:r>
        <w:t>Every article requires source-aware review because the library teaches Buddhist concepts, meditation practices, or daily-life interpretations. The review should add support without inventing credentials, direct quotations, or named expert review.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900"/>
        <w:gridCol w:w="2460"/>
      </w:tblGrid>
      <w:tr>
        <w:tc>
          <w:tcPr>
            <w:tcW w:w="69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Common term/framework need</w:t>
            </w:r>
          </w:p>
        </w:tc>
        <w:tc>
          <w:tcPr>
            <w:tcW w:w="24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Articles affected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buddhist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mindfulness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32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sati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30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compassion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21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buddha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20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buddhism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19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right speech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9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eightfold path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attachment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8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impermanence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7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loving-kindness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7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non-attachment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6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early Buddhist texts or reputable public-domain translations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responsible meditation institutions and tradition-specific teaching resources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established Buddhist institutions and dictionaries/encyclopaedias of Buddhism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26</w:t>
            </w:r>
          </w:p>
        </w:tc>
      </w:tr>
      <w:tr>
        <w:tc>
          <w:tcPr>
            <w:tcW w:w="6900" w:type="dxa"/>
            <w:vAlign w:val="center"/>
          </w:tcPr>
          <w:p>
            <w:pPr>
              <w:pStyle w:val="TableText"/>
            </w:pPr>
            <w:r>
              <w:t>public-domain Dhammapada translations or clearly labelled paraphrase guidance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>2</w:t>
            </w:r>
          </w:p>
        </w:tc>
      </w:tr>
    </w:tbl>
    <w:p>
      <w:pPr>
        <w:pStyle w:val="Heading1"/>
        <w:keepNext/>
      </w:pPr>
      <w:r>
        <w:t>Wellbeing Review</w:t>
      </w:r>
    </w:p>
    <w:p>
      <w:r>
        <w:t>Seven articles need explicit wellbeing review. Two require new article-specific boundary language in a later implementation pass; five should retain and refine the existing educational/non-treatment boundary.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1750"/>
        <w:gridCol w:w="1100"/>
        <w:gridCol w:w="1250"/>
        <w:gridCol w:w="2860"/>
      </w:tblGrid>
      <w:tr>
        <w:tc>
          <w:tcPr>
            <w:tcW w:w="24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Article</w:t>
            </w:r>
          </w:p>
        </w:tc>
        <w:tc>
          <w:tcPr>
            <w:tcW w:w="17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Matched terms</w:t>
            </w:r>
          </w:p>
        </w:tc>
        <w:tc>
          <w:tcPr>
            <w:tcW w:w="11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Existing note</w:t>
            </w:r>
          </w:p>
        </w:tc>
        <w:tc>
          <w:tcPr>
            <w:tcW w:w="12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Targeted caution</w:t>
            </w:r>
          </w:p>
        </w:tc>
        <w:tc>
          <w:tcPr>
            <w:tcW w:w="28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Recommendation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impermanence-in-buddhism-letting-go</w:t>
            </w:r>
          </w:p>
        </w:tc>
        <w:tc>
          <w:tcPr>
            <w:tcW w:w="1750" w:type="dxa"/>
            <w:vAlign w:val="center"/>
          </w:tcPr>
          <w:p>
            <w:pPr>
              <w:pStyle w:val="TableText"/>
            </w:pPr>
            <w:r>
              <w:t>grief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No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Yes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Add article-specific boundary language in the later implementation pass; do not use identical boilerplate.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buddhist-wisdom-for-overthinking</w:t>
            </w:r>
          </w:p>
        </w:tc>
        <w:tc>
          <w:tcPr>
            <w:tcW w:w="1750" w:type="dxa"/>
            <w:vAlign w:val="center"/>
          </w:tcPr>
          <w:p>
            <w:pPr>
              <w:pStyle w:val="TableText"/>
            </w:pPr>
            <w:r>
              <w:t>anxiety, overthinking, sleep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Yes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No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Retain the existing educational/non-treatment boundary and make copy-specific refinements only if the article promises outcomes.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impermanence-in-buddhism</w:t>
            </w:r>
          </w:p>
        </w:tc>
        <w:tc>
          <w:tcPr>
            <w:tcW w:w="1750" w:type="dxa"/>
            <w:vAlign w:val="center"/>
          </w:tcPr>
          <w:p>
            <w:pPr>
              <w:pStyle w:val="TableText"/>
            </w:pPr>
            <w:r>
              <w:t>sleep, grief, healing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Yes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No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Retain the existing educational/non-treatment boundary and make copy-specific refinements only if the article promises outcomes.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how-to-meditate-for-anxiety</w:t>
            </w:r>
          </w:p>
        </w:tc>
        <w:tc>
          <w:tcPr>
            <w:tcW w:w="1750" w:type="dxa"/>
            <w:vAlign w:val="center"/>
          </w:tcPr>
          <w:p>
            <w:pPr>
              <w:pStyle w:val="TableText"/>
            </w:pPr>
            <w:r>
              <w:t>anxiety, overthinking, grief, trauma, professional care, symptoms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Yes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No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Retain the existing educational/non-treatment boundary and make copy-specific refinements only if the article promises outcomes.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buddhist-teachings-on-impermanence</w:t>
            </w:r>
          </w:p>
        </w:tc>
        <w:tc>
          <w:tcPr>
            <w:tcW w:w="1750" w:type="dxa"/>
            <w:vAlign w:val="center"/>
          </w:tcPr>
          <w:p>
            <w:pPr>
              <w:pStyle w:val="TableText"/>
            </w:pPr>
            <w:r>
              <w:t>grief, healing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No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Yes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Add article-specific boundary language in the later implementation pass; do not use identical boilerplate.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buddhist-approach-to-anger</w:t>
            </w:r>
          </w:p>
        </w:tc>
        <w:tc>
          <w:tcPr>
            <w:tcW w:w="1750" w:type="dxa"/>
            <w:vAlign w:val="center"/>
          </w:tcPr>
          <w:p>
            <w:pPr>
              <w:pStyle w:val="TableText"/>
            </w:pPr>
            <w:r>
              <w:t>anger, grief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Yes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No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Retain the existing educational/non-treatment boundary and make copy-specific refinements only if the article promises outcomes.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mindfulness-for-better-sleep</w:t>
            </w:r>
          </w:p>
        </w:tc>
        <w:tc>
          <w:tcPr>
            <w:tcW w:w="1750" w:type="dxa"/>
            <w:vAlign w:val="center"/>
          </w:tcPr>
          <w:p>
            <w:pPr>
              <w:pStyle w:val="TableText"/>
            </w:pPr>
            <w:r>
              <w:t>anxiety, sleep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>Yes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>No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Retain the existing educational/non-treatment boundary and make copy-specific refinements only if the article promises outcomes.</w:t>
            </w:r>
          </w:p>
        </w:tc>
      </w:tr>
    </w:tbl>
    <w:p>
      <w:pPr>
        <w:pStyle w:val="Heading1"/>
        <w:keepNext/>
      </w:pPr>
      <w:r>
        <w:t>Preservation Map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500"/>
        <w:gridCol w:w="2860"/>
      </w:tblGrid>
      <w:tr>
        <w:tc>
          <w:tcPr>
            <w:tcW w:w="65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Protected baseline</w:t>
            </w:r>
          </w:p>
        </w:tc>
        <w:tc>
          <w:tcPr>
            <w:tcW w:w="28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Count / result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Article URLs preserved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Heading IDs captured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367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Href baselines captured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550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Related article references captured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108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Learning hub references captured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142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Categories captured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Buddhist Wisdom, Meditation, Mindfulness, Practice, Reflection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Canonical baselines captured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6500" w:type="dxa"/>
            <w:vAlign w:val="center"/>
          </w:tcPr>
          <w:p>
            <w:pPr>
              <w:pStyle w:val="TableText"/>
            </w:pPr>
            <w:r>
              <w:t>Structured data baselines captured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</w:tbl>
    <w:p>
      <w:r>
        <w:t>Implementation must preserve article URLs, href destinations, heading IDs, categories, titles/H1 alignment, canonicals, and existing schema behavior unless a separate approval explicitly changes them.</w:t>
      </w:r>
    </w:p>
    <w:p>
      <w:pPr>
        <w:pStyle w:val="Heading1"/>
        <w:keepNext/>
      </w:pPr>
      <w:r>
        <w:t>Implementation Priority</w:t>
      </w:r>
    </w:p>
    <w:p>
      <w:pPr>
        <w:pStyle w:val="ListParagraph"/>
        <w:numPr>
          <w:ilvl w:val="0"/>
          <w:numId w:val="2"/>
        </w:numPr>
      </w:pPr>
      <w:r>
        <w:t>Approve Batch 1 role decisions for Noble Eightfold Path, Four Noble Truths, Beginner Buddhism, and Impermanence.</w:t>
      </w:r>
    </w:p>
    <w:p>
      <w:pPr>
        <w:pStyle w:val="ListParagraph"/>
        <w:numPr>
          <w:ilvl w:val="0"/>
          <w:numId w:val="2"/>
        </w:numPr>
      </w:pPr>
      <w:r>
        <w:t>Rewrite only article-owned prose in those clusters; preserve source records, URLs, links, heading IDs, categories, and layout behavior.</w:t>
      </w:r>
    </w:p>
    <w:p>
      <w:pPr>
        <w:pStyle w:val="ListParagraph"/>
        <w:numPr>
          <w:ilvl w:val="0"/>
          <w:numId w:val="2"/>
        </w:numPr>
      </w:pPr>
      <w:r>
        <w:t>Add source-aware support notes and glossary-style definitions where the article promise depends on Buddhist doctrine or meditation terminology.</w:t>
      </w:r>
    </w:p>
    <w:p>
      <w:pPr>
        <w:pStyle w:val="ListParagraph"/>
        <w:numPr>
          <w:ilvl w:val="0"/>
          <w:numId w:val="2"/>
        </w:numPr>
      </w:pPr>
      <w:r>
        <w:t>Run the second-audit validator after edits to prevent metadata, link, fragment, and similarity regressions.</w:t>
      </w:r>
    </w:p>
    <w:p>
      <w:r>
        <w:br w:type="page"/>
      </w:r>
    </w:p>
    <w:p>
      <w:pPr>
        <w:pStyle w:val="Heading1"/>
        <w:keepNext/>
      </w:pPr>
      <w:r>
        <w:t>Appendix: Generated Audit Files</w:t>
      </w:r>
    </w:p>
    <w:p>
      <w:pPr>
        <w:pStyle w:val="ListParagraph"/>
        <w:numPr>
          <w:ilvl w:val="0"/>
          <w:numId w:val="1"/>
        </w:numPr>
      </w:pPr>
      <w:r>
        <w:t>docs/audits/articles/ECHOBUDDHA_AUDIT_RECONCILIATION.md</w:t>
      </w:r>
    </w:p>
    <w:p>
      <w:pPr>
        <w:pStyle w:val="ListParagraph"/>
        <w:numPr>
          <w:ilvl w:val="0"/>
          <w:numId w:val="1"/>
        </w:numPr>
      </w:pPr>
      <w:r>
        <w:t>docs/audits/articles/ECHOBUDDHA_CANONICAL_ARTICLE_AUDIT.json</w:t>
      </w:r>
    </w:p>
    <w:p>
      <w:pPr>
        <w:pStyle w:val="ListParagraph"/>
        <w:numPr>
          <w:ilvl w:val="0"/>
          <w:numId w:val="1"/>
        </w:numPr>
      </w:pPr>
      <w:r>
        <w:t>docs/audits/articles/ECHOBUDDHA_PAIRWISE_SIMILARITY_MATRIX.csv</w:t>
      </w:r>
    </w:p>
    <w:p>
      <w:pPr>
        <w:pStyle w:val="ListParagraph"/>
        <w:numPr>
          <w:ilvl w:val="0"/>
          <w:numId w:val="1"/>
        </w:numPr>
      </w:pPr>
      <w:r>
        <w:t>docs/audits/articles/ECHOBUDDHA_EXACT_DUPLICATION_REPORT.md</w:t>
      </w:r>
    </w:p>
    <w:p>
      <w:pPr>
        <w:pStyle w:val="ListParagraph"/>
        <w:numPr>
          <w:ilvl w:val="0"/>
          <w:numId w:val="1"/>
        </w:numPr>
      </w:pPr>
      <w:r>
        <w:t>docs/audits/articles/ECHOBUDDHA_HUMAN_WRITING_DIAGNOSTIC.md</w:t>
      </w:r>
    </w:p>
    <w:p>
      <w:pPr>
        <w:pStyle w:val="ListParagraph"/>
        <w:numPr>
          <w:ilvl w:val="0"/>
          <w:numId w:val="1"/>
        </w:numPr>
      </w:pPr>
      <w:r>
        <w:t>docs/audits/articles/ECHOBUDDHA_ARTICLE_ROLE_MAP.md</w:t>
      </w:r>
    </w:p>
    <w:p>
      <w:pPr>
        <w:pStyle w:val="ListParagraph"/>
        <w:numPr>
          <w:ilvl w:val="0"/>
          <w:numId w:val="1"/>
        </w:numPr>
      </w:pPr>
      <w:r>
        <w:t>docs/audits/articles/ECHOBUDDHA_CLUSTER_DIFFERENTIATION_PLAN.md</w:t>
      </w:r>
    </w:p>
    <w:p>
      <w:pPr>
        <w:pStyle w:val="ListParagraph"/>
        <w:numPr>
          <w:ilvl w:val="0"/>
          <w:numId w:val="1"/>
        </w:numPr>
      </w:pPr>
      <w:r>
        <w:t>docs/audits/articles/ECHOBUDDHA_ARTICLE_EDITORIAL_SPECIFICATIONS.md</w:t>
      </w:r>
    </w:p>
    <w:p>
      <w:pPr>
        <w:pStyle w:val="ListParagraph"/>
        <w:numPr>
          <w:ilvl w:val="0"/>
          <w:numId w:val="1"/>
        </w:numPr>
      </w:pPr>
      <w:r>
        <w:t>docs/audits/articles/ECHOBUDDHA_SOURCE_AWARENESS_PLAN.md</w:t>
      </w:r>
    </w:p>
    <w:p>
      <w:pPr>
        <w:pStyle w:val="ListParagraph"/>
        <w:numPr>
          <w:ilvl w:val="0"/>
          <w:numId w:val="1"/>
        </w:numPr>
      </w:pPr>
      <w:r>
        <w:t>docs/audits/articles/ECHOBUDDHA_WELLBEING_CONTENT_REVIEW.md</w:t>
      </w:r>
    </w:p>
    <w:p>
      <w:pPr>
        <w:pStyle w:val="ListParagraph"/>
        <w:numPr>
          <w:ilvl w:val="0"/>
          <w:numId w:val="1"/>
        </w:numPr>
      </w:pPr>
      <w:r>
        <w:t>docs/audits/articles/ECHOBUDDHA_INTERNAL_LINK_PRESERVATION_MAP.json</w:t>
      </w:r>
    </w:p>
    <w:p>
      <w:pPr>
        <w:pStyle w:val="ListParagraph"/>
        <w:numPr>
          <w:ilvl w:val="0"/>
          <w:numId w:val="1"/>
        </w:numPr>
      </w:pPr>
      <w:r>
        <w:t>docs/audits/articles/ECHOBUDDHA_IMPLEMENTATION_PRIORITY_MATRIX.csv</w:t>
      </w:r>
    </w:p>
    <w:p>
      <w:pPr>
        <w:pStyle w:val="ListParagraph"/>
        <w:numPr>
          <w:ilvl w:val="0"/>
          <w:numId w:val="1"/>
        </w:numPr>
      </w:pPr>
      <w:r>
        <w:t>docs/audits/articles/ECHOBUDDHA_SECOND_AUDIT_FINAL_REPORT.md</w:t>
      </w:r>
    </w:p>
    <w:p>
      <w:pPr>
        <w:pStyle w:val="ListParagraph"/>
        <w:numPr>
          <w:ilvl w:val="0"/>
          <w:numId w:val="1"/>
        </w:numPr>
      </w:pPr>
      <w:r>
        <w:t>docs/audits/articles/Echo-Buddha-Second-Article-Audit.docx</w:t>
      </w:r>
    </w:p>
    <w:p>
      <w:pPr>
        <w:pStyle w:val="Heading1"/>
        <w:keepNext/>
      </w:pPr>
      <w:r>
        <w:t>Appendix: Validation Commands</w:t>
      </w:r>
    </w:p>
    <w:p>
      <w:pPr>
        <w:pStyle w:val="ListParagraph"/>
        <w:numPr>
          <w:ilvl w:val="0"/>
          <w:numId w:val="1"/>
        </w:numPr>
      </w:pPr>
      <w:r>
        <w:t>node scripts/generate-second-article-audit.mjs</w:t>
      </w:r>
    </w:p>
    <w:p>
      <w:pPr>
        <w:pStyle w:val="ListParagraph"/>
        <w:numPr>
          <w:ilvl w:val="0"/>
          <w:numId w:val="1"/>
        </w:numPr>
      </w:pPr>
      <w:r>
        <w:t>node scripts/validate-second-article-audit.mjs</w:t>
      </w:r>
    </w:p>
    <w:p>
      <w:pPr>
        <w:pStyle w:val="ListParagraph"/>
        <w:numPr>
          <w:ilvl w:val="0"/>
          <w:numId w:val="1"/>
        </w:numPr>
      </w:pPr>
      <w:r>
        <w:t>npm install</w:t>
      </w:r>
    </w:p>
    <w:p>
      <w:pPr>
        <w:pStyle w:val="ListParagraph"/>
        <w:numPr>
          <w:ilvl w:val="0"/>
          <w:numId w:val="1"/>
        </w:numPr>
      </w:pPr>
      <w:r>
        <w:t>npm run build</w:t>
      </w:r>
    </w:p>
    <w:p>
      <w:r>
        <w:t>The package-lock metadata churn from npm install was restored after validation because the task scope allows audit documents and scripts only.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rPr>
        <w:color w:val="555555"/>
        <w:sz w:val="18"/>
        <w:szCs w:val="18"/>
      </w:rPr>
      <w:t xml:space="preserve">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  <w:jc w:val="right"/>
      <w:pBdr>
        <w:bottom w:val="single" w:sz="4" w:space="4" w:color="D9E2EC"/>
      </w:pBdr>
    </w:pPr>
    <w:r>
      <w:rPr>
        <w:color w:val="555555"/>
        <w:sz w:val="18"/>
        <w:szCs w:val="18"/>
      </w:rPr>
      <w:t>Echo Buddha Second Article Audit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120" w:line="264" w:lineRule="auto"/>
    </w:pPr>
    <w:rPr>
      <w:rFonts w:ascii="Calibri" w:hAnsi="Calibri" w:eastAsia="Calibri" w:cs="Calibri"/>
      <w:sz w:val="22"/>
      <w:szCs w:val="22"/>
    </w:rPr>
  </w:style>
  <w:style w:type="paragraph" w:styleId="Title">
    <w:name w:val="Title"/>
    <w:basedOn w:val="Normal"/>
    <w:pPr>
      <w:spacing w:before="0" w:after="120" w:line="264" w:lineRule="auto"/>
    </w:pPr>
    <w:rPr>
      <w:b/>
      <w:rFonts w:ascii="Calibri" w:hAnsi="Calibri" w:eastAsia="Calibri" w:cs="Calibri"/>
      <w:sz w:val="40"/>
      <w:szCs w:val="40"/>
      <w:color w:val="0B2545"/>
    </w:rPr>
  </w:style>
  <w:style w:type="paragraph" w:styleId="Subtitle">
    <w:name w:val="Subtitle"/>
    <w:basedOn w:val="Normal"/>
    <w:pPr>
      <w:spacing w:before="0" w:after="180" w:line="264" w:lineRule="auto"/>
    </w:pPr>
    <w:rPr>
      <w:rFonts w:ascii="Calibri" w:hAnsi="Calibri" w:eastAsia="Calibri" w:cs="Calibri"/>
      <w:sz w:val="24"/>
      <w:szCs w:val="24"/>
      <w:color w:val="555555"/>
    </w:rPr>
  </w:style>
  <w:style w:type="paragraph" w:styleId="Heading1">
    <w:name w:val="heading 1"/>
    <w:basedOn w:val="Normal"/>
    <w:pPr>
      <w:keepNext/>
      <w:spacing w:before="320" w:after="160" w:line="264" w:lineRule="auto"/>
    </w:pPr>
    <w:rPr>
      <w:b/>
      <w:rFonts w:ascii="Calibri" w:hAnsi="Calibri" w:eastAsia="Calibri" w:cs="Calibri"/>
      <w:sz w:val="32"/>
      <w:szCs w:val="32"/>
      <w:color w:val="2E74B5"/>
    </w:rPr>
  </w:style>
  <w:style w:type="paragraph" w:styleId="Heading2">
    <w:name w:val="heading 2"/>
    <w:basedOn w:val="Normal"/>
    <w:pPr>
      <w:keepNext/>
      <w:spacing w:before="240" w:after="120" w:line="264" w:lineRule="auto"/>
    </w:pPr>
    <w:rPr>
      <w:b/>
      <w:rFonts w:ascii="Calibri" w:hAnsi="Calibri" w:eastAsia="Calibri" w:cs="Calibri"/>
      <w:sz w:val="26"/>
      <w:szCs w:val="26"/>
      <w:color w:val="2E74B5"/>
    </w:rPr>
  </w:style>
  <w:style w:type="paragraph" w:styleId="Heading3">
    <w:name w:val="heading 3"/>
    <w:basedOn w:val="Normal"/>
    <w:pPr>
      <w:keepNext/>
      <w:spacing w:before="160" w:after="80" w:line="264" w:lineRule="auto"/>
    </w:pPr>
    <w:rPr>
      <w:b/>
      <w:rFonts w:ascii="Calibri" w:hAnsi="Calibri" w:eastAsia="Calibri" w:cs="Calibri"/>
      <w:sz w:val="24"/>
      <w:szCs w:val="24"/>
      <w:color w:val="1F4D78"/>
    </w:rPr>
  </w:style>
  <w:style w:type="paragraph" w:styleId="ListParagraph">
    <w:name w:val="List Paragraph"/>
    <w:basedOn w:val="Normal"/>
    <w:pPr>
      <w:spacing w:before="0" w:after="160" w:line="280" w:lineRule="auto"/>
      <w:ind w:left="720" w:hanging="360"/>
    </w:pPr>
    <w:rPr>
      <w:rFonts w:ascii="Calibri" w:hAnsi="Calibri" w:eastAsia="Calibri" w:cs="Calibri"/>
      <w:sz w:val="22"/>
      <w:szCs w:val="22"/>
    </w:rPr>
  </w:style>
  <w:style w:type="paragraph" w:styleId="TableText">
    <w:name w:val="Table Text"/>
    <w:basedOn w:val="Normal"/>
    <w:pPr>
      <w:spacing w:before="0" w:after="60" w:line="264" w:lineRule="auto"/>
    </w:pPr>
    <w:rPr>
      <w:rFonts w:ascii="Calibri" w:hAnsi="Calibri" w:eastAsia="Calibri" w:cs="Calibri"/>
      <w:sz w:val="18"/>
      <w:szCs w:val="18"/>
    </w:rPr>
  </w:style>
  <w:style w:type="paragraph" w:styleId="Header">
    <w:name w:val="Header"/>
    <w:basedOn w:val="Normal"/>
    <w:pPr>
      <w:spacing w:before="0" w:after="60" w:line="240" w:lineRule="auto"/>
    </w:pPr>
    <w:rPr>
      <w:rFonts w:ascii="Calibri" w:hAnsi="Calibri" w:eastAsia="Calibri" w:cs="Calibri"/>
      <w:sz w:val="18"/>
      <w:szCs w:val="18"/>
      <w:color w:val="555555"/>
    </w:rPr>
  </w:style>
  <w:style w:type="paragraph" w:styleId="Footer">
    <w:name w:val="Footer"/>
    <w:basedOn w:val="Normal"/>
    <w:pPr>
      <w:spacing w:before="0" w:after="0" w:line="240" w:lineRule="auto"/>
    </w:pPr>
    <w:rPr>
      <w:rFonts w:ascii="Calibri" w:hAnsi="Calibri" w:eastAsia="Calibri" w:cs="Calibri"/>
      <w:sz w:val="18"/>
      <w:szCs w:val="18"/>
      <w:color w:val="555555"/>
    </w:rPr>
  </w:style>
  <w:style w:type="table" w:styleId="AuditTable">
    <w:name w:val="Audit Table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DocSecurity>0</DocSecurity>
  <ScaleCrop>false</ScaleCrop>
  <Company>Echo Buddha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Buddha Second Article Audit</dc:title>
  <dc:subject>Reconciliation, layered similarity evidence, editorial planning, source awareness, and implementation readiness</dc:subject>
  <dc:creator>OpenAI Codex</dc:creator>
  <cp:lastModifiedBy>OpenAI Codex</cp:lastModifiedBy>
  <dcterms:created xsi:type="dcterms:W3CDTF">2026-07-13T10:00:01Z</dcterms:created>
  <dcterms:modified xsi:type="dcterms:W3CDTF">2026-07-13T10:00:01Z</dcterms:modified>
</cp:coreProperties>
</file>