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Echo Buddha Non-Article Phase 2 Final Audit</w:t>
      </w:r>
    </w:p>
    <w:p>
      <w:pPr>
        <w:pStyle w:val="Subtitle"/>
      </w:pPr>
      <w:r>
        <w:t xml:space="preserve">Quote system, daily-reflection system, preservation validation, quality gates, SEO/indexing policy, and AdSense-readiness evidence.</w:t>
      </w:r>
    </w:p>
    <w:p>
      <w:pPr>
        <w:pStyle w:val="Normal"/>
      </w:pPr>
      <w:r>
        <w:t xml:space="preserve">Prepared: 2026-07-15</w:t>
      </w:r>
    </w:p>
    <w:p>
      <w:pPr>
        <w:pStyle w:val="Normal"/>
      </w:pPr>
      <w:r>
        <w:t xml:space="preserve">Repository: Echo Buddha</w:t>
      </w:r>
    </w:p>
    <w:p>
      <w:pPr>
        <w:pStyle w:val="Normal"/>
      </w:pPr>
      <w:r>
        <w:t xml:space="preserve">Website: https://echobuddha.com/</w:t>
      </w:r>
    </w:p>
    <w:p>
      <w:pPr>
        <w:pStyle w:val="Normal"/>
      </w:pPr>
      <w:r>
        <w:t xml:space="preserve">Preset: standard_business_brief; US Letter, 1 inch margins, Calibri 11 pt body, restrained business-report tables.</w:t>
      </w:r>
    </w:p>
    <w:p>
      <w:pPr>
        <w:pStyle w:val="Heading1"/>
      </w:pPr>
      <w:r>
        <w:t xml:space="preserve">Executive Verdict</w:t>
      </w:r>
    </w:p>
    <w:p>
      <w:pPr>
        <w:pStyle w:val="Normal"/>
      </w:pPr>
      <w:r>
        <w:t xml:space="preserve">Phase 2 is implemented and validated. The work improves quote-origin transparency, quote-story differentiation, daily-reflection specificity, recurring Today-route semantics, wellbeing notes, and final evidence reporting while preserving the non-article URL/canonical/navigation surface.</w:t>
      </w:r>
    </w:p>
    <w:tbl>
      <w:tblPr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200"/>
        <w:gridCol w:w="2600"/>
        <w:gridCol w:w="4560"/>
      </w:tblGrid>
      <w:tr>
        <w:tc>
          <w:tcPr>
            <w:tcW w:w="2200" w:type="dxa"/>
            <w:shd w:fill="F2F4F7"/>
          </w:tcPr>
          <w:p>
            <w:pPr>
              <w:spacing w:after="60" w:line="280" w:lineRule="auto"/>
            </w:pPr>
            <w:r>
              <w:rPr>
                <w:b/>
                <w:sz w:val="20"/>
                <w:szCs w:val="20"/>
              </w:rPr>
              <w:t xml:space="preserve">Area</w:t>
            </w:r>
          </w:p>
        </w:tc>
        <w:tc>
          <w:tcPr>
            <w:tcW w:w="2600" w:type="dxa"/>
            <w:shd w:fill="F2F4F7"/>
          </w:tcPr>
          <w:p>
            <w:pPr>
              <w:spacing w:after="60" w:line="280" w:lineRule="auto"/>
            </w:pPr>
            <w:r>
              <w:rPr>
                <w:b/>
                <w:sz w:val="20"/>
                <w:szCs w:val="20"/>
              </w:rPr>
              <w:t xml:space="preserve">Verdict</w:t>
            </w:r>
          </w:p>
        </w:tc>
        <w:tc>
          <w:tcPr>
            <w:tcW w:w="4560" w:type="dxa"/>
            <w:shd w:fill="F2F4F7"/>
          </w:tcPr>
          <w:p>
            <w:pPr>
              <w:spacing w:after="60" w:line="280" w:lineRule="auto"/>
            </w:pPr>
            <w:r>
              <w:rPr>
                <w:b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w="22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Implementation</w:t>
            </w:r>
          </w:p>
        </w:tc>
        <w:tc>
          <w:tcPr>
            <w:tcW w:w="26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Complete</w:t>
            </w:r>
          </w:p>
        </w:tc>
        <w:tc>
          <w:tcPr>
            <w:tcW w:w="456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Quote and daily-reflection systems updated; final build succeeded.</w:t>
            </w:r>
          </w:p>
        </w:tc>
      </w:tr>
      <w:tr>
        <w:tc>
          <w:tcPr>
            <w:tcW w:w="22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Preservation</w:t>
            </w:r>
          </w:p>
        </w:tc>
        <w:tc>
          <w:tcPr>
            <w:tcW w:w="26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w="456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0 failures, 0 warnings across 264 final routes.</w:t>
            </w:r>
          </w:p>
        </w:tc>
      </w:tr>
      <w:tr>
        <w:tc>
          <w:tcPr>
            <w:tcW w:w="22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Quality gates</w:t>
            </w:r>
          </w:p>
        </w:tc>
        <w:tc>
          <w:tcPr>
            <w:tcW w:w="26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W w:w="456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13 gates, 0 errors, 1 documented warning.</w:t>
            </w:r>
          </w:p>
        </w:tc>
      </w:tr>
      <w:tr>
        <w:tc>
          <w:tcPr>
            <w:tcW w:w="22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AdSense readiness</w:t>
            </w:r>
          </w:p>
        </w:tc>
        <w:tc>
          <w:tcPr>
            <w:tcW w:w="26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Conditionally ready after named residual blockers</w:t>
            </w:r>
          </w:p>
        </w:tc>
        <w:tc>
          <w:tcPr>
            <w:tcW w:w="456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Source blockers are zero; residual quote-story similarity and separate policy/account review remain.</w:t>
            </w:r>
          </w:p>
        </w:tc>
      </w:tr>
      <w:tr>
        <w:tc>
          <w:tcPr>
            <w:tcW w:w="22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Deployment</w:t>
            </w:r>
          </w:p>
        </w:tc>
        <w:tc>
          <w:tcPr>
            <w:tcW w:w="26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Not performed</w:t>
            </w:r>
          </w:p>
        </w:tc>
        <w:tc>
          <w:tcPr>
            <w:tcW w:w="456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No push or deploy performed; ads remain disabled.</w:t>
            </w:r>
          </w:p>
        </w:tc>
      </w:tr>
    </w:tbl>
    <w:p>
      <w:pPr>
        <w:pStyle w:val="Heading1"/>
      </w:pPr>
      <w:r>
        <w:t xml:space="preserve">Scope And Counts</w:t>
      </w:r>
    </w:p>
    <w:tbl>
      <w:tblPr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200"/>
        <w:gridCol w:w="5160"/>
      </w:tblGrid>
      <w:tr>
        <w:tc>
          <w:tcPr>
            <w:tcW w:w="4200" w:type="dxa"/>
            <w:shd w:fill="F2F4F7"/>
          </w:tcPr>
          <w:p>
            <w:pPr>
              <w:spacing w:after="60" w:line="280" w:lineRule="auto"/>
            </w:pPr>
            <w:r>
              <w:rPr>
                <w:b/>
                <w:sz w:val="20"/>
                <w:szCs w:val="20"/>
              </w:rPr>
              <w:t xml:space="preserve">Metric</w:t>
            </w:r>
          </w:p>
        </w:tc>
        <w:tc>
          <w:tcPr>
            <w:tcW w:w="5160" w:type="dxa"/>
            <w:shd w:fill="F2F4F7"/>
          </w:tcPr>
          <w:p>
            <w:pPr>
              <w:spacing w:after="60" w:line="280" w:lineRule="auto"/>
            </w:pPr>
            <w:r>
              <w:rPr>
                <w:b/>
                <w:sz w:val="20"/>
                <w:szCs w:val="20"/>
              </w:rPr>
              <w:t xml:space="preserve">Final value</w:t>
            </w:r>
          </w:p>
        </w:tc>
      </w:tr>
      <w:tr>
        <w:tc>
          <w:tcPr>
            <w:tcW w:w="42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Generated non-article routes</w:t>
            </w:r>
          </w:p>
        </w:tc>
        <w:tc>
          <w:tcPr>
            <w:tcW w:w="516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264</w:t>
            </w:r>
          </w:p>
        </w:tc>
      </w:tr>
      <w:tr>
        <w:tc>
          <w:tcPr>
            <w:tcW w:w="42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Quote story routes</w:t>
            </w:r>
          </w:p>
        </w:tc>
        <w:tc>
          <w:tcPr>
            <w:tcW w:w="516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153</w:t>
            </w:r>
          </w:p>
        </w:tc>
      </w:tr>
      <w:tr>
        <w:tc>
          <w:tcPr>
            <w:tcW w:w="42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Indexable quote stories</w:t>
            </w:r>
          </w:p>
        </w:tc>
        <w:tc>
          <w:tcPr>
            <w:tcW w:w="516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103</w:t>
            </w:r>
          </w:p>
        </w:tc>
      </w:tr>
      <w:tr>
        <w:tc>
          <w:tcPr>
            <w:tcW w:w="42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Noindex quote stories</w:t>
            </w:r>
          </w:p>
        </w:tc>
        <w:tc>
          <w:tcPr>
            <w:tcW w:w="516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w="42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Daily reflection detail routes</w:t>
            </w:r>
          </w:p>
        </w:tc>
        <w:tc>
          <w:tcPr>
            <w:tcW w:w="516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w="42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Today route</w:t>
            </w:r>
          </w:p>
        </w:tc>
        <w:tc>
          <w:tcPr>
            <w:tcW w:w="516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1 stable UTC-selected utility route</w:t>
            </w:r>
          </w:p>
        </w:tc>
      </w:tr>
      <w:tr>
        <w:tc>
          <w:tcPr>
            <w:tcW w:w="42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Source review blockers</w:t>
            </w:r>
          </w:p>
        </w:tc>
        <w:tc>
          <w:tcPr>
            <w:tcW w:w="516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42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Protected article edits intended</w:t>
            </w:r>
          </w:p>
        </w:tc>
        <w:tc>
          <w:tcPr>
            <w:tcW w:w="516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42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Phase 1 improvements</w:t>
            </w:r>
          </w:p>
        </w:tc>
        <w:tc>
          <w:tcPr>
            <w:tcW w:w="516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Preserved</w:t>
            </w:r>
          </w:p>
        </w:tc>
      </w:tr>
    </w:tbl>
    <w:p>
      <w:pPr>
        <w:pStyle w:val="Heading1"/>
      </w:pPr>
      <w:r>
        <w:t xml:space="preserve">Phase 2 Implementation Summary</w:t>
      </w:r>
    </w:p>
    <w:p>
      <w:pPr>
        <w:pStyle w:val="Heading2"/>
      </w:pPr>
      <w:r>
        <w:t xml:space="preserve">Quote System</w:t>
      </w:r>
    </w:p>
    <w:p>
      <w:pPr>
        <w:pStyle w:val="Normal"/>
      </w:pPr>
      <w:r>
        <w:t xml:space="preserve">Every quote record now receives an explicit quote-origin status. The default status is Original Echo Buddha quote, with visible page disclosure that the text is original editorial writing inspired by Buddhist practice and is not a direct Buddha quote, scripture translation, or historical saying.</w:t>
      </w:r>
    </w:p>
    <w:p>
      <w:pPr>
        <w:pStyle w:val="Normal"/>
      </w:pPr>
      <w:r>
        <w:t xml:space="preserve">Quote story pages now surface the status label, include a Quote Status block, add structured-data credit/abstract values, use route-specific source notes, and carry more specific daily-life and practice framing.</w:t>
      </w:r>
    </w:p>
    <w:tbl>
      <w:tblPr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400"/>
        <w:gridCol w:w="5960"/>
      </w:tblGrid>
      <w:tr>
        <w:tc>
          <w:tcPr>
            <w:tcW w:w="3400" w:type="dxa"/>
            <w:shd w:fill="F2F4F7"/>
          </w:tcPr>
          <w:p>
            <w:pPr>
              <w:spacing w:after="60" w:line="280" w:lineRule="auto"/>
            </w:pPr>
            <w:r>
              <w:rPr>
                <w:b/>
                <w:sz w:val="20"/>
                <w:szCs w:val="20"/>
              </w:rPr>
              <w:t xml:space="preserve">Quote evidence file</w:t>
            </w:r>
          </w:p>
        </w:tc>
        <w:tc>
          <w:tcPr>
            <w:tcW w:w="5960" w:type="dxa"/>
            <w:shd w:fill="F2F4F7"/>
          </w:tcPr>
          <w:p>
            <w:pPr>
              <w:spacing w:after="60" w:line="280" w:lineRule="auto"/>
            </w:pPr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34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PHASE_2_QUOTE_STATUS_REGISTER.csv</w:t>
            </w:r>
          </w:p>
        </w:tc>
        <w:tc>
          <w:tcPr>
            <w:tcW w:w="596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All 153 quote records with route, theme, status label, and source note.</w:t>
            </w:r>
          </w:p>
        </w:tc>
      </w:tr>
      <w:tr>
        <w:tc>
          <w:tcPr>
            <w:tcW w:w="34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PHASE_2_QUOTE_INDEXABILITY_MATRIX.csv</w:t>
            </w:r>
          </w:p>
        </w:tc>
        <w:tc>
          <w:tcPr>
            <w:tcW w:w="596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Previous/final robots, sitemap membership, internal search membership, and indexability class.</w:t>
            </w:r>
          </w:p>
        </w:tc>
      </w:tr>
      <w:tr>
        <w:tc>
          <w:tcPr>
            <w:tcW w:w="34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PHASE_2_QUOTE_STORY_CHANGE_MATRIX.csv</w:t>
            </w:r>
          </w:p>
        </w:tc>
        <w:tc>
          <w:tcPr>
            <w:tcW w:w="596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Per-story material-change matrix.</w:t>
            </w:r>
          </w:p>
        </w:tc>
      </w:tr>
    </w:tbl>
    <w:p>
      <w:pPr>
        <w:pStyle w:val="Heading2"/>
      </w:pPr>
      <w:r>
        <w:t xml:space="preserve">Daily Reflections</w:t>
      </w:r>
    </w:p>
    <w:p>
      <w:pPr>
        <w:pStyle w:val="Normal"/>
      </w:pPr>
      <w:r>
        <w:t xml:space="preserve">All 30 daily reflection detail routes now have a specific form label, central observation, real-life situation, and natural next step. Sensitive routes include wellbeing notes that clarify boundaries without turning reflective content into medical, crisis, or professional advice.</w:t>
      </w:r>
    </w:p>
    <w:p>
      <w:pPr>
        <w:pStyle w:val="Normal"/>
      </w:pPr>
      <w:r>
        <w:t xml:space="preserve">The Today route remains /daily-reflections/today/ with stable canonical URL and stable route purpose. It now uses WebPage schema instead of Article schema and rotates by UTC day-of-year.</w:t>
      </w:r>
    </w:p>
    <w:p>
      <w:pPr>
        <w:pStyle w:val="Heading1"/>
      </w:pPr>
      <w:r>
        <w:t xml:space="preserve">Preservation Validation</w:t>
      </w:r>
    </w:p>
    <w:p>
      <w:pPr>
        <w:pStyle w:val="Normal"/>
      </w:pPr>
      <w:r>
        <w:t xml:space="preserve">The preservation validator compared the Phase 2 baseline against the final state and also checked original pre-implementation route evidence where the original baseline carried the relevant fields.</w:t>
      </w:r>
    </w:p>
    <w:tbl>
      <w:tblPr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200"/>
        <w:gridCol w:w="5160"/>
      </w:tblGrid>
      <w:tr>
        <w:tc>
          <w:tcPr>
            <w:tcW w:w="4200" w:type="dxa"/>
            <w:shd w:fill="F2F4F7"/>
          </w:tcPr>
          <w:p>
            <w:pPr>
              <w:spacing w:after="60" w:line="280" w:lineRule="auto"/>
            </w:pPr>
            <w:r>
              <w:rPr>
                <w:b/>
                <w:sz w:val="20"/>
                <w:szCs w:val="20"/>
              </w:rPr>
              <w:t xml:space="preserve">Check</w:t>
            </w:r>
          </w:p>
        </w:tc>
        <w:tc>
          <w:tcPr>
            <w:tcW w:w="5160" w:type="dxa"/>
            <w:shd w:fill="F2F4F7"/>
          </w:tcPr>
          <w:p>
            <w:pPr>
              <w:spacing w:after="60" w:line="280" w:lineRule="auto"/>
            </w:pPr>
            <w:r>
              <w:rPr>
                <w:b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w="42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Phase 2 routes before</w:t>
            </w:r>
          </w:p>
        </w:tc>
        <w:tc>
          <w:tcPr>
            <w:tcW w:w="516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264</w:t>
            </w:r>
          </w:p>
        </w:tc>
      </w:tr>
      <w:tr>
        <w:tc>
          <w:tcPr>
            <w:tcW w:w="42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Phase 2 routes after</w:t>
            </w:r>
          </w:p>
        </w:tc>
        <w:tc>
          <w:tcPr>
            <w:tcW w:w="516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264</w:t>
            </w:r>
          </w:p>
        </w:tc>
      </w:tr>
      <w:tr>
        <w:tc>
          <w:tcPr>
            <w:tcW w:w="42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Original routes before</w:t>
            </w:r>
          </w:p>
        </w:tc>
        <w:tc>
          <w:tcPr>
            <w:tcW w:w="516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264</w:t>
            </w:r>
          </w:p>
        </w:tc>
      </w:tr>
      <w:tr>
        <w:tc>
          <w:tcPr>
            <w:tcW w:w="42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Final routes after</w:t>
            </w:r>
          </w:p>
        </w:tc>
        <w:tc>
          <w:tcPr>
            <w:tcW w:w="516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264</w:t>
            </w:r>
          </w:p>
        </w:tc>
      </w:tr>
      <w:tr>
        <w:tc>
          <w:tcPr>
            <w:tcW w:w="42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Failures</w:t>
            </w:r>
          </w:p>
        </w:tc>
        <w:tc>
          <w:tcPr>
            <w:tcW w:w="516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42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Warnings</w:t>
            </w:r>
          </w:p>
        </w:tc>
        <w:tc>
          <w:tcPr>
            <w:tcW w:w="516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42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Intentional changes</w:t>
            </w:r>
          </w:p>
        </w:tc>
        <w:tc>
          <w:tcPr>
            <w:tcW w:w="516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2 records: Today route Article-to-WebPage schema correction in both comparisons.</w:t>
            </w:r>
          </w:p>
        </w:tc>
      </w:tr>
    </w:tbl>
    <w:p>
      <w:pPr>
        <w:pStyle w:val="Normal"/>
      </w:pPr>
      <w:r>
        <w:t xml:space="preserve">Preserved surfaces include route set, URL, slug, canonical, existing heading IDs, existing href destinations, category/collection relationships, sitemap/search policy from Phase 2 baseline, and date values. Protected article content and article routes were outside the edit scope.</w:t>
      </w:r>
    </w:p>
    <w:p>
      <w:pPr>
        <w:pStyle w:val="Heading1"/>
      </w:pPr>
      <w:r>
        <w:t xml:space="preserve">Quality Gates</w:t>
      </w:r>
    </w:p>
    <w:tbl>
      <w:tblPr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300"/>
        <w:gridCol w:w="5060"/>
      </w:tblGrid>
      <w:tr>
        <w:tc>
          <w:tcPr>
            <w:tcW w:w="4300" w:type="dxa"/>
            <w:shd w:fill="F2F4F7"/>
          </w:tcPr>
          <w:p>
            <w:pPr>
              <w:spacing w:after="60" w:line="280" w:lineRule="auto"/>
            </w:pPr>
            <w:r>
              <w:rPr>
                <w:b/>
                <w:sz w:val="20"/>
                <w:szCs w:val="20"/>
              </w:rPr>
              <w:t xml:space="preserve">Gate group</w:t>
            </w:r>
          </w:p>
        </w:tc>
        <w:tc>
          <w:tcPr>
            <w:tcW w:w="5060" w:type="dxa"/>
            <w:shd w:fill="F2F4F7"/>
          </w:tcPr>
          <w:p>
            <w:pPr>
              <w:spacing w:after="60" w:line="280" w:lineRule="auto"/>
            </w:pPr>
            <w:r>
              <w:rPr>
                <w:b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w="43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Unique quote text</w:t>
            </w:r>
          </w:p>
        </w:tc>
        <w:tc>
          <w:tcPr>
            <w:tcW w:w="506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w="43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Quote routes generated</w:t>
            </w:r>
          </w:p>
        </w:tc>
        <w:tc>
          <w:tcPr>
            <w:tcW w:w="506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w="43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Visible quote-origin disclosure</w:t>
            </w:r>
          </w:p>
        </w:tc>
        <w:tc>
          <w:tcPr>
            <w:tcW w:w="506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w="43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Quote robots/sitemap policy</w:t>
            </w:r>
          </w:p>
        </w:tc>
        <w:tc>
          <w:tcPr>
            <w:tcW w:w="506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w="43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Quote title/H1/meta avoids direct-Buddha-quote framing</w:t>
            </w:r>
          </w:p>
        </w:tc>
        <w:tc>
          <w:tcPr>
            <w:tcW w:w="506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w="43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Daily reflection slugs/titles unique</w:t>
            </w:r>
          </w:p>
        </w:tc>
        <w:tc>
          <w:tcPr>
            <w:tcW w:w="506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w="43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Daily reflection differentiators complete</w:t>
            </w:r>
          </w:p>
        </w:tc>
        <w:tc>
          <w:tcPr>
            <w:tcW w:w="506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w="43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Today route WebPage utility schema</w:t>
            </w:r>
          </w:p>
        </w:tc>
        <w:tc>
          <w:tcPr>
            <w:tcW w:w="506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w="43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Source blockers</w:t>
            </w:r>
          </w:p>
        </w:tc>
        <w:tc>
          <w:tcPr>
            <w:tcW w:w="506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w="43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Residual duplication</w:t>
            </w:r>
          </w:p>
        </w:tc>
        <w:tc>
          <w:tcPr>
            <w:tcW w:w="506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Warning documented for editorial follow-up</w:t>
            </w:r>
          </w:p>
        </w:tc>
      </w:tr>
    </w:tbl>
    <w:p>
      <w:pPr>
        <w:pStyle w:val="Heading1"/>
      </w:pPr>
      <w:r>
        <w:t xml:space="preserve">Duplication And Similarity</w:t>
      </w:r>
    </w:p>
    <w:tbl>
      <w:tblPr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600"/>
        <w:gridCol w:w="1500"/>
        <w:gridCol w:w="1500"/>
        <w:gridCol w:w="3760"/>
      </w:tblGrid>
      <w:tr>
        <w:tc>
          <w:tcPr>
            <w:tcW w:w="2600" w:type="dxa"/>
            <w:shd w:fill="F2F4F7"/>
          </w:tcPr>
          <w:p>
            <w:pPr>
              <w:spacing w:after="60" w:line="280" w:lineRule="auto"/>
            </w:pPr>
            <w:r>
              <w:rPr>
                <w:b/>
                <w:sz w:val="20"/>
                <w:szCs w:val="20"/>
              </w:rPr>
              <w:t xml:space="preserve">Metric</w:t>
            </w:r>
          </w:p>
        </w:tc>
        <w:tc>
          <w:tcPr>
            <w:tcW w:w="1500" w:type="dxa"/>
            <w:shd w:fill="F2F4F7"/>
          </w:tcPr>
          <w:p>
            <w:pPr>
              <w:spacing w:after="60" w:line="280" w:lineRule="auto"/>
            </w:pPr>
            <w:r>
              <w:rPr>
                <w:b/>
                <w:sz w:val="20"/>
                <w:szCs w:val="20"/>
              </w:rPr>
              <w:t xml:space="preserve">Phase 2 baseline</w:t>
            </w:r>
          </w:p>
        </w:tc>
        <w:tc>
          <w:tcPr>
            <w:tcW w:w="1500" w:type="dxa"/>
            <w:shd w:fill="F2F4F7"/>
          </w:tcPr>
          <w:p>
            <w:pPr>
              <w:spacing w:after="60" w:line="280" w:lineRule="auto"/>
            </w:pPr>
            <w:r>
              <w:rPr>
                <w:b/>
                <w:sz w:val="20"/>
                <w:szCs w:val="20"/>
              </w:rPr>
              <w:t xml:space="preserve">Final</w:t>
            </w:r>
          </w:p>
        </w:tc>
        <w:tc>
          <w:tcPr>
            <w:tcW w:w="3760" w:type="dxa"/>
            <w:shd w:fill="F2F4F7"/>
          </w:tcPr>
          <w:p>
            <w:pPr>
              <w:spacing w:after="60" w:line="280" w:lineRule="auto"/>
            </w:pPr>
            <w:r>
              <w:rPr>
                <w:b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w="26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Duplicate sentence groups retained</w:t>
            </w:r>
          </w:p>
        </w:tc>
        <w:tc>
          <w:tcPr>
            <w:tcW w:w="15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w="15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w="376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Audit artifact is capped at the top 100 groups.</w:t>
            </w:r>
          </w:p>
        </w:tc>
      </w:tr>
      <w:tr>
        <w:tc>
          <w:tcPr>
            <w:tcW w:w="26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Duplicate paragraph groups retained</w:t>
            </w:r>
          </w:p>
        </w:tc>
        <w:tc>
          <w:tcPr>
            <w:tcW w:w="15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w="15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w="376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Artifact is capped at the top 100 groups.</w:t>
            </w:r>
          </w:p>
        </w:tc>
      </w:tr>
      <w:tr>
        <w:tc>
          <w:tcPr>
            <w:tcW w:w="26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Largest duplicate sentence route count</w:t>
            </w:r>
          </w:p>
        </w:tc>
        <w:tc>
          <w:tcPr>
            <w:tcW w:w="15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153</w:t>
            </w:r>
          </w:p>
        </w:tc>
        <w:tc>
          <w:tcPr>
            <w:tcW w:w="15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110</w:t>
            </w:r>
          </w:p>
        </w:tc>
        <w:tc>
          <w:tcPr>
            <w:tcW w:w="376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Remaining large sentence pattern is mostly required disclosure/practice language.</w:t>
            </w:r>
          </w:p>
        </w:tc>
      </w:tr>
      <w:tr>
        <w:tc>
          <w:tcPr>
            <w:tcW w:w="26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Largest duplicate paragraph route count</w:t>
            </w:r>
          </w:p>
        </w:tc>
        <w:tc>
          <w:tcPr>
            <w:tcW w:w="15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153</w:t>
            </w:r>
          </w:p>
        </w:tc>
        <w:tc>
          <w:tcPr>
            <w:tcW w:w="15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52</w:t>
            </w:r>
          </w:p>
        </w:tc>
        <w:tc>
          <w:tcPr>
            <w:tcW w:w="376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Major quote-story paragraph duplication reduced.</w:t>
            </w:r>
          </w:p>
        </w:tc>
      </w:tr>
      <w:tr>
        <w:tc>
          <w:tcPr>
            <w:tcW w:w="26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Full high-similarity pairs from audit console</w:t>
            </w:r>
          </w:p>
        </w:tc>
        <w:tc>
          <w:tcPr>
            <w:tcW w:w="15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12,242</w:t>
            </w:r>
          </w:p>
        </w:tc>
        <w:tc>
          <w:tcPr>
            <w:tcW w:w="15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11,104</w:t>
            </w:r>
          </w:p>
        </w:tc>
        <w:tc>
          <w:tcPr>
            <w:tcW w:w="376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Improved by 1,138 pairs.</w:t>
            </w:r>
          </w:p>
        </w:tc>
      </w:tr>
    </w:tbl>
    <w:p>
      <w:pPr>
        <w:pStyle w:val="Heading1"/>
      </w:pPr>
      <w:r>
        <w:t xml:space="preserve">SEO, Search, Sitemap, And Robots</w:t>
      </w:r>
    </w:p>
    <w:p>
      <w:pPr>
        <w:pStyle w:val="Normal"/>
      </w:pPr>
      <w:r>
        <w:t xml:space="preserve">Phase 2 did not broaden sitewide noindex behavior. Indexable quote stories remain in the sitemap; noindex quote stories remain useful for internal browsing but are excluded from the sitemap. The final audit reports 51 routes missing from sitemap, consistent with noindex/non-indexable policy and support routes, and 12 routes missing from internal search, preserved from the Phase 2 baseline.</w:t>
      </w:r>
    </w:p>
    <w:tbl>
      <w:tblPr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600"/>
        <w:gridCol w:w="5760"/>
      </w:tblGrid>
      <w:tr>
        <w:tc>
          <w:tcPr>
            <w:tcW w:w="3600" w:type="dxa"/>
            <w:shd w:fill="F2F4F7"/>
          </w:tcPr>
          <w:p>
            <w:pPr>
              <w:spacing w:after="60" w:line="280" w:lineRule="auto"/>
            </w:pPr>
            <w:r>
              <w:rPr>
                <w:b/>
                <w:sz w:val="20"/>
                <w:szCs w:val="20"/>
              </w:rPr>
              <w:t xml:space="preserve">Policy surface</w:t>
            </w:r>
          </w:p>
        </w:tc>
        <w:tc>
          <w:tcPr>
            <w:tcW w:w="5760" w:type="dxa"/>
            <w:shd w:fill="F2F4F7"/>
          </w:tcPr>
          <w:p>
            <w:pPr>
              <w:spacing w:after="60" w:line="280" w:lineRule="auto"/>
            </w:pPr>
            <w:r>
              <w:rPr>
                <w:b/>
                <w:sz w:val="20"/>
                <w:szCs w:val="20"/>
              </w:rPr>
              <w:t xml:space="preserve">Final state</w:t>
            </w:r>
          </w:p>
        </w:tc>
      </w:tr>
      <w:tr>
        <w:tc>
          <w:tcPr>
            <w:tcW w:w="36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Noindex quote stories</w:t>
            </w:r>
          </w:p>
        </w:tc>
        <w:tc>
          <w:tcPr>
            <w:tcW w:w="576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50; excluded from sitemap.</w:t>
            </w:r>
          </w:p>
        </w:tc>
      </w:tr>
      <w:tr>
        <w:tc>
          <w:tcPr>
            <w:tcW w:w="36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Indexable quote stories</w:t>
            </w:r>
          </w:p>
        </w:tc>
        <w:tc>
          <w:tcPr>
            <w:tcW w:w="576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103; present in sitemap.</w:t>
            </w:r>
          </w:p>
        </w:tc>
      </w:tr>
      <w:tr>
        <w:tc>
          <w:tcPr>
            <w:tcW w:w="36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Internal search</w:t>
            </w:r>
          </w:p>
        </w:tc>
        <w:tc>
          <w:tcPr>
            <w:tcW w:w="576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Noindex pages may remain when useful for on-site discovery and documented.</w:t>
            </w:r>
          </w:p>
        </w:tc>
      </w:tr>
      <w:tr>
        <w:tc>
          <w:tcPr>
            <w:tcW w:w="36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Today route schema</w:t>
            </w:r>
          </w:p>
        </w:tc>
        <w:tc>
          <w:tcPr>
            <w:tcW w:w="576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WebPage, not Article.</w:t>
            </w:r>
          </w:p>
        </w:tc>
      </w:tr>
      <w:tr>
        <w:tc>
          <w:tcPr>
            <w:tcW w:w="36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Canonical route discipline</w:t>
            </w:r>
          </w:p>
        </w:tc>
        <w:tc>
          <w:tcPr>
            <w:tcW w:w="576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Preserved.</w:t>
            </w:r>
          </w:p>
        </w:tc>
      </w:tr>
    </w:tbl>
    <w:p>
      <w:pPr>
        <w:pStyle w:val="Heading1"/>
      </w:pPr>
      <w:r>
        <w:t xml:space="preserve">Wellbeing And Source Integrity</w:t>
      </w:r>
    </w:p>
    <w:p>
      <w:pPr>
        <w:pStyle w:val="Normal"/>
      </w:pPr>
      <w:r>
        <w:t xml:space="preserve">Daily-reflection wellbeing notes were added where anger, intense feelings, difficult-person loving-kindness, persistent thoughts, rest/exhaustion, and related sensitive experiences could otherwise be read too broadly. The notes keep the pages reflective and educational, not medical or crisis-support content.</w:t>
      </w:r>
    </w:p>
    <w:p>
      <w:pPr>
        <w:pStyle w:val="Normal"/>
      </w:pPr>
      <w:r>
        <w:t xml:space="preserve">The final source register reports zero unresolved source-review blockers. Quote pages now disclose original Echo Buddha authorship; Phase 1 source clarity for learning, dictionary, sutta/Dhammapada, and meditation content remains preserved.</w:t>
      </w:r>
    </w:p>
    <w:p>
      <w:pPr>
        <w:pStyle w:val="Heading1"/>
      </w:pPr>
      <w:r>
        <w:t xml:space="preserve">Readiness Verdict</w:t>
      </w:r>
    </w:p>
    <w:p>
      <w:pPr>
        <w:pStyle w:val="Normal"/>
      </w:pPr>
      <w:r>
        <w:t xml:space="preserve">Content-readiness verdict: conditionally ready after named residual blockers. This is a strong Phase 2 result, but not a blank approval claim. The non-article system is materially clearer and better documented, while quote-story similarity remains the main editorial follow-up area.</w:t>
      </w:r>
    </w:p>
    <w:tbl>
      <w:tblPr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900"/>
        <w:gridCol w:w="5460"/>
      </w:tblGrid>
      <w:tr>
        <w:tc>
          <w:tcPr>
            <w:tcW w:w="3900" w:type="dxa"/>
            <w:shd w:fill="F2F4F7"/>
          </w:tcPr>
          <w:p>
            <w:pPr>
              <w:spacing w:after="60" w:line="280" w:lineRule="auto"/>
            </w:pPr>
            <w:r>
              <w:rPr>
                <w:b/>
                <w:sz w:val="20"/>
                <w:szCs w:val="20"/>
              </w:rPr>
              <w:t xml:space="preserve">Readiness area</w:t>
            </w:r>
          </w:p>
        </w:tc>
        <w:tc>
          <w:tcPr>
            <w:tcW w:w="5460" w:type="dxa"/>
            <w:shd w:fill="F2F4F7"/>
          </w:tcPr>
          <w:p>
            <w:pPr>
              <w:spacing w:after="60" w:line="280" w:lineRule="auto"/>
            </w:pPr>
            <w:r>
              <w:rPr>
                <w:b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w="39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Content/source clarity</w:t>
            </w:r>
          </w:p>
        </w:tc>
        <w:tc>
          <w:tcPr>
            <w:tcW w:w="546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Improved; source blockers zero.</w:t>
            </w:r>
          </w:p>
        </w:tc>
      </w:tr>
      <w:tr>
        <w:tc>
          <w:tcPr>
            <w:tcW w:w="39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Quote-origin labeling</w:t>
            </w:r>
          </w:p>
        </w:tc>
        <w:tc>
          <w:tcPr>
            <w:tcW w:w="546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Complete across 153 records.</w:t>
            </w:r>
          </w:p>
        </w:tc>
      </w:tr>
      <w:tr>
        <w:tc>
          <w:tcPr>
            <w:tcW w:w="39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Daily-reflection usefulness</w:t>
            </w:r>
          </w:p>
        </w:tc>
        <w:tc>
          <w:tcPr>
            <w:tcW w:w="546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Improved across 30 detail routes plus Today route.</w:t>
            </w:r>
          </w:p>
        </w:tc>
      </w:tr>
      <w:tr>
        <w:tc>
          <w:tcPr>
            <w:tcW w:w="39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AdSense</w:t>
            </w:r>
          </w:p>
        </w:tc>
        <w:tc>
          <w:tcPr>
            <w:tcW w:w="546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Conditionally ready; separate ad/account/policy/consent/layout review still required.</w:t>
            </w:r>
          </w:p>
        </w:tc>
      </w:tr>
      <w:tr>
        <w:tc>
          <w:tcPr>
            <w:tcW w:w="39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Ads</w:t>
            </w:r>
          </w:p>
        </w:tc>
        <w:tc>
          <w:tcPr>
            <w:tcW w:w="546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Remain disabled.</w:t>
            </w:r>
          </w:p>
        </w:tc>
      </w:tr>
      <w:tr>
        <w:tc>
          <w:tcPr>
            <w:tcW w:w="39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Push/deploy</w:t>
            </w:r>
          </w:p>
        </w:tc>
        <w:tc>
          <w:tcPr>
            <w:tcW w:w="546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Not performed.</w:t>
            </w:r>
          </w:p>
        </w:tc>
      </w:tr>
    </w:tbl>
    <w:p>
      <w:pPr>
        <w:pStyle w:val="Heading1"/>
      </w:pPr>
      <w:r>
        <w:t xml:space="preserve">Generated Evidence Files</w:t>
      </w:r>
    </w:p>
    <w:tbl>
      <w:tblPr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200"/>
        <w:gridCol w:w="5160"/>
      </w:tblGrid>
      <w:tr>
        <w:tc>
          <w:tcPr>
            <w:tcW w:w="4200" w:type="dxa"/>
            <w:shd w:fill="F2F4F7"/>
          </w:tcPr>
          <w:p>
            <w:pPr>
              <w:spacing w:after="60" w:line="280" w:lineRule="auto"/>
            </w:pPr>
            <w:r>
              <w:rPr>
                <w:b/>
                <w:sz w:val="20"/>
                <w:szCs w:val="20"/>
              </w:rPr>
              <w:t xml:space="preserve">File</w:t>
            </w:r>
          </w:p>
        </w:tc>
        <w:tc>
          <w:tcPr>
            <w:tcW w:w="5160" w:type="dxa"/>
            <w:shd w:fill="F2F4F7"/>
          </w:tcPr>
          <w:p>
            <w:pPr>
              <w:spacing w:after="60" w:line="280" w:lineRule="auto"/>
            </w:pPr>
            <w:r>
              <w:rPr>
                <w:b/>
                <w:sz w:val="20"/>
                <w:szCs w:val="20"/>
              </w:rPr>
              <w:t xml:space="preserve">What it proves</w:t>
            </w:r>
          </w:p>
        </w:tc>
      </w:tr>
      <w:tr>
        <w:tc>
          <w:tcPr>
            <w:tcW w:w="42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PHASE_2_PRESERVATION_VALIDATION.json</w:t>
            </w:r>
          </w:p>
        </w:tc>
        <w:tc>
          <w:tcPr>
            <w:tcW w:w="516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Machine-readable preservation validation.</w:t>
            </w:r>
          </w:p>
        </w:tc>
      </w:tr>
      <w:tr>
        <w:tc>
          <w:tcPr>
            <w:tcW w:w="42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PHASE_2_QUALITY_GATE_RESULTS.json</w:t>
            </w:r>
          </w:p>
        </w:tc>
        <w:tc>
          <w:tcPr>
            <w:tcW w:w="516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Machine-readable quality gate results.</w:t>
            </w:r>
          </w:p>
        </w:tc>
      </w:tr>
      <w:tr>
        <w:tc>
          <w:tcPr>
            <w:tcW w:w="42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PHASE_2_VALIDATION_REPORT.md</w:t>
            </w:r>
          </w:p>
        </w:tc>
        <w:tc>
          <w:tcPr>
            <w:tcW w:w="516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Commands and final validation summary.</w:t>
            </w:r>
          </w:p>
        </w:tc>
      </w:tr>
      <w:tr>
        <w:tc>
          <w:tcPr>
            <w:tcW w:w="42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FINAL_NON_ARTICLE_CONTENT_STATUS_MATRIX.csv</w:t>
            </w:r>
          </w:p>
        </w:tc>
        <w:tc>
          <w:tcPr>
            <w:tcW w:w="516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All 264 final non-article routes.</w:t>
            </w:r>
          </w:p>
        </w:tc>
      </w:tr>
      <w:tr>
        <w:tc>
          <w:tcPr>
            <w:tcW w:w="42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FINAL_NON_ARTICLE_SOURCE_REGISTER.md</w:t>
            </w:r>
          </w:p>
        </w:tc>
        <w:tc>
          <w:tcPr>
            <w:tcW w:w="516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Final source/origin status register.</w:t>
            </w:r>
          </w:p>
        </w:tc>
      </w:tr>
      <w:tr>
        <w:tc>
          <w:tcPr>
            <w:tcW w:w="42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FINAL_NON_ARTICLE_HUMAN_WRITING_AUDIT.md</w:t>
            </w:r>
          </w:p>
        </w:tc>
        <w:tc>
          <w:tcPr>
            <w:tcW w:w="516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Duplication and human-writing risk review.</w:t>
            </w:r>
          </w:p>
        </w:tc>
      </w:tr>
      <w:tr>
        <w:tc>
          <w:tcPr>
            <w:tcW w:w="42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FINAL_NON_ARTICLE_SEO_INDEXING_REPORT.md</w:t>
            </w:r>
          </w:p>
        </w:tc>
        <w:tc>
          <w:tcPr>
            <w:tcW w:w="516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Robots, sitemap, search, and schema evidence.</w:t>
            </w:r>
          </w:p>
        </w:tc>
      </w:tr>
      <w:tr>
        <w:tc>
          <w:tcPr>
            <w:tcW w:w="42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FINAL_NON_ARTICLE_ADSENSE_READINESS.md</w:t>
            </w:r>
          </w:p>
        </w:tc>
        <w:tc>
          <w:tcPr>
            <w:tcW w:w="516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Readiness verdict and residual blockers.</w:t>
            </w:r>
          </w:p>
        </w:tc>
      </w:tr>
      <w:tr>
        <w:tc>
          <w:tcPr>
            <w:tcW w:w="420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ECHOBUDDHA_NON_ARTICLE_POST_IMPLEMENTATION_FINAL_EVIDENCE.json</w:t>
            </w:r>
          </w:p>
        </w:tc>
        <w:tc>
          <w:tcPr>
            <w:tcW w:w="5160" w:type="dxa"/>
          </w:tcPr>
          <w:p>
            <w:pPr>
              <w:spacing w:after="60" w:line="280" w:lineRule="auto"/>
            </w:pPr>
            <w:r>
              <w:rPr>
                <w:sz w:val="20"/>
                <w:szCs w:val="20"/>
              </w:rPr>
              <w:t xml:space="preserve">Canonical final evidence pointer without overwriting original audit.</w:t>
            </w:r>
          </w:p>
        </w:tc>
      </w:tr>
    </w:tbl>
    <w:p>
      <w:pPr>
        <w:pStyle w:val="Heading1"/>
      </w:pPr>
      <w:r>
        <w:t xml:space="preserve">Final Accountability Statement</w:t>
      </w:r>
    </w:p>
    <w:p>
      <w:pPr>
        <w:pStyle w:val="Normal"/>
      </w:pPr>
      <w:r>
        <w:t xml:space="preserve">Before moving on to Prompt 2, Phase 2 has been built, audited, preservation-validated, quality-gated, and packaged into Markdown, CSV, JSON, and DOCX evidence. The only validation limitation is visual DOCX rendering: LibreOffice/soffice is not installed in this environment, so DOCX verification is structural and text-extraction based rather than rendered-page PNG based.</w:t>
      </w:r>
    </w:p>
    <w:p>
      <w:pPr>
        <w:pStyle w:val="Normal"/>
      </w:pPr>
      <w:r>
        <w:t xml:space="preserve">Evidence snapshot: preservation=pass; quality=pass; final routes=264; quote stories=153; daily reflection details=30; ads enabled=false; pushed/deployed=false.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64" w:lineRule="auto"/>
    </w:pPr>
    <w:rPr>
      <w:rFonts w:ascii="Calibri" w:hAnsi="Calibri"/>
      <w:sz w:val="22"/>
      <w:szCs w:val="22"/>
    </w:rPr>
  </w:style>
  <w:style w:type="paragraph" w:styleId="Title">
    <w:name w:val="Title"/>
    <w:basedOn w:val="Normal"/>
    <w:pPr>
      <w:spacing w:before="0" w:after="160"/>
    </w:pPr>
    <w:rPr>
      <w:b/>
      <w:rFonts w:ascii="Calibri" w:hAnsi="Calibri"/>
      <w:color w:val="0B2545"/>
      <w:sz w:val="52"/>
      <w:szCs w:val="52"/>
    </w:rPr>
  </w:style>
  <w:style w:type="paragraph" w:styleId="Subtitle">
    <w:name w:val="Subtitle"/>
    <w:basedOn w:val="Normal"/>
    <w:pPr>
      <w:spacing w:before="0" w:after="240"/>
    </w:pPr>
    <w:rPr>
      <w:rFonts w:ascii="Calibri" w:hAnsi="Calibri"/>
      <w:color w:val="555555"/>
      <w:sz w:val="28"/>
      <w:szCs w:val="28"/>
    </w:rPr>
  </w:style>
  <w:style w:type="paragraph" w:styleId="Heading1">
    <w:name w:val="Heading 1"/>
    <w:basedOn w:val="Normal"/>
    <w:pPr>
      <w:keepNext/>
      <w:spacing w:before="320" w:after="160"/>
    </w:pPr>
    <w:rPr>
      <w:b/>
      <w:rFonts w:ascii="Calibri" w:hAnsi="Calibri"/>
      <w:color w:val="2E74B5"/>
      <w:sz w:val="32"/>
      <w:szCs w:val="32"/>
    </w:rPr>
  </w:style>
  <w:style w:type="paragraph" w:styleId="Heading2">
    <w:name w:val="Heading 2"/>
    <w:basedOn w:val="Normal"/>
    <w:pPr>
      <w:keepNext/>
      <w:spacing w:before="240" w:after="120"/>
    </w:pPr>
    <w:rPr>
      <w:b/>
      <w:rFonts w:ascii="Calibri" w:hAnsi="Calibri"/>
      <w:color w:val="2E74B5"/>
      <w:sz w:val="26"/>
      <w:szCs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OOXML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Echo Buddha Non-Article Phase 2 Final Audit</dc:title>
  <dc:creator>Codex</dc:creator>
  <cp:lastModifiedBy>Codex</cp:lastModifiedBy>
  <dcterms:created xsi:type="dcterms:W3CDTF">2026-07-15T07:14:50.297Z</dcterms:created>
  <dcterms:modified xsi:type="dcterms:W3CDTF">2026-07-15T07:14:50.297Z</dcterms:modified>
</cp:coreProperties>
</file>